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834DB" w14:textId="3E81E38B" w:rsidR="009C055D" w:rsidRDefault="004F0297">
      <w:pPr>
        <w:sectPr w:rsidR="009C055D" w:rsidSect="00AF6868">
          <w:footerReference w:type="default" r:id="rId8"/>
          <w:endnotePr>
            <w:numFmt w:val="decimal"/>
          </w:endnotePr>
          <w:type w:val="continuous"/>
          <w:pgSz w:w="12240" w:h="15840"/>
          <w:pgMar w:top="1440" w:right="1440" w:bottom="1440" w:left="1440" w:header="720" w:footer="180" w:gutter="0"/>
          <w:cols w:space="720"/>
          <w:titlePg/>
          <w:docGrid w:linePitch="360"/>
        </w:sectPr>
      </w:pPr>
      <w:r>
        <w:rPr>
          <w:noProof/>
        </w:rPr>
        <w:drawing>
          <wp:anchor distT="0" distB="0" distL="114300" distR="114300" simplePos="0" relativeHeight="251661312" behindDoc="1" locked="0" layoutInCell="1" allowOverlap="1" wp14:anchorId="18032D48" wp14:editId="10A0F752">
            <wp:simplePos x="0" y="0"/>
            <wp:positionH relativeFrom="column">
              <wp:posOffset>-906145</wp:posOffset>
            </wp:positionH>
            <wp:positionV relativeFrom="page">
              <wp:posOffset>0</wp:posOffset>
            </wp:positionV>
            <wp:extent cx="7771765" cy="10058400"/>
            <wp:effectExtent l="0" t="0" r="635" b="0"/>
            <wp:wrapTight wrapText="bothSides">
              <wp:wrapPolygon edited="0">
                <wp:start x="0" y="0"/>
                <wp:lineTo x="0" y="21573"/>
                <wp:lineTo x="21566" y="21573"/>
                <wp:lineTo x="21566" y="0"/>
                <wp:lineTo x="0" y="0"/>
              </wp:wrapPolygon>
            </wp:wrapTight>
            <wp:docPr id="1574096072" name="Picture 1" descr="A brochur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6072" name="Picture 1" descr="A brochure of a riv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p>
    <w:p w14:paraId="3AA9168D" w14:textId="77777777" w:rsidR="004F0297" w:rsidRDefault="00B3463D">
      <w:pPr>
        <w:sectPr w:rsidR="004F0297" w:rsidSect="00AF6868">
          <w:footerReference w:type="default" r:id="rId10"/>
          <w:endnotePr>
            <w:numFmt w:val="decimal"/>
          </w:endnotePr>
          <w:pgSz w:w="12240" w:h="15840"/>
          <w:pgMar w:top="1440" w:right="1440" w:bottom="1440" w:left="1440" w:header="720" w:footer="180" w:gutter="0"/>
          <w:pgNumType w:fmt="lowerRoman" w:start="2"/>
          <w:cols w:space="720"/>
          <w:docGrid w:linePitch="360"/>
        </w:sectPr>
      </w:pPr>
      <w:r>
        <w:rPr>
          <w:noProof/>
        </w:rPr>
        <w:lastRenderedPageBreak/>
        <w:drawing>
          <wp:anchor distT="0" distB="0" distL="114300" distR="114300" simplePos="0" relativeHeight="251658240" behindDoc="1" locked="0" layoutInCell="1" allowOverlap="0" wp14:anchorId="21A6115B" wp14:editId="25B6E3D6">
            <wp:simplePos x="0" y="0"/>
            <wp:positionH relativeFrom="margin">
              <wp:posOffset>826000</wp:posOffset>
            </wp:positionH>
            <wp:positionV relativeFrom="margin">
              <wp:posOffset>1720850</wp:posOffset>
            </wp:positionV>
            <wp:extent cx="4306570" cy="1021080"/>
            <wp:effectExtent l="0" t="0" r="0" b="0"/>
            <wp:wrapTight wrapText="bothSides">
              <wp:wrapPolygon edited="0">
                <wp:start x="2803" y="1343"/>
                <wp:lineTo x="1338" y="3224"/>
                <wp:lineTo x="1210" y="5910"/>
                <wp:lineTo x="382" y="8328"/>
                <wp:lineTo x="382" y="9940"/>
                <wp:lineTo x="955" y="10478"/>
                <wp:lineTo x="318" y="14239"/>
                <wp:lineTo x="382" y="14776"/>
                <wp:lineTo x="1210" y="15582"/>
                <wp:lineTo x="1147" y="19612"/>
                <wp:lineTo x="3185" y="19612"/>
                <wp:lineTo x="3185" y="19075"/>
                <wp:lineTo x="17390" y="17731"/>
                <wp:lineTo x="17453" y="15313"/>
                <wp:lineTo x="18281" y="14776"/>
                <wp:lineTo x="21211" y="13701"/>
                <wp:lineTo x="21211" y="5373"/>
                <wp:lineTo x="17772" y="4567"/>
                <wp:lineTo x="3121" y="1343"/>
                <wp:lineTo x="2803" y="13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06570" cy="102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DB897" w14:textId="77777777" w:rsidR="003C79E0" w:rsidRDefault="003C79E0" w:rsidP="008E2969">
      <w:pPr>
        <w:spacing w:after="240"/>
        <w:ind w:right="-237"/>
        <w:rPr>
          <w:rFonts w:ascii="Pristina" w:hAnsi="Pristina"/>
          <w:sz w:val="36"/>
          <w:szCs w:val="36"/>
        </w:rPr>
      </w:pPr>
    </w:p>
    <w:p w14:paraId="767AE5E8" w14:textId="299757BD" w:rsidR="00974632" w:rsidRPr="00D467E9" w:rsidRDefault="00AE3726" w:rsidP="00707C98">
      <w:pPr>
        <w:spacing w:after="160"/>
        <w:ind w:right="-237"/>
        <w:rPr>
          <w:rFonts w:ascii="Pristina" w:hAnsi="Pristina"/>
          <w:sz w:val="36"/>
          <w:szCs w:val="36"/>
        </w:rPr>
      </w:pPr>
      <w:r w:rsidRPr="00D467E9">
        <w:rPr>
          <w:rFonts w:ascii="Pristina" w:hAnsi="Pristina"/>
          <w:sz w:val="36"/>
          <w:szCs w:val="36"/>
        </w:rPr>
        <w:t>My Fellow</w:t>
      </w:r>
      <w:r w:rsidR="00974632" w:rsidRPr="00D467E9">
        <w:rPr>
          <w:rFonts w:ascii="Pristina" w:hAnsi="Pristina"/>
          <w:sz w:val="36"/>
          <w:szCs w:val="36"/>
        </w:rPr>
        <w:t xml:space="preserve"> Ohioans,</w:t>
      </w:r>
    </w:p>
    <w:p w14:paraId="63664F7C" w14:textId="4A293008" w:rsidR="00707C98" w:rsidRPr="006E3C51" w:rsidRDefault="00707C98" w:rsidP="00707C98">
      <w:pPr>
        <w:spacing w:after="160"/>
        <w:rPr>
          <w:rFonts w:cs="Calibri"/>
        </w:rPr>
      </w:pPr>
      <w:r w:rsidRPr="006E3C51">
        <w:rPr>
          <w:rFonts w:cs="Calibri"/>
        </w:rPr>
        <w:t>What follows is a general guide to Ohio’s open-government laws – the 2024 Sunshine Laws Manual. It’s a road</w:t>
      </w:r>
      <w:r>
        <w:rPr>
          <w:rFonts w:cs="Calibri"/>
        </w:rPr>
        <w:t xml:space="preserve"> </w:t>
      </w:r>
      <w:r w:rsidRPr="006E3C51">
        <w:rPr>
          <w:rFonts w:cs="Calibri"/>
        </w:rPr>
        <w:t>map for citizens who want more information about how their government operates and how it uses their money.</w:t>
      </w:r>
    </w:p>
    <w:p w14:paraId="259A675F" w14:textId="29248F1B" w:rsidR="00707C98" w:rsidRPr="006E3C51" w:rsidRDefault="00707C98" w:rsidP="00707C98">
      <w:pPr>
        <w:spacing w:after="160"/>
        <w:rPr>
          <w:rFonts w:cs="Calibri"/>
        </w:rPr>
      </w:pPr>
      <w:r w:rsidRPr="006E3C51">
        <w:rPr>
          <w:rFonts w:cs="Calibri"/>
        </w:rPr>
        <w:t>The public’s right to access such information is a cornerstone of our democracy. So</w:t>
      </w:r>
      <w:r>
        <w:rPr>
          <w:rFonts w:cs="Calibri"/>
        </w:rPr>
        <w:t>,</w:t>
      </w:r>
      <w:r w:rsidRPr="006E3C51">
        <w:rPr>
          <w:rFonts w:cs="Calibri"/>
        </w:rPr>
        <w:t xml:space="preserve"> in a very real sense</w:t>
      </w:r>
      <w:r>
        <w:rPr>
          <w:rFonts w:cs="Calibri"/>
        </w:rPr>
        <w:t>,</w:t>
      </w:r>
      <w:r w:rsidRPr="006E3C51">
        <w:rPr>
          <w:rFonts w:cs="Calibri"/>
        </w:rPr>
        <w:t xml:space="preserve"> this guide equips Ohioans </w:t>
      </w:r>
      <w:r>
        <w:rPr>
          <w:rFonts w:cs="Calibri"/>
        </w:rPr>
        <w:t>with the knowledge they need to</w:t>
      </w:r>
      <w:r w:rsidRPr="006E3C51">
        <w:rPr>
          <w:rFonts w:cs="Calibri"/>
        </w:rPr>
        <w:t xml:space="preserve"> keep watch over the officials they elect and the agencies that are in place at every level of state government. </w:t>
      </w:r>
    </w:p>
    <w:p w14:paraId="51F4BF7C" w14:textId="7A92BD5F" w:rsidR="00707C98" w:rsidRPr="006E3C51" w:rsidRDefault="00707C98" w:rsidP="00707C98">
      <w:pPr>
        <w:spacing w:after="160"/>
        <w:rPr>
          <w:rFonts w:cs="Calibri"/>
        </w:rPr>
      </w:pPr>
      <w:r w:rsidRPr="006E3C51">
        <w:rPr>
          <w:rFonts w:cs="Calibri"/>
        </w:rPr>
        <w:t>This year’s manual includes a new chapter devoted to issues and exemptions that apply to law enforcement-related records and to law enforcement officers, as well as to issues and exemptions that apply to crime victims or witnesses. The chapter explains the distinction between discretionary and mandatory exemptions and provides numerous examples of each.</w:t>
      </w:r>
    </w:p>
    <w:p w14:paraId="2CB5D0A5" w14:textId="6A77D90D" w:rsidR="00707C98" w:rsidRPr="006E3C51" w:rsidRDefault="00707C98" w:rsidP="00707C98">
      <w:pPr>
        <w:spacing w:after="160"/>
        <w:rPr>
          <w:rFonts w:cs="Calibri"/>
        </w:rPr>
      </w:pPr>
      <w:r w:rsidRPr="006E3C51">
        <w:rPr>
          <w:rFonts w:cs="Calibri"/>
        </w:rPr>
        <w:t xml:space="preserve">Close observers also will notice that </w:t>
      </w:r>
      <w:r>
        <w:rPr>
          <w:rFonts w:cs="Calibri"/>
        </w:rPr>
        <w:t>the</w:t>
      </w:r>
      <w:r w:rsidRPr="006E3C51">
        <w:rPr>
          <w:rFonts w:cs="Calibri"/>
        </w:rPr>
        <w:t xml:space="preserve"> manual is more user-friendly. For the first time, hyperlinks have been added </w:t>
      </w:r>
      <w:r>
        <w:rPr>
          <w:rFonts w:cs="Calibri"/>
        </w:rPr>
        <w:t xml:space="preserve">to </w:t>
      </w:r>
      <w:r w:rsidRPr="006E3C51">
        <w:rPr>
          <w:rFonts w:cs="Calibri"/>
        </w:rPr>
        <w:t>all cases, statutes, court rules and opinions written by my office, so users can go directly to those resources.</w:t>
      </w:r>
    </w:p>
    <w:p w14:paraId="0ECE7A08" w14:textId="12CEA529" w:rsidR="00707C98" w:rsidRPr="006E3C51" w:rsidRDefault="00707C98" w:rsidP="00707C98">
      <w:pPr>
        <w:autoSpaceDE w:val="0"/>
        <w:autoSpaceDN w:val="0"/>
        <w:adjustRightInd w:val="0"/>
        <w:spacing w:after="160"/>
        <w:rPr>
          <w:rFonts w:cs="Calibri"/>
          <w:color w:val="000000"/>
        </w:rPr>
      </w:pPr>
      <w:r>
        <w:rPr>
          <w:rFonts w:cs="Calibri"/>
          <w:color w:val="000000"/>
        </w:rPr>
        <w:t>Besides</w:t>
      </w:r>
      <w:r w:rsidRPr="006E3C51">
        <w:rPr>
          <w:rFonts w:cs="Calibri"/>
          <w:color w:val="000000"/>
        </w:rPr>
        <w:t xml:space="preserve"> helping </w:t>
      </w:r>
      <w:r>
        <w:rPr>
          <w:rFonts w:cs="Calibri"/>
          <w:color w:val="000000"/>
        </w:rPr>
        <w:t xml:space="preserve">to </w:t>
      </w:r>
      <w:r w:rsidRPr="006E3C51">
        <w:rPr>
          <w:rFonts w:cs="Calibri"/>
          <w:color w:val="000000"/>
        </w:rPr>
        <w:t xml:space="preserve">educate the public about accessing public records, my office </w:t>
      </w:r>
      <w:r>
        <w:rPr>
          <w:rFonts w:cs="Calibri"/>
          <w:color w:val="000000"/>
        </w:rPr>
        <w:t xml:space="preserve">also </w:t>
      </w:r>
      <w:r w:rsidRPr="006E3C51">
        <w:rPr>
          <w:rFonts w:cs="Calibri"/>
          <w:color w:val="000000"/>
        </w:rPr>
        <w:t>educates government officials about their responsibility to make those records available.</w:t>
      </w:r>
    </w:p>
    <w:p w14:paraId="186457C8" w14:textId="346BECB4" w:rsidR="00707C98" w:rsidRPr="00707C98" w:rsidRDefault="00707C98" w:rsidP="00707C98">
      <w:pPr>
        <w:autoSpaceDE w:val="0"/>
        <w:autoSpaceDN w:val="0"/>
        <w:adjustRightInd w:val="0"/>
        <w:spacing w:after="160"/>
        <w:rPr>
          <w:rFonts w:cs="Calibri"/>
          <w:color w:val="000000"/>
        </w:rPr>
      </w:pPr>
      <w:r w:rsidRPr="006E3C51">
        <w:rPr>
          <w:rFonts w:cs="Calibri"/>
        </w:rPr>
        <w:t xml:space="preserve">The AGO’s Public Records Unit, which assembles this manual every year, partners with the Ohio Auditor of State’s Office to provide free Sunshine Laws training. Public officials </w:t>
      </w:r>
      <w:r>
        <w:rPr>
          <w:rFonts w:cs="Calibri"/>
        </w:rPr>
        <w:t>(</w:t>
      </w:r>
      <w:r w:rsidRPr="006E3C51">
        <w:rPr>
          <w:rFonts w:cs="Calibri"/>
        </w:rPr>
        <w:t>or their designees</w:t>
      </w:r>
      <w:r>
        <w:rPr>
          <w:rFonts w:cs="Calibri"/>
        </w:rPr>
        <w:t>)</w:t>
      </w:r>
      <w:r w:rsidRPr="006E3C51">
        <w:rPr>
          <w:rFonts w:cs="Calibri"/>
        </w:rPr>
        <w:t xml:space="preserve"> are required to complete the training at least once per elected term. To assist local governments, my team </w:t>
      </w:r>
      <w:r w:rsidRPr="006E3C51">
        <w:rPr>
          <w:rFonts w:cs="Calibri"/>
          <w:color w:val="000000"/>
        </w:rPr>
        <w:t>also created a model public-records policy that they can use as a guide when creating their own policies. These resources and more are available</w:t>
      </w:r>
      <w:r>
        <w:rPr>
          <w:rFonts w:cs="Calibri"/>
          <w:color w:val="000000"/>
        </w:rPr>
        <w:t xml:space="preserve"> at </w:t>
      </w:r>
      <w:hyperlink r:id="rId12" w:history="1">
        <w:r w:rsidR="00E31E56" w:rsidRPr="00E31E56">
          <w:rPr>
            <w:rStyle w:val="Hyperlink"/>
            <w:rFonts w:cs="Calibri"/>
            <w:u w:val="single"/>
          </w:rPr>
          <w:t>www.OhioAttorneyGeneral.gov/Sunshine</w:t>
        </w:r>
      </w:hyperlink>
      <w:r>
        <w:rPr>
          <w:rFonts w:cs="Calibri"/>
          <w:color w:val="000000"/>
        </w:rPr>
        <w:t>.</w:t>
      </w:r>
    </w:p>
    <w:p w14:paraId="29F13E14" w14:textId="5C884D80" w:rsidR="00974632" w:rsidRPr="00484904" w:rsidRDefault="00707C98" w:rsidP="00707C98">
      <w:pPr>
        <w:spacing w:after="160"/>
      </w:pPr>
      <w:r w:rsidRPr="006E3C51">
        <w:rPr>
          <w:rFonts w:cs="Calibri"/>
        </w:rPr>
        <w:t>The public’s right to know is an essential guardrail to keep government on the straight and narrow. I sincerely hope that the 2024 Sunshine Laws Manual help</w:t>
      </w:r>
      <w:r>
        <w:rPr>
          <w:rFonts w:cs="Calibri"/>
        </w:rPr>
        <w:t>s</w:t>
      </w:r>
      <w:r w:rsidRPr="006E3C51">
        <w:rPr>
          <w:rFonts w:cs="Calibri"/>
        </w:rPr>
        <w:t xml:space="preserve"> </w:t>
      </w:r>
      <w:r>
        <w:rPr>
          <w:rFonts w:cs="Calibri"/>
        </w:rPr>
        <w:t>Ohioans</w:t>
      </w:r>
      <w:r w:rsidRPr="006E3C51">
        <w:rPr>
          <w:rFonts w:cs="Calibri"/>
        </w:rPr>
        <w:t xml:space="preserve"> access the public records they seek as quickly and efficiently as possible.</w:t>
      </w:r>
    </w:p>
    <w:p w14:paraId="09CA36DA" w14:textId="77777777" w:rsidR="00AE3726" w:rsidRDefault="00AE3726" w:rsidP="00707C98">
      <w:pPr>
        <w:spacing w:after="160"/>
      </w:pPr>
    </w:p>
    <w:p w14:paraId="26E73CA4" w14:textId="40B22164" w:rsidR="00974632" w:rsidRDefault="003C79E0">
      <w:r>
        <w:rPr>
          <w:rFonts w:cs="Calibri"/>
          <w:noProof/>
        </w:rPr>
        <w:drawing>
          <wp:anchor distT="0" distB="0" distL="114300" distR="114300" simplePos="0" relativeHeight="251660288" behindDoc="0" locked="0" layoutInCell="1" allowOverlap="1" wp14:anchorId="5D2601ED" wp14:editId="00B17217">
            <wp:simplePos x="0" y="0"/>
            <wp:positionH relativeFrom="column">
              <wp:posOffset>-47153</wp:posOffset>
            </wp:positionH>
            <wp:positionV relativeFrom="paragraph">
              <wp:posOffset>99695</wp:posOffset>
            </wp:positionV>
            <wp:extent cx="1125220" cy="850265"/>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522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726">
        <w:t>Yours</w:t>
      </w:r>
      <w:r w:rsidR="00974632" w:rsidRPr="00484904">
        <w:t>,</w:t>
      </w:r>
    </w:p>
    <w:p w14:paraId="4B035D1A" w14:textId="4A447E67" w:rsidR="003C79E0" w:rsidRDefault="003C79E0"/>
    <w:p w14:paraId="30A90C22" w14:textId="6D641D43" w:rsidR="003C79E0" w:rsidRDefault="003C79E0"/>
    <w:p w14:paraId="0ECE39FD" w14:textId="04B4A1AE" w:rsidR="003C79E0" w:rsidRPr="00484904" w:rsidRDefault="003C79E0">
      <w:pPr>
        <w:rPr>
          <w:rFonts w:cs="Calibri"/>
          <w:sz w:val="20"/>
        </w:rPr>
      </w:pPr>
    </w:p>
    <w:p w14:paraId="035BCABC" w14:textId="022A984E" w:rsidR="009A23A1" w:rsidRDefault="00BD3C79">
      <w:pPr>
        <w:rPr>
          <w:rFonts w:cs="Calibri"/>
        </w:rPr>
      </w:pPr>
      <w:r>
        <w:rPr>
          <w:rFonts w:cs="Calibri"/>
        </w:rPr>
        <w:t>Dave Yost</w:t>
      </w:r>
    </w:p>
    <w:p w14:paraId="69BCDF12" w14:textId="0DC6AD5A" w:rsidR="009A23A1" w:rsidRPr="00484904" w:rsidRDefault="00974632">
      <w:pPr>
        <w:rPr>
          <w:rFonts w:cs="Calibri"/>
        </w:rPr>
      </w:pPr>
      <w:r w:rsidRPr="00484904">
        <w:rPr>
          <w:rFonts w:cs="Calibri"/>
        </w:rPr>
        <w:t>Attorney General</w:t>
      </w:r>
    </w:p>
    <w:p w14:paraId="0A59D302" w14:textId="6EDA81DE" w:rsidR="00974632" w:rsidRDefault="00BC7E34" w:rsidP="00DD6D86">
      <w:pPr>
        <w:spacing w:before="120"/>
        <w:rPr>
          <w:rFonts w:cs="Calibri"/>
          <w:b/>
        </w:rPr>
      </w:pPr>
      <w:r>
        <w:rPr>
          <w:noProof/>
        </w:rPr>
        <w:drawing>
          <wp:anchor distT="0" distB="0" distL="114300" distR="114300" simplePos="0" relativeHeight="251659264" behindDoc="0" locked="0" layoutInCell="1" allowOverlap="1" wp14:anchorId="1BF605E9" wp14:editId="71456C5C">
            <wp:simplePos x="0" y="0"/>
            <wp:positionH relativeFrom="column">
              <wp:posOffset>0</wp:posOffset>
            </wp:positionH>
            <wp:positionV relativeFrom="paragraph">
              <wp:posOffset>407035</wp:posOffset>
            </wp:positionV>
            <wp:extent cx="950595" cy="950595"/>
            <wp:effectExtent l="0" t="0" r="1905" b="1905"/>
            <wp:wrapSquare wrapText="bothSides"/>
            <wp:docPr id="62" name="Picture 62" descr="State seal of the Ohio Attorney General's Office" title="OAG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e seal for the Ohio Attorney General's Off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anchor>
        </w:drawing>
      </w:r>
      <w:r w:rsidR="00D467E9">
        <w:rPr>
          <w:rFonts w:cs="Calibri"/>
          <w:b/>
        </w:rPr>
        <w:br w:type="textWrapping" w:clear="all"/>
      </w:r>
    </w:p>
    <w:p w14:paraId="33009C0A" w14:textId="5956B7EA" w:rsidR="00974632" w:rsidRDefault="00D467E9" w:rsidP="00D467E9">
      <w:pPr>
        <w:tabs>
          <w:tab w:val="left" w:pos="3432"/>
        </w:tabs>
        <w:rPr>
          <w:rFonts w:cs="Calibri"/>
          <w:b/>
        </w:rPr>
        <w:sectPr w:rsidR="00974632" w:rsidSect="00AF6868">
          <w:headerReference w:type="default" r:id="rId15"/>
          <w:footerReference w:type="default" r:id="rId16"/>
          <w:endnotePr>
            <w:numFmt w:val="decimal"/>
          </w:endnotePr>
          <w:pgSz w:w="12240" w:h="15840"/>
          <w:pgMar w:top="1440" w:right="1440" w:bottom="1440" w:left="1440" w:header="720" w:footer="180" w:gutter="0"/>
          <w:pgNumType w:fmt="lowerRoman" w:start="2"/>
          <w:cols w:space="720"/>
          <w:docGrid w:linePitch="360"/>
        </w:sectPr>
      </w:pPr>
      <w:r>
        <w:rPr>
          <w:rFonts w:cs="Calibri"/>
          <w:b/>
        </w:rPr>
        <w:tab/>
      </w:r>
    </w:p>
    <w:p w14:paraId="396EFAD5" w14:textId="77777777" w:rsidR="00974632" w:rsidRDefault="00974632">
      <w:pPr>
        <w:jc w:val="both"/>
        <w:rPr>
          <w:rFonts w:cs="Calibri"/>
          <w:i/>
        </w:rPr>
        <w:sectPr w:rsidR="00974632" w:rsidSect="00AF6868">
          <w:headerReference w:type="first" r:id="rId17"/>
          <w:endnotePr>
            <w:numFmt w:val="decimal"/>
          </w:endnotePr>
          <w:pgSz w:w="12240" w:h="15840"/>
          <w:pgMar w:top="1440" w:right="1440" w:bottom="1440" w:left="1440" w:header="720" w:footer="210" w:gutter="0"/>
          <w:pgNumType w:fmt="lowerRoman"/>
          <w:cols w:space="720"/>
          <w:docGrid w:linePitch="360"/>
        </w:sectPr>
      </w:pPr>
    </w:p>
    <w:p w14:paraId="719996FE" w14:textId="77777777" w:rsidR="00974632" w:rsidRDefault="00974632">
      <w:pPr>
        <w:jc w:val="both"/>
        <w:rPr>
          <w:rFonts w:cs="Calibri"/>
          <w:i/>
        </w:rPr>
      </w:pPr>
      <w:r>
        <w:rPr>
          <w:rFonts w:cs="Calibri"/>
          <w:i/>
        </w:rPr>
        <w:t>Readers may find the latest edition of this publication and the most updated public records and open meetings laws by visiting the following web sites.  To request additional paper copies of this publication, contact:</w:t>
      </w:r>
    </w:p>
    <w:p w14:paraId="2C427168" w14:textId="77777777" w:rsidR="00974632" w:rsidRDefault="00974632">
      <w:pPr>
        <w:rPr>
          <w:rFonts w:cs="Calibri"/>
        </w:rPr>
      </w:pPr>
    </w:p>
    <w:p w14:paraId="0C056240" w14:textId="77777777" w:rsidR="00974632" w:rsidRDefault="00974632">
      <w:pPr>
        <w:rPr>
          <w:rFonts w:cs="Calibri"/>
        </w:rPr>
      </w:pPr>
      <w:r>
        <w:rPr>
          <w:rFonts w:cs="Calibri"/>
        </w:rPr>
        <w:t>Ohio Attorney General</w:t>
      </w:r>
    </w:p>
    <w:p w14:paraId="4596DEF5" w14:textId="77777777" w:rsidR="00974632" w:rsidRDefault="00974632">
      <w:pPr>
        <w:rPr>
          <w:rFonts w:cs="Calibri"/>
        </w:rPr>
      </w:pPr>
      <w:r>
        <w:rPr>
          <w:rFonts w:cs="Calibri"/>
        </w:rPr>
        <w:t>Public Records Unit</w:t>
      </w:r>
    </w:p>
    <w:p w14:paraId="47F42F33" w14:textId="77777777" w:rsidR="00974632" w:rsidRDefault="00974632">
      <w:pPr>
        <w:rPr>
          <w:rFonts w:cs="Calibri"/>
        </w:rPr>
      </w:pPr>
      <w:r>
        <w:rPr>
          <w:rFonts w:cs="Calibri"/>
        </w:rPr>
        <w:t>Re:  Sunshine Manual Request</w:t>
      </w:r>
    </w:p>
    <w:p w14:paraId="7DC39B54" w14:textId="0CCB08CB" w:rsidR="00974632" w:rsidRDefault="00974632">
      <w:pPr>
        <w:rPr>
          <w:rFonts w:cs="Calibri"/>
        </w:rPr>
      </w:pPr>
      <w:r>
        <w:rPr>
          <w:rFonts w:cs="Calibri"/>
        </w:rPr>
        <w:t>30 E. Broad St., 16</w:t>
      </w:r>
      <w:r w:rsidR="00A05666">
        <w:rPr>
          <w:rFonts w:cs="Calibri"/>
        </w:rPr>
        <w:t>th</w:t>
      </w:r>
      <w:r>
        <w:rPr>
          <w:rFonts w:cs="Calibri"/>
        </w:rPr>
        <w:t xml:space="preserve"> Floor</w:t>
      </w:r>
    </w:p>
    <w:p w14:paraId="542AE39E" w14:textId="77777777" w:rsidR="00974632" w:rsidRDefault="00974632">
      <w:pPr>
        <w:rPr>
          <w:rFonts w:cs="Calibri"/>
        </w:rPr>
      </w:pPr>
      <w:r>
        <w:rPr>
          <w:rFonts w:cs="Calibri"/>
        </w:rPr>
        <w:t xml:space="preserve">Columbus, </w:t>
      </w:r>
      <w:r w:rsidR="00215736">
        <w:rPr>
          <w:rFonts w:cs="Calibri"/>
        </w:rPr>
        <w:t>Ohio 43215</w:t>
      </w:r>
    </w:p>
    <w:p w14:paraId="0C6B1937" w14:textId="77777777" w:rsidR="00974632" w:rsidRDefault="00974632">
      <w:pPr>
        <w:rPr>
          <w:rFonts w:cs="Calibri"/>
          <w:b/>
        </w:rPr>
      </w:pPr>
      <w:r>
        <w:rPr>
          <w:rFonts w:cs="Calibri"/>
          <w:b/>
        </w:rPr>
        <w:t>(800) 282-0515 or (614) 466-2872</w:t>
      </w:r>
    </w:p>
    <w:p w14:paraId="03B30D47" w14:textId="77777777" w:rsidR="00974632" w:rsidRDefault="00000000">
      <w:pPr>
        <w:rPr>
          <w:rFonts w:cs="Calibri"/>
          <w:b/>
        </w:rPr>
      </w:pPr>
      <w:hyperlink r:id="rId18" w:history="1">
        <w:r w:rsidR="00974632">
          <w:rPr>
            <w:rStyle w:val="Hyperlink"/>
            <w:rFonts w:cs="Calibri"/>
            <w:b/>
          </w:rPr>
          <w:t>www.OhioAttorneyGeneral.gov/Sunshine</w:t>
        </w:r>
      </w:hyperlink>
    </w:p>
    <w:p w14:paraId="07111C69" w14:textId="77777777" w:rsidR="00974632" w:rsidRDefault="00974632">
      <w:pPr>
        <w:rPr>
          <w:rFonts w:cs="Calibri"/>
        </w:rPr>
      </w:pPr>
    </w:p>
    <w:p w14:paraId="367BA3CA" w14:textId="77777777" w:rsidR="00974632" w:rsidRDefault="00974632">
      <w:pPr>
        <w:rPr>
          <w:rFonts w:cs="Calibri"/>
        </w:rPr>
      </w:pPr>
      <w:r>
        <w:rPr>
          <w:rFonts w:cs="Calibri"/>
        </w:rPr>
        <w:t>or</w:t>
      </w:r>
    </w:p>
    <w:p w14:paraId="40474656" w14:textId="77777777" w:rsidR="00974632" w:rsidRDefault="00974632">
      <w:pPr>
        <w:rPr>
          <w:rFonts w:cs="Calibri"/>
        </w:rPr>
      </w:pPr>
    </w:p>
    <w:p w14:paraId="096235CD" w14:textId="77777777" w:rsidR="00974632" w:rsidRDefault="00974632">
      <w:pPr>
        <w:rPr>
          <w:rFonts w:cs="Calibri"/>
        </w:rPr>
      </w:pPr>
      <w:r>
        <w:rPr>
          <w:rFonts w:cs="Calibri"/>
        </w:rPr>
        <w:t>Ohio Auditor of State</w:t>
      </w:r>
    </w:p>
    <w:p w14:paraId="17B6A3CF" w14:textId="77777777" w:rsidR="00974632" w:rsidRDefault="00974632">
      <w:pPr>
        <w:rPr>
          <w:rFonts w:cs="Calibri"/>
        </w:rPr>
      </w:pPr>
      <w:r>
        <w:rPr>
          <w:rFonts w:cs="Calibri"/>
        </w:rPr>
        <w:t>Open Government Unit</w:t>
      </w:r>
    </w:p>
    <w:p w14:paraId="54B707BA" w14:textId="77777777" w:rsidR="00974632" w:rsidRDefault="00974632">
      <w:pPr>
        <w:rPr>
          <w:rFonts w:cs="Calibri"/>
        </w:rPr>
      </w:pPr>
      <w:r>
        <w:rPr>
          <w:rFonts w:cs="Calibri"/>
        </w:rPr>
        <w:t>Legal Division</w:t>
      </w:r>
    </w:p>
    <w:p w14:paraId="0CB04802" w14:textId="796EA612" w:rsidR="00974632" w:rsidRDefault="00974632">
      <w:pPr>
        <w:rPr>
          <w:rFonts w:cs="Calibri"/>
        </w:rPr>
      </w:pPr>
      <w:r>
        <w:rPr>
          <w:rFonts w:cs="Calibri"/>
        </w:rPr>
        <w:t>88 E. Broad St., 9</w:t>
      </w:r>
      <w:r w:rsidR="00A05666">
        <w:rPr>
          <w:rFonts w:cs="Calibri"/>
        </w:rPr>
        <w:t>th</w:t>
      </w:r>
      <w:r>
        <w:rPr>
          <w:rFonts w:cs="Calibri"/>
        </w:rPr>
        <w:t xml:space="preserve"> Floor</w:t>
      </w:r>
    </w:p>
    <w:p w14:paraId="61C73B9B" w14:textId="77777777" w:rsidR="00974632" w:rsidRDefault="00974632">
      <w:pPr>
        <w:rPr>
          <w:rFonts w:cs="Calibri"/>
        </w:rPr>
      </w:pPr>
      <w:r>
        <w:rPr>
          <w:rFonts w:cs="Calibri"/>
        </w:rPr>
        <w:t xml:space="preserve">Columbus, </w:t>
      </w:r>
      <w:r w:rsidR="00215736">
        <w:rPr>
          <w:rFonts w:cs="Calibri"/>
        </w:rPr>
        <w:t>Ohio 43215</w:t>
      </w:r>
    </w:p>
    <w:p w14:paraId="3346A311" w14:textId="77777777" w:rsidR="00974632" w:rsidRDefault="00974632">
      <w:pPr>
        <w:rPr>
          <w:rFonts w:cs="Calibri"/>
          <w:b/>
        </w:rPr>
      </w:pPr>
      <w:r>
        <w:rPr>
          <w:rFonts w:cs="Calibri"/>
          <w:b/>
        </w:rPr>
        <w:t>(800) 282-0370 or (614) 466-4514</w:t>
      </w:r>
    </w:p>
    <w:p w14:paraId="37EAA362" w14:textId="77777777" w:rsidR="00974632" w:rsidRDefault="00000000">
      <w:pPr>
        <w:rPr>
          <w:rFonts w:cs="Calibri"/>
          <w:b/>
        </w:rPr>
      </w:pPr>
      <w:hyperlink r:id="rId19" w:history="1">
        <w:r w:rsidR="00974632">
          <w:rPr>
            <w:rStyle w:val="Hyperlink"/>
            <w:rFonts w:cs="Calibri"/>
            <w:b/>
          </w:rPr>
          <w:t>www.OhioAuditor.gov</w:t>
        </w:r>
      </w:hyperlink>
    </w:p>
    <w:p w14:paraId="3F8AC922" w14:textId="77777777" w:rsidR="00974632" w:rsidRDefault="00974632">
      <w:pPr>
        <w:rPr>
          <w:rFonts w:cs="Calibri"/>
        </w:rPr>
      </w:pPr>
    </w:p>
    <w:p w14:paraId="4A52F1B8" w14:textId="77777777" w:rsidR="00974632" w:rsidRDefault="00974632">
      <w:pPr>
        <w:rPr>
          <w:rFonts w:cs="Calibri"/>
          <w:i/>
        </w:rPr>
      </w:pPr>
      <w:r>
        <w:rPr>
          <w:rFonts w:cs="Calibri"/>
          <w:i/>
        </w:rPr>
        <w:t>We welcome your comments and suggestions.</w:t>
      </w:r>
    </w:p>
    <w:p w14:paraId="6B100DE9" w14:textId="77777777" w:rsidR="00974632" w:rsidRDefault="00974632">
      <w:pPr>
        <w:rPr>
          <w:rFonts w:cs="Calibri"/>
          <w:i/>
        </w:rPr>
      </w:pPr>
    </w:p>
    <w:p w14:paraId="61F29D54" w14:textId="77777777" w:rsidR="00974632" w:rsidRDefault="00974632">
      <w:pPr>
        <w:rPr>
          <w:rFonts w:cs="Calibri"/>
          <w:i/>
        </w:rPr>
      </w:pPr>
    </w:p>
    <w:p w14:paraId="338A78C2" w14:textId="77777777" w:rsidR="00974632" w:rsidRDefault="00974632">
      <w:pPr>
        <w:rPr>
          <w:rFonts w:cs="Calibri"/>
          <w:i/>
          <w:sz w:val="32"/>
        </w:rPr>
      </w:pPr>
      <w:r>
        <w:rPr>
          <w:rFonts w:cs="Calibri"/>
          <w:i/>
          <w:sz w:val="32"/>
        </w:rPr>
        <w:t>Acknowledgments</w:t>
      </w:r>
    </w:p>
    <w:p w14:paraId="62476AC3" w14:textId="77777777" w:rsidR="00974632" w:rsidRDefault="00974632">
      <w:pPr>
        <w:rPr>
          <w:rFonts w:cs="Calibri"/>
        </w:rPr>
      </w:pPr>
    </w:p>
    <w:p w14:paraId="68D7B532" w14:textId="77777777" w:rsidR="00974632" w:rsidRDefault="00974632">
      <w:pPr>
        <w:jc w:val="both"/>
        <w:rPr>
          <w:rFonts w:cs="Calibri"/>
        </w:rPr>
      </w:pPr>
      <w:r>
        <w:rPr>
          <w:rFonts w:cs="Calibri"/>
        </w:rPr>
        <w:t>Warm thanks to the employees of the Ohio Attorney General whose contributions have made this publication possible over the years, with special recognition to the authors and editors of this edition:</w:t>
      </w:r>
    </w:p>
    <w:p w14:paraId="364F30C2" w14:textId="77777777" w:rsidR="00974632" w:rsidRDefault="00974632">
      <w:pPr>
        <w:rPr>
          <w:rFonts w:cs="Calibri"/>
        </w:rPr>
      </w:pPr>
    </w:p>
    <w:p w14:paraId="170E440B" w14:textId="7F7E37ED" w:rsidR="00974632" w:rsidRDefault="00C36C26" w:rsidP="004E5EA8">
      <w:pPr>
        <w:rPr>
          <w:rFonts w:cs="Calibri"/>
        </w:rPr>
      </w:pPr>
      <w:r w:rsidRPr="00C36C26">
        <w:rPr>
          <w:rFonts w:cs="Calibri"/>
          <w:b/>
        </w:rPr>
        <w:t xml:space="preserve">Ohio </w:t>
      </w:r>
      <w:r w:rsidR="00974632">
        <w:rPr>
          <w:rFonts w:cs="Calibri"/>
          <w:b/>
        </w:rPr>
        <w:t>Attorney General’s Public Records Unit</w:t>
      </w:r>
    </w:p>
    <w:p w14:paraId="19550B00" w14:textId="77777777" w:rsidR="00974632" w:rsidRDefault="00974632" w:rsidP="004E5EA8">
      <w:pPr>
        <w:rPr>
          <w:rFonts w:cs="Calibri"/>
        </w:rPr>
      </w:pPr>
    </w:p>
    <w:p w14:paraId="0B3AF13A" w14:textId="69CD0C95" w:rsidR="00B4656E" w:rsidRDefault="00B4656E" w:rsidP="004E5EA8">
      <w:pPr>
        <w:rPr>
          <w:rFonts w:cs="Calibri"/>
          <w:iCs/>
        </w:rPr>
      </w:pPr>
      <w:r w:rsidRPr="00B4656E">
        <w:rPr>
          <w:rFonts w:cs="Calibri"/>
          <w:iCs/>
        </w:rPr>
        <w:t xml:space="preserve">Heather </w:t>
      </w:r>
      <w:r>
        <w:rPr>
          <w:rFonts w:cs="Calibri"/>
          <w:iCs/>
        </w:rPr>
        <w:t xml:space="preserve">L. </w:t>
      </w:r>
      <w:r w:rsidRPr="00B4656E">
        <w:rPr>
          <w:rFonts w:cs="Calibri"/>
          <w:iCs/>
        </w:rPr>
        <w:t>Buchanan</w:t>
      </w:r>
    </w:p>
    <w:p w14:paraId="137CDA0A" w14:textId="69CA26AF" w:rsidR="00B4656E" w:rsidRDefault="00B4656E" w:rsidP="004E5EA8">
      <w:pPr>
        <w:rPr>
          <w:rFonts w:cs="Calibri"/>
          <w:i/>
        </w:rPr>
      </w:pPr>
      <w:r>
        <w:rPr>
          <w:rFonts w:cs="Calibri"/>
          <w:i/>
        </w:rPr>
        <w:t>Director of Open Government</w:t>
      </w:r>
    </w:p>
    <w:p w14:paraId="2A5779C2" w14:textId="77777777" w:rsidR="00B4656E" w:rsidRDefault="00B4656E" w:rsidP="004E5EA8">
      <w:pPr>
        <w:ind w:left="1440"/>
        <w:rPr>
          <w:rFonts w:cs="Calibri"/>
          <w:i/>
        </w:rPr>
      </w:pPr>
    </w:p>
    <w:p w14:paraId="2141B046" w14:textId="33293CA6" w:rsidR="00974632" w:rsidRDefault="00660C80" w:rsidP="004E5EA8">
      <w:pPr>
        <w:rPr>
          <w:rFonts w:cs="Calibri"/>
        </w:rPr>
      </w:pPr>
      <w:r>
        <w:rPr>
          <w:rFonts w:cs="Calibri"/>
        </w:rPr>
        <w:t>Phillip T. Kelly,</w:t>
      </w:r>
      <w:r w:rsidR="00EF0E16">
        <w:rPr>
          <w:rFonts w:cs="Calibri"/>
        </w:rPr>
        <w:t xml:space="preserve"> </w:t>
      </w:r>
      <w:r w:rsidR="00E32A00">
        <w:rPr>
          <w:rFonts w:cs="Calibri"/>
        </w:rPr>
        <w:t>Michael A. Walton</w:t>
      </w:r>
      <w:r>
        <w:rPr>
          <w:rFonts w:cs="Calibri"/>
        </w:rPr>
        <w:t>, and Ann Yackshaw</w:t>
      </w:r>
    </w:p>
    <w:p w14:paraId="1AAD843E" w14:textId="77777777" w:rsidR="002A3450" w:rsidRDefault="002A3450" w:rsidP="004E5EA8">
      <w:pPr>
        <w:rPr>
          <w:rFonts w:cs="Calibri"/>
        </w:rPr>
      </w:pPr>
      <w:r w:rsidRPr="00C36C26">
        <w:rPr>
          <w:rFonts w:cs="Calibri"/>
          <w:i/>
        </w:rPr>
        <w:t>Assistant Attorneys General</w:t>
      </w:r>
    </w:p>
    <w:p w14:paraId="70143A4E" w14:textId="77777777" w:rsidR="00974632" w:rsidRDefault="00974632" w:rsidP="004E5EA8">
      <w:pPr>
        <w:ind w:left="1440"/>
        <w:rPr>
          <w:rFonts w:cs="Calibri"/>
        </w:rPr>
      </w:pPr>
    </w:p>
    <w:p w14:paraId="5070500B" w14:textId="45D7651E" w:rsidR="00F6617F" w:rsidRDefault="00E32A00" w:rsidP="004E5EA8">
      <w:pPr>
        <w:rPr>
          <w:rFonts w:cs="Calibri"/>
        </w:rPr>
      </w:pPr>
      <w:r>
        <w:rPr>
          <w:rFonts w:cs="Calibri"/>
        </w:rPr>
        <w:t>MacKenzie S. Clayton</w:t>
      </w:r>
      <w:r w:rsidR="007639D2">
        <w:rPr>
          <w:rFonts w:cs="Calibri"/>
        </w:rPr>
        <w:t xml:space="preserve"> and</w:t>
      </w:r>
      <w:r w:rsidR="00D3367F">
        <w:rPr>
          <w:rFonts w:cs="Calibri"/>
        </w:rPr>
        <w:t xml:space="preserve"> Cathy Kirby</w:t>
      </w:r>
    </w:p>
    <w:p w14:paraId="42B8CA45" w14:textId="005C2644" w:rsidR="002A3450" w:rsidRDefault="002A3450" w:rsidP="004E5EA8">
      <w:pPr>
        <w:rPr>
          <w:rFonts w:cs="Calibri"/>
        </w:rPr>
      </w:pPr>
      <w:r w:rsidRPr="00C36C26">
        <w:rPr>
          <w:rFonts w:cs="Calibri"/>
          <w:i/>
        </w:rPr>
        <w:t>Administrative Staff</w:t>
      </w:r>
    </w:p>
    <w:p w14:paraId="5CF68EF8" w14:textId="77777777" w:rsidR="00F6617F" w:rsidRDefault="00F6617F" w:rsidP="004E5EA8">
      <w:pPr>
        <w:ind w:left="1440"/>
        <w:rPr>
          <w:rFonts w:cs="Calibri"/>
        </w:rPr>
      </w:pPr>
    </w:p>
    <w:p w14:paraId="1D9034BE" w14:textId="02B5D77B" w:rsidR="00974632" w:rsidRDefault="00EF0E16" w:rsidP="004E5EA8">
      <w:pPr>
        <w:rPr>
          <w:rFonts w:cs="Calibri"/>
        </w:rPr>
      </w:pPr>
      <w:r>
        <w:rPr>
          <w:rFonts w:cs="Calibri"/>
        </w:rPr>
        <w:t>Nathan Owens</w:t>
      </w:r>
    </w:p>
    <w:p w14:paraId="120F3FA8" w14:textId="0AC69C05" w:rsidR="002A3450" w:rsidRPr="002A3450" w:rsidRDefault="002A3450" w:rsidP="004E5EA8">
      <w:pPr>
        <w:rPr>
          <w:rFonts w:cs="Calibri"/>
          <w:i/>
        </w:rPr>
      </w:pPr>
      <w:r>
        <w:rPr>
          <w:rFonts w:cs="Calibri"/>
          <w:i/>
        </w:rPr>
        <w:t>Senior Records Manager</w:t>
      </w:r>
    </w:p>
    <w:p w14:paraId="40442016" w14:textId="77777777" w:rsidR="00974632" w:rsidRDefault="00974632" w:rsidP="002F6F09">
      <w:pPr>
        <w:spacing w:before="240"/>
        <w:jc w:val="center"/>
        <w:rPr>
          <w:b/>
          <w:sz w:val="44"/>
          <w:szCs w:val="44"/>
        </w:rPr>
      </w:pPr>
      <w:r>
        <w:rPr>
          <w:rFonts w:cs="Calibri"/>
        </w:rPr>
        <w:br w:type="page"/>
      </w:r>
      <w:r>
        <w:rPr>
          <w:b/>
          <w:sz w:val="44"/>
        </w:rPr>
        <w:lastRenderedPageBreak/>
        <w:t>TABLE OF CONTENTS</w:t>
      </w:r>
    </w:p>
    <w:p w14:paraId="108FB546" w14:textId="77777777" w:rsidR="00974632" w:rsidRDefault="00974632">
      <w:pPr>
        <w:tabs>
          <w:tab w:val="right" w:leader="dot" w:pos="9360"/>
        </w:tabs>
        <w:spacing w:line="220" w:lineRule="exact"/>
        <w:jc w:val="both"/>
        <w:rPr>
          <w:rFonts w:cs="Calibri"/>
        </w:rPr>
      </w:pPr>
    </w:p>
    <w:p w14:paraId="742A0AA1" w14:textId="77777777" w:rsidR="00974632" w:rsidRDefault="00974632">
      <w:pPr>
        <w:tabs>
          <w:tab w:val="right" w:leader="dot" w:pos="9360"/>
        </w:tabs>
        <w:spacing w:line="220" w:lineRule="exact"/>
        <w:jc w:val="both"/>
        <w:rPr>
          <w:rFonts w:cs="Calibri"/>
        </w:rPr>
      </w:pPr>
      <w:r>
        <w:rPr>
          <w:rFonts w:cs="Calibri"/>
        </w:rPr>
        <w:t>Glossary</w:t>
      </w:r>
      <w:r w:rsidR="00C36C26">
        <w:rPr>
          <w:rFonts w:cs="Calibri"/>
        </w:rPr>
        <w:tab/>
        <w:t>x</w:t>
      </w:r>
    </w:p>
    <w:p w14:paraId="4D741F70" w14:textId="6206E4E8" w:rsidR="00164CB3" w:rsidRDefault="00BD2AE1">
      <w:pPr>
        <w:pStyle w:val="TOC1"/>
        <w:tabs>
          <w:tab w:val="right" w:leader="dot" w:pos="9350"/>
        </w:tabs>
        <w:rPr>
          <w:rFonts w:eastAsiaTheme="minorEastAsia" w:cstheme="minorBidi"/>
          <w:bCs w:val="0"/>
          <w:noProof/>
          <w:kern w:val="2"/>
          <w14:ligatures w14:val="standardContextual"/>
        </w:rPr>
      </w:pPr>
      <w:r>
        <w:rPr>
          <w:rFonts w:cstheme="minorHAnsi"/>
          <w:bCs w:val="0"/>
          <w:i/>
          <w:caps/>
        </w:rPr>
        <w:fldChar w:fldCharType="begin"/>
      </w:r>
      <w:r>
        <w:rPr>
          <w:rFonts w:cstheme="minorHAnsi"/>
          <w:bCs w:val="0"/>
          <w:i/>
          <w:caps/>
        </w:rPr>
        <w:instrText xml:space="preserve"> TOC \o "1-7" \h \z \u </w:instrText>
      </w:r>
      <w:r>
        <w:rPr>
          <w:rFonts w:cstheme="minorHAnsi"/>
          <w:bCs w:val="0"/>
          <w:i/>
          <w:caps/>
        </w:rPr>
        <w:fldChar w:fldCharType="separate"/>
      </w:r>
      <w:hyperlink w:anchor="_Toc159851426" w:history="1">
        <w:r w:rsidR="00164CB3" w:rsidRPr="00311922">
          <w:rPr>
            <w:rStyle w:val="Hyperlink"/>
            <w:noProof/>
          </w:rPr>
          <w:t>Links to Resources</w:t>
        </w:r>
        <w:r w:rsidR="00164CB3">
          <w:rPr>
            <w:noProof/>
            <w:webHidden/>
          </w:rPr>
          <w:tab/>
        </w:r>
        <w:r w:rsidR="00164CB3">
          <w:rPr>
            <w:noProof/>
            <w:webHidden/>
          </w:rPr>
          <w:fldChar w:fldCharType="begin"/>
        </w:r>
        <w:r w:rsidR="00164CB3">
          <w:rPr>
            <w:noProof/>
            <w:webHidden/>
          </w:rPr>
          <w:instrText xml:space="preserve"> PAGEREF _Toc159851426 \h </w:instrText>
        </w:r>
        <w:r w:rsidR="00164CB3">
          <w:rPr>
            <w:noProof/>
            <w:webHidden/>
          </w:rPr>
        </w:r>
        <w:r w:rsidR="00164CB3">
          <w:rPr>
            <w:noProof/>
            <w:webHidden/>
          </w:rPr>
          <w:fldChar w:fldCharType="separate"/>
        </w:r>
        <w:r w:rsidR="00DE7A7E">
          <w:rPr>
            <w:noProof/>
            <w:webHidden/>
          </w:rPr>
          <w:t>xiii</w:t>
        </w:r>
        <w:r w:rsidR="00164CB3">
          <w:rPr>
            <w:noProof/>
            <w:webHidden/>
          </w:rPr>
          <w:fldChar w:fldCharType="end"/>
        </w:r>
      </w:hyperlink>
    </w:p>
    <w:p w14:paraId="7AE6DB55" w14:textId="09BA1C1E" w:rsidR="00164CB3" w:rsidRDefault="00000000">
      <w:pPr>
        <w:pStyle w:val="TOC1"/>
        <w:tabs>
          <w:tab w:val="right" w:leader="dot" w:pos="9350"/>
        </w:tabs>
        <w:rPr>
          <w:rFonts w:eastAsiaTheme="minorEastAsia" w:cstheme="minorBidi"/>
          <w:bCs w:val="0"/>
          <w:noProof/>
          <w:kern w:val="2"/>
          <w14:ligatures w14:val="standardContextual"/>
        </w:rPr>
      </w:pPr>
      <w:hyperlink w:anchor="_Toc159851427" w:history="1">
        <w:r w:rsidR="00164CB3" w:rsidRPr="00311922">
          <w:rPr>
            <w:rStyle w:val="Hyperlink"/>
            <w:noProof/>
          </w:rPr>
          <w:t>Overview of the Ohio Public Records Act</w:t>
        </w:r>
        <w:r w:rsidR="00164CB3">
          <w:rPr>
            <w:noProof/>
            <w:webHidden/>
          </w:rPr>
          <w:tab/>
        </w:r>
        <w:r w:rsidR="00164CB3">
          <w:rPr>
            <w:noProof/>
            <w:webHidden/>
          </w:rPr>
          <w:fldChar w:fldCharType="begin"/>
        </w:r>
        <w:r w:rsidR="00164CB3">
          <w:rPr>
            <w:noProof/>
            <w:webHidden/>
          </w:rPr>
          <w:instrText xml:space="preserve"> PAGEREF _Toc159851427 \h </w:instrText>
        </w:r>
        <w:r w:rsidR="00164CB3">
          <w:rPr>
            <w:noProof/>
            <w:webHidden/>
          </w:rPr>
        </w:r>
        <w:r w:rsidR="00164CB3">
          <w:rPr>
            <w:noProof/>
            <w:webHidden/>
          </w:rPr>
          <w:fldChar w:fldCharType="separate"/>
        </w:r>
        <w:r w:rsidR="00DE7A7E">
          <w:rPr>
            <w:noProof/>
            <w:webHidden/>
          </w:rPr>
          <w:t>1</w:t>
        </w:r>
        <w:r w:rsidR="00164CB3">
          <w:rPr>
            <w:noProof/>
            <w:webHidden/>
          </w:rPr>
          <w:fldChar w:fldCharType="end"/>
        </w:r>
      </w:hyperlink>
    </w:p>
    <w:p w14:paraId="05794F4F" w14:textId="2CAC5B9B" w:rsidR="00164CB3" w:rsidRDefault="00000000">
      <w:pPr>
        <w:pStyle w:val="TOC1"/>
        <w:tabs>
          <w:tab w:val="left" w:pos="432"/>
          <w:tab w:val="right" w:leader="dot" w:pos="9350"/>
        </w:tabs>
        <w:rPr>
          <w:rFonts w:eastAsiaTheme="minorEastAsia" w:cstheme="minorBidi"/>
          <w:bCs w:val="0"/>
          <w:noProof/>
          <w:kern w:val="2"/>
          <w14:ligatures w14:val="standardContextual"/>
        </w:rPr>
      </w:pPr>
      <w:hyperlink w:anchor="_Toc159851428" w:history="1">
        <w:r w:rsidR="00164CB3" w:rsidRPr="00311922">
          <w:rPr>
            <w:rStyle w:val="Hyperlink"/>
            <w:noProof/>
          </w:rPr>
          <w:t>I.</w:t>
        </w:r>
        <w:r w:rsidR="00164CB3">
          <w:rPr>
            <w:rFonts w:eastAsiaTheme="minorEastAsia" w:cstheme="minorBidi"/>
            <w:bCs w:val="0"/>
            <w:noProof/>
            <w:kern w:val="2"/>
            <w14:ligatures w14:val="standardContextual"/>
          </w:rPr>
          <w:tab/>
        </w:r>
        <w:r w:rsidR="00164CB3" w:rsidRPr="00311922">
          <w:rPr>
            <w:rStyle w:val="Hyperlink"/>
            <w:noProof/>
          </w:rPr>
          <w:t>Chapter One:  Public Records Defined</w:t>
        </w:r>
        <w:r w:rsidR="00164CB3">
          <w:rPr>
            <w:noProof/>
            <w:webHidden/>
          </w:rPr>
          <w:tab/>
        </w:r>
        <w:r w:rsidR="00164CB3">
          <w:rPr>
            <w:noProof/>
            <w:webHidden/>
          </w:rPr>
          <w:fldChar w:fldCharType="begin"/>
        </w:r>
        <w:r w:rsidR="00164CB3">
          <w:rPr>
            <w:noProof/>
            <w:webHidden/>
          </w:rPr>
          <w:instrText xml:space="preserve"> PAGEREF _Toc159851428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19E42DE4" w14:textId="36DCCD00"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29"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What Are “Records”?</w:t>
        </w:r>
        <w:r w:rsidR="00164CB3">
          <w:rPr>
            <w:noProof/>
            <w:webHidden/>
          </w:rPr>
          <w:tab/>
        </w:r>
        <w:r w:rsidR="00164CB3">
          <w:rPr>
            <w:noProof/>
            <w:webHidden/>
          </w:rPr>
          <w:fldChar w:fldCharType="begin"/>
        </w:r>
        <w:r w:rsidR="00164CB3">
          <w:rPr>
            <w:noProof/>
            <w:webHidden/>
          </w:rPr>
          <w:instrText xml:space="preserve"> PAGEREF _Toc159851429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61C15366" w14:textId="1F9166E4" w:rsidR="00164CB3" w:rsidRDefault="00000000" w:rsidP="002B08D3">
      <w:pPr>
        <w:pStyle w:val="TOC3"/>
        <w:rPr>
          <w:rFonts w:eastAsiaTheme="minorEastAsia" w:cstheme="minorBidi"/>
          <w:noProof/>
          <w:kern w:val="2"/>
          <w:sz w:val="24"/>
          <w:szCs w:val="24"/>
          <w14:ligatures w14:val="standardContextual"/>
        </w:rPr>
      </w:pPr>
      <w:hyperlink w:anchor="_Toc15985143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Statutory definition – R.C. 149.011(G)</w:t>
        </w:r>
        <w:r w:rsidR="00164CB3">
          <w:rPr>
            <w:noProof/>
            <w:webHidden/>
          </w:rPr>
          <w:tab/>
        </w:r>
        <w:r w:rsidR="00164CB3">
          <w:rPr>
            <w:noProof/>
            <w:webHidden/>
          </w:rPr>
          <w:fldChar w:fldCharType="begin"/>
        </w:r>
        <w:r w:rsidR="00164CB3">
          <w:rPr>
            <w:noProof/>
            <w:webHidden/>
          </w:rPr>
          <w:instrText xml:space="preserve"> PAGEREF _Toc159851430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50A96C83" w14:textId="74EA920B" w:rsidR="00164CB3" w:rsidRDefault="00000000" w:rsidP="002B08D3">
      <w:pPr>
        <w:pStyle w:val="TOC3"/>
        <w:rPr>
          <w:rFonts w:eastAsiaTheme="minorEastAsia" w:cstheme="minorBidi"/>
          <w:noProof/>
          <w:kern w:val="2"/>
          <w:sz w:val="24"/>
          <w:szCs w:val="24"/>
          <w14:ligatures w14:val="standardContextual"/>
        </w:rPr>
      </w:pPr>
      <w:hyperlink w:anchor="_Toc15985143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Records and non-records</w:t>
        </w:r>
        <w:r w:rsidR="00164CB3">
          <w:rPr>
            <w:noProof/>
            <w:webHidden/>
          </w:rPr>
          <w:tab/>
        </w:r>
        <w:r w:rsidR="00164CB3">
          <w:rPr>
            <w:noProof/>
            <w:webHidden/>
          </w:rPr>
          <w:fldChar w:fldCharType="begin"/>
        </w:r>
        <w:r w:rsidR="00164CB3">
          <w:rPr>
            <w:noProof/>
            <w:webHidden/>
          </w:rPr>
          <w:instrText xml:space="preserve"> PAGEREF _Toc159851431 \h </w:instrText>
        </w:r>
        <w:r w:rsidR="00164CB3">
          <w:rPr>
            <w:noProof/>
            <w:webHidden/>
          </w:rPr>
        </w:r>
        <w:r w:rsidR="00164CB3">
          <w:rPr>
            <w:noProof/>
            <w:webHidden/>
          </w:rPr>
          <w:fldChar w:fldCharType="separate"/>
        </w:r>
        <w:r w:rsidR="00DE7A7E">
          <w:rPr>
            <w:noProof/>
            <w:webHidden/>
          </w:rPr>
          <w:t>2</w:t>
        </w:r>
        <w:r w:rsidR="00164CB3">
          <w:rPr>
            <w:noProof/>
            <w:webHidden/>
          </w:rPr>
          <w:fldChar w:fldCharType="end"/>
        </w:r>
      </w:hyperlink>
    </w:p>
    <w:p w14:paraId="0EB4AC1E" w14:textId="03DBC451" w:rsidR="00164CB3" w:rsidRDefault="00000000" w:rsidP="002B08D3">
      <w:pPr>
        <w:pStyle w:val="TOC3"/>
        <w:rPr>
          <w:rFonts w:eastAsiaTheme="minorEastAsia" w:cstheme="minorBidi"/>
          <w:noProof/>
          <w:kern w:val="2"/>
          <w:sz w:val="24"/>
          <w:szCs w:val="24"/>
          <w14:ligatures w14:val="standardContextual"/>
        </w:rPr>
      </w:pPr>
      <w:hyperlink w:anchor="_Toc159851432"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The effect of “actual use”</w:t>
        </w:r>
        <w:r w:rsidR="00164CB3">
          <w:rPr>
            <w:noProof/>
            <w:webHidden/>
          </w:rPr>
          <w:tab/>
        </w:r>
        <w:r w:rsidR="00164CB3">
          <w:rPr>
            <w:noProof/>
            <w:webHidden/>
          </w:rPr>
          <w:fldChar w:fldCharType="begin"/>
        </w:r>
        <w:r w:rsidR="00164CB3">
          <w:rPr>
            <w:noProof/>
            <w:webHidden/>
          </w:rPr>
          <w:instrText xml:space="preserve"> PAGEREF _Toc159851432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443BBC29" w14:textId="037FCCFE" w:rsidR="00164CB3" w:rsidRDefault="00000000" w:rsidP="002B08D3">
      <w:pPr>
        <w:pStyle w:val="TOC3"/>
        <w:rPr>
          <w:rFonts w:eastAsiaTheme="minorEastAsia" w:cstheme="minorBidi"/>
          <w:noProof/>
          <w:kern w:val="2"/>
          <w:sz w:val="24"/>
          <w:szCs w:val="24"/>
          <w14:ligatures w14:val="standardContextual"/>
        </w:rPr>
      </w:pPr>
      <w:hyperlink w:anchor="_Toc159851433"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“Is this item a record?” – Some common applications</w:t>
        </w:r>
        <w:r w:rsidR="00164CB3">
          <w:rPr>
            <w:noProof/>
            <w:webHidden/>
          </w:rPr>
          <w:tab/>
        </w:r>
        <w:r w:rsidR="00164CB3">
          <w:rPr>
            <w:noProof/>
            <w:webHidden/>
          </w:rPr>
          <w:fldChar w:fldCharType="begin"/>
        </w:r>
        <w:r w:rsidR="00164CB3">
          <w:rPr>
            <w:noProof/>
            <w:webHidden/>
          </w:rPr>
          <w:instrText xml:space="preserve"> PAGEREF _Toc159851433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42AE52C0" w14:textId="1CE98A22" w:rsidR="00164CB3" w:rsidRDefault="00000000" w:rsidP="002B08D3">
      <w:pPr>
        <w:pStyle w:val="TOC4"/>
        <w:rPr>
          <w:rFonts w:eastAsiaTheme="minorEastAsia" w:cstheme="minorBidi"/>
          <w:noProof/>
          <w:kern w:val="2"/>
          <w:sz w:val="24"/>
          <w:szCs w:val="24"/>
          <w14:ligatures w14:val="standardContextual"/>
        </w:rPr>
      </w:pPr>
      <w:hyperlink w:anchor="_Toc15985143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Email</w:t>
        </w:r>
        <w:r w:rsidR="00164CB3">
          <w:rPr>
            <w:noProof/>
            <w:webHidden/>
          </w:rPr>
          <w:tab/>
        </w:r>
        <w:r w:rsidR="00164CB3">
          <w:rPr>
            <w:noProof/>
            <w:webHidden/>
          </w:rPr>
          <w:fldChar w:fldCharType="begin"/>
        </w:r>
        <w:r w:rsidR="00164CB3">
          <w:rPr>
            <w:noProof/>
            <w:webHidden/>
          </w:rPr>
          <w:instrText xml:space="preserve"> PAGEREF _Toc159851434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34A97222" w14:textId="5E1BBE4E" w:rsidR="00164CB3" w:rsidRDefault="00000000" w:rsidP="002B08D3">
      <w:pPr>
        <w:pStyle w:val="TOC4"/>
        <w:rPr>
          <w:rFonts w:eastAsiaTheme="minorEastAsia" w:cstheme="minorBidi"/>
          <w:noProof/>
          <w:kern w:val="2"/>
          <w:sz w:val="24"/>
          <w:szCs w:val="24"/>
          <w14:ligatures w14:val="standardContextual"/>
        </w:rPr>
      </w:pPr>
      <w:hyperlink w:anchor="_Toc15985143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Text messages</w:t>
        </w:r>
        <w:r w:rsidR="00164CB3">
          <w:rPr>
            <w:noProof/>
            <w:webHidden/>
          </w:rPr>
          <w:tab/>
        </w:r>
        <w:r w:rsidR="00164CB3">
          <w:rPr>
            <w:noProof/>
            <w:webHidden/>
          </w:rPr>
          <w:fldChar w:fldCharType="begin"/>
        </w:r>
        <w:r w:rsidR="00164CB3">
          <w:rPr>
            <w:noProof/>
            <w:webHidden/>
          </w:rPr>
          <w:instrText xml:space="preserve"> PAGEREF _Toc159851435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638C48C8" w14:textId="1EE000B9" w:rsidR="00164CB3" w:rsidRDefault="00000000" w:rsidP="002B08D3">
      <w:pPr>
        <w:pStyle w:val="TOC4"/>
        <w:rPr>
          <w:rFonts w:eastAsiaTheme="minorEastAsia" w:cstheme="minorBidi"/>
          <w:noProof/>
          <w:kern w:val="2"/>
          <w:sz w:val="24"/>
          <w:szCs w:val="24"/>
          <w14:ligatures w14:val="standardContextual"/>
        </w:rPr>
      </w:pPr>
      <w:hyperlink w:anchor="_Toc15985143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Notes</w:t>
        </w:r>
        <w:r w:rsidR="00164CB3">
          <w:rPr>
            <w:noProof/>
            <w:webHidden/>
          </w:rPr>
          <w:tab/>
        </w:r>
        <w:r w:rsidR="00164CB3">
          <w:rPr>
            <w:noProof/>
            <w:webHidden/>
          </w:rPr>
          <w:fldChar w:fldCharType="begin"/>
        </w:r>
        <w:r w:rsidR="00164CB3">
          <w:rPr>
            <w:noProof/>
            <w:webHidden/>
          </w:rPr>
          <w:instrText xml:space="preserve"> PAGEREF _Toc159851436 \h </w:instrText>
        </w:r>
        <w:r w:rsidR="00164CB3">
          <w:rPr>
            <w:noProof/>
            <w:webHidden/>
          </w:rPr>
        </w:r>
        <w:r w:rsidR="00164CB3">
          <w:rPr>
            <w:noProof/>
            <w:webHidden/>
          </w:rPr>
          <w:fldChar w:fldCharType="separate"/>
        </w:r>
        <w:r w:rsidR="00DE7A7E">
          <w:rPr>
            <w:noProof/>
            <w:webHidden/>
          </w:rPr>
          <w:t>3</w:t>
        </w:r>
        <w:r w:rsidR="00164CB3">
          <w:rPr>
            <w:noProof/>
            <w:webHidden/>
          </w:rPr>
          <w:fldChar w:fldCharType="end"/>
        </w:r>
      </w:hyperlink>
    </w:p>
    <w:p w14:paraId="17D116F9" w14:textId="55DFDF2F" w:rsidR="00164CB3" w:rsidRDefault="00000000" w:rsidP="002B08D3">
      <w:pPr>
        <w:pStyle w:val="TOC4"/>
        <w:rPr>
          <w:rFonts w:eastAsiaTheme="minorEastAsia" w:cstheme="minorBidi"/>
          <w:noProof/>
          <w:kern w:val="2"/>
          <w:sz w:val="24"/>
          <w:szCs w:val="24"/>
          <w14:ligatures w14:val="standardContextual"/>
        </w:rPr>
      </w:pPr>
      <w:hyperlink w:anchor="_Toc159851437"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Drafts</w:t>
        </w:r>
        <w:r w:rsidR="00164CB3">
          <w:rPr>
            <w:noProof/>
            <w:webHidden/>
          </w:rPr>
          <w:tab/>
        </w:r>
        <w:r w:rsidR="00164CB3">
          <w:rPr>
            <w:noProof/>
            <w:webHidden/>
          </w:rPr>
          <w:fldChar w:fldCharType="begin"/>
        </w:r>
        <w:r w:rsidR="00164CB3">
          <w:rPr>
            <w:noProof/>
            <w:webHidden/>
          </w:rPr>
          <w:instrText xml:space="preserve"> PAGEREF _Toc159851437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4B6AFAAA" w14:textId="6ED7A038" w:rsidR="00164CB3" w:rsidRDefault="00000000" w:rsidP="002B08D3">
      <w:pPr>
        <w:pStyle w:val="TOC4"/>
        <w:rPr>
          <w:rFonts w:eastAsiaTheme="minorEastAsia" w:cstheme="minorBidi"/>
          <w:noProof/>
          <w:kern w:val="2"/>
          <w:sz w:val="24"/>
          <w:szCs w:val="24"/>
          <w14:ligatures w14:val="standardContextual"/>
        </w:rPr>
      </w:pPr>
      <w:hyperlink w:anchor="_Toc159851438"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Electronic database contents</w:t>
        </w:r>
        <w:r w:rsidR="00164CB3">
          <w:rPr>
            <w:noProof/>
            <w:webHidden/>
          </w:rPr>
          <w:tab/>
        </w:r>
        <w:r w:rsidR="00164CB3">
          <w:rPr>
            <w:noProof/>
            <w:webHidden/>
          </w:rPr>
          <w:fldChar w:fldCharType="begin"/>
        </w:r>
        <w:r w:rsidR="00164CB3">
          <w:rPr>
            <w:noProof/>
            <w:webHidden/>
          </w:rPr>
          <w:instrText xml:space="preserve"> PAGEREF _Toc159851438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621F2C0A" w14:textId="5CB57C0C" w:rsidR="00164CB3" w:rsidRDefault="00000000" w:rsidP="002B08D3">
      <w:pPr>
        <w:pStyle w:val="TOC4"/>
        <w:rPr>
          <w:rFonts w:eastAsiaTheme="minorEastAsia" w:cstheme="minorBidi"/>
          <w:noProof/>
          <w:kern w:val="2"/>
          <w:sz w:val="24"/>
          <w:szCs w:val="24"/>
          <w14:ligatures w14:val="standardContextual"/>
        </w:rPr>
      </w:pPr>
      <w:hyperlink w:anchor="_Toc159851439" w:history="1">
        <w:r w:rsidR="00164CB3" w:rsidRPr="00311922">
          <w:rPr>
            <w:rStyle w:val="Hyperlink"/>
            <w:noProof/>
          </w:rPr>
          <w:t>f.</w:t>
        </w:r>
        <w:r w:rsidR="00164CB3">
          <w:rPr>
            <w:rFonts w:eastAsiaTheme="minorEastAsia" w:cstheme="minorBidi"/>
            <w:noProof/>
            <w:kern w:val="2"/>
            <w:sz w:val="24"/>
            <w:szCs w:val="24"/>
            <w14:ligatures w14:val="standardContextual"/>
          </w:rPr>
          <w:tab/>
        </w:r>
        <w:r w:rsidR="00164CB3" w:rsidRPr="00311922">
          <w:rPr>
            <w:rStyle w:val="Hyperlink"/>
            <w:noProof/>
          </w:rPr>
          <w:t xml:space="preserve"> Metadata</w:t>
        </w:r>
        <w:r w:rsidR="00164CB3">
          <w:rPr>
            <w:noProof/>
            <w:webHidden/>
          </w:rPr>
          <w:tab/>
        </w:r>
        <w:r w:rsidR="00164CB3">
          <w:rPr>
            <w:noProof/>
            <w:webHidden/>
          </w:rPr>
          <w:fldChar w:fldCharType="begin"/>
        </w:r>
        <w:r w:rsidR="00164CB3">
          <w:rPr>
            <w:noProof/>
            <w:webHidden/>
          </w:rPr>
          <w:instrText xml:space="preserve"> PAGEREF _Toc159851439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60E96521" w14:textId="0C6E504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40"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When is a Record “Kept By” a Public Office?</w:t>
        </w:r>
        <w:r w:rsidR="00164CB3">
          <w:rPr>
            <w:noProof/>
            <w:webHidden/>
          </w:rPr>
          <w:tab/>
        </w:r>
        <w:r w:rsidR="00164CB3">
          <w:rPr>
            <w:noProof/>
            <w:webHidden/>
          </w:rPr>
          <w:fldChar w:fldCharType="begin"/>
        </w:r>
        <w:r w:rsidR="00164CB3">
          <w:rPr>
            <w:noProof/>
            <w:webHidden/>
          </w:rPr>
          <w:instrText xml:space="preserve"> PAGEREF _Toc159851440 \h </w:instrText>
        </w:r>
        <w:r w:rsidR="00164CB3">
          <w:rPr>
            <w:noProof/>
            <w:webHidden/>
          </w:rPr>
        </w:r>
        <w:r w:rsidR="00164CB3">
          <w:rPr>
            <w:noProof/>
            <w:webHidden/>
          </w:rPr>
          <w:fldChar w:fldCharType="separate"/>
        </w:r>
        <w:r w:rsidR="00DE7A7E">
          <w:rPr>
            <w:noProof/>
            <w:webHidden/>
          </w:rPr>
          <w:t>4</w:t>
        </w:r>
        <w:r w:rsidR="00164CB3">
          <w:rPr>
            <w:noProof/>
            <w:webHidden/>
          </w:rPr>
          <w:fldChar w:fldCharType="end"/>
        </w:r>
      </w:hyperlink>
    </w:p>
    <w:p w14:paraId="74D99999" w14:textId="3CB3E69F"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41"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What Is a “Public Office”?</w:t>
        </w:r>
        <w:r w:rsidR="00164CB3">
          <w:rPr>
            <w:noProof/>
            <w:webHidden/>
          </w:rPr>
          <w:tab/>
        </w:r>
        <w:r w:rsidR="00164CB3">
          <w:rPr>
            <w:noProof/>
            <w:webHidden/>
          </w:rPr>
          <w:fldChar w:fldCharType="begin"/>
        </w:r>
        <w:r w:rsidR="00164CB3">
          <w:rPr>
            <w:noProof/>
            <w:webHidden/>
          </w:rPr>
          <w:instrText xml:space="preserve"> PAGEREF _Toc159851441 \h </w:instrText>
        </w:r>
        <w:r w:rsidR="00164CB3">
          <w:rPr>
            <w:noProof/>
            <w:webHidden/>
          </w:rPr>
        </w:r>
        <w:r w:rsidR="00164CB3">
          <w:rPr>
            <w:noProof/>
            <w:webHidden/>
          </w:rPr>
          <w:fldChar w:fldCharType="separate"/>
        </w:r>
        <w:r w:rsidR="00DE7A7E">
          <w:rPr>
            <w:noProof/>
            <w:webHidden/>
          </w:rPr>
          <w:t>5</w:t>
        </w:r>
        <w:r w:rsidR="00164CB3">
          <w:rPr>
            <w:noProof/>
            <w:webHidden/>
          </w:rPr>
          <w:fldChar w:fldCharType="end"/>
        </w:r>
      </w:hyperlink>
    </w:p>
    <w:p w14:paraId="5AE67106" w14:textId="5B07836F" w:rsidR="00164CB3" w:rsidRDefault="00000000" w:rsidP="002B08D3">
      <w:pPr>
        <w:pStyle w:val="TOC3"/>
        <w:rPr>
          <w:rFonts w:eastAsiaTheme="minorEastAsia" w:cstheme="minorBidi"/>
          <w:noProof/>
          <w:kern w:val="2"/>
          <w:sz w:val="24"/>
          <w:szCs w:val="24"/>
          <w14:ligatures w14:val="standardContextual"/>
        </w:rPr>
      </w:pPr>
      <w:hyperlink w:anchor="_Toc15985144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Statutory definition – R.C. 149.011(A)</w:t>
        </w:r>
        <w:r w:rsidR="00164CB3">
          <w:rPr>
            <w:noProof/>
            <w:webHidden/>
          </w:rPr>
          <w:tab/>
        </w:r>
        <w:r w:rsidR="00164CB3">
          <w:rPr>
            <w:noProof/>
            <w:webHidden/>
          </w:rPr>
          <w:fldChar w:fldCharType="begin"/>
        </w:r>
        <w:r w:rsidR="00164CB3">
          <w:rPr>
            <w:noProof/>
            <w:webHidden/>
          </w:rPr>
          <w:instrText xml:space="preserve"> PAGEREF _Toc159851442 \h </w:instrText>
        </w:r>
        <w:r w:rsidR="00164CB3">
          <w:rPr>
            <w:noProof/>
            <w:webHidden/>
          </w:rPr>
        </w:r>
        <w:r w:rsidR="00164CB3">
          <w:rPr>
            <w:noProof/>
            <w:webHidden/>
          </w:rPr>
          <w:fldChar w:fldCharType="separate"/>
        </w:r>
        <w:r w:rsidR="00DE7A7E">
          <w:rPr>
            <w:noProof/>
            <w:webHidden/>
          </w:rPr>
          <w:t>5</w:t>
        </w:r>
        <w:r w:rsidR="00164CB3">
          <w:rPr>
            <w:noProof/>
            <w:webHidden/>
          </w:rPr>
          <w:fldChar w:fldCharType="end"/>
        </w:r>
      </w:hyperlink>
    </w:p>
    <w:p w14:paraId="558AE97E" w14:textId="6CD6A353" w:rsidR="00164CB3" w:rsidRDefault="00000000" w:rsidP="002B08D3">
      <w:pPr>
        <w:pStyle w:val="TOC3"/>
        <w:rPr>
          <w:rFonts w:eastAsiaTheme="minorEastAsia" w:cstheme="minorBidi"/>
          <w:noProof/>
          <w:kern w:val="2"/>
          <w:sz w:val="24"/>
          <w:szCs w:val="24"/>
          <w14:ligatures w14:val="standardContextual"/>
        </w:rPr>
      </w:pPr>
      <w:hyperlink w:anchor="_Toc15985144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Private entities can be “public offices”</w:t>
        </w:r>
        <w:r w:rsidR="00164CB3">
          <w:rPr>
            <w:noProof/>
            <w:webHidden/>
          </w:rPr>
          <w:tab/>
        </w:r>
        <w:r w:rsidR="00164CB3">
          <w:rPr>
            <w:noProof/>
            <w:webHidden/>
          </w:rPr>
          <w:fldChar w:fldCharType="begin"/>
        </w:r>
        <w:r w:rsidR="00164CB3">
          <w:rPr>
            <w:noProof/>
            <w:webHidden/>
          </w:rPr>
          <w:instrText xml:space="preserve"> PAGEREF _Toc159851443 \h </w:instrText>
        </w:r>
        <w:r w:rsidR="00164CB3">
          <w:rPr>
            <w:noProof/>
            <w:webHidden/>
          </w:rPr>
        </w:r>
        <w:r w:rsidR="00164CB3">
          <w:rPr>
            <w:noProof/>
            <w:webHidden/>
          </w:rPr>
          <w:fldChar w:fldCharType="separate"/>
        </w:r>
        <w:r w:rsidR="00DE7A7E">
          <w:rPr>
            <w:noProof/>
            <w:webHidden/>
          </w:rPr>
          <w:t>5</w:t>
        </w:r>
        <w:r w:rsidR="00164CB3">
          <w:rPr>
            <w:noProof/>
            <w:webHidden/>
          </w:rPr>
          <w:fldChar w:fldCharType="end"/>
        </w:r>
      </w:hyperlink>
    </w:p>
    <w:p w14:paraId="4D2C5958" w14:textId="68DDED18" w:rsidR="00164CB3" w:rsidRDefault="00000000" w:rsidP="002B08D3">
      <w:pPr>
        <w:pStyle w:val="TOC3"/>
        <w:rPr>
          <w:rFonts w:eastAsiaTheme="minorEastAsia" w:cstheme="minorBidi"/>
          <w:noProof/>
          <w:kern w:val="2"/>
          <w:sz w:val="24"/>
          <w:szCs w:val="24"/>
          <w14:ligatures w14:val="standardContextual"/>
        </w:rPr>
      </w:pPr>
      <w:hyperlink w:anchor="_Toc15985144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Quasi-agency – A private entity, even if not a “public office,” can be “a person responsible for public records”</w:t>
        </w:r>
        <w:r w:rsidR="00164CB3">
          <w:rPr>
            <w:noProof/>
            <w:webHidden/>
          </w:rPr>
          <w:tab/>
        </w:r>
        <w:r w:rsidR="00164CB3">
          <w:rPr>
            <w:noProof/>
            <w:webHidden/>
          </w:rPr>
          <w:fldChar w:fldCharType="begin"/>
        </w:r>
        <w:r w:rsidR="00164CB3">
          <w:rPr>
            <w:noProof/>
            <w:webHidden/>
          </w:rPr>
          <w:instrText xml:space="preserve"> PAGEREF _Toc159851444 \h </w:instrText>
        </w:r>
        <w:r w:rsidR="00164CB3">
          <w:rPr>
            <w:noProof/>
            <w:webHidden/>
          </w:rPr>
        </w:r>
        <w:r w:rsidR="00164CB3">
          <w:rPr>
            <w:noProof/>
            <w:webHidden/>
          </w:rPr>
          <w:fldChar w:fldCharType="separate"/>
        </w:r>
        <w:r w:rsidR="00DE7A7E">
          <w:rPr>
            <w:noProof/>
            <w:webHidden/>
          </w:rPr>
          <w:t>6</w:t>
        </w:r>
        <w:r w:rsidR="00164CB3">
          <w:rPr>
            <w:noProof/>
            <w:webHidden/>
          </w:rPr>
          <w:fldChar w:fldCharType="end"/>
        </w:r>
      </w:hyperlink>
    </w:p>
    <w:p w14:paraId="396C6541" w14:textId="3BA8718F" w:rsidR="00164CB3" w:rsidRDefault="00000000" w:rsidP="002B08D3">
      <w:pPr>
        <w:pStyle w:val="TOC3"/>
        <w:rPr>
          <w:rFonts w:eastAsiaTheme="minorEastAsia" w:cstheme="minorBidi"/>
          <w:noProof/>
          <w:kern w:val="2"/>
          <w:sz w:val="24"/>
          <w:szCs w:val="24"/>
          <w14:ligatures w14:val="standardContextual"/>
        </w:rPr>
      </w:pPr>
      <w:hyperlink w:anchor="_Toc15985144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Public office is responsible for its own records</w:t>
        </w:r>
        <w:r w:rsidR="00164CB3">
          <w:rPr>
            <w:noProof/>
            <w:webHidden/>
          </w:rPr>
          <w:tab/>
        </w:r>
        <w:r w:rsidR="00164CB3">
          <w:rPr>
            <w:noProof/>
            <w:webHidden/>
          </w:rPr>
          <w:fldChar w:fldCharType="begin"/>
        </w:r>
        <w:r w:rsidR="00164CB3">
          <w:rPr>
            <w:noProof/>
            <w:webHidden/>
          </w:rPr>
          <w:instrText xml:space="preserve"> PAGEREF _Toc159851445 \h </w:instrText>
        </w:r>
        <w:r w:rsidR="00164CB3">
          <w:rPr>
            <w:noProof/>
            <w:webHidden/>
          </w:rPr>
        </w:r>
        <w:r w:rsidR="00164CB3">
          <w:rPr>
            <w:noProof/>
            <w:webHidden/>
          </w:rPr>
          <w:fldChar w:fldCharType="separate"/>
        </w:r>
        <w:r w:rsidR="00DE7A7E">
          <w:rPr>
            <w:noProof/>
            <w:webHidden/>
          </w:rPr>
          <w:t>6</w:t>
        </w:r>
        <w:r w:rsidR="00164CB3">
          <w:rPr>
            <w:noProof/>
            <w:webHidden/>
          </w:rPr>
          <w:fldChar w:fldCharType="end"/>
        </w:r>
      </w:hyperlink>
    </w:p>
    <w:p w14:paraId="0E7531C1" w14:textId="44ED7126"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446" w:history="1">
        <w:r w:rsidR="00164CB3" w:rsidRPr="00311922">
          <w:rPr>
            <w:rStyle w:val="Hyperlink"/>
            <w:noProof/>
          </w:rPr>
          <w:t>II.</w:t>
        </w:r>
        <w:r w:rsidR="00164CB3">
          <w:rPr>
            <w:rFonts w:eastAsiaTheme="minorEastAsia" w:cstheme="minorBidi"/>
            <w:bCs w:val="0"/>
            <w:noProof/>
            <w:kern w:val="2"/>
            <w14:ligatures w14:val="standardContextual"/>
          </w:rPr>
          <w:tab/>
        </w:r>
        <w:r w:rsidR="00164CB3" w:rsidRPr="00311922">
          <w:rPr>
            <w:rStyle w:val="Hyperlink"/>
            <w:noProof/>
          </w:rPr>
          <w:t>Chapter Two:  Requesting Public Records</w:t>
        </w:r>
        <w:r w:rsidR="00164CB3">
          <w:rPr>
            <w:noProof/>
            <w:webHidden/>
          </w:rPr>
          <w:tab/>
        </w:r>
        <w:r w:rsidR="00164CB3">
          <w:rPr>
            <w:noProof/>
            <w:webHidden/>
          </w:rPr>
          <w:fldChar w:fldCharType="begin"/>
        </w:r>
        <w:r w:rsidR="00164CB3">
          <w:rPr>
            <w:noProof/>
            <w:webHidden/>
          </w:rPr>
          <w:instrText xml:space="preserve"> PAGEREF _Toc159851446 \h </w:instrText>
        </w:r>
        <w:r w:rsidR="00164CB3">
          <w:rPr>
            <w:noProof/>
            <w:webHidden/>
          </w:rPr>
        </w:r>
        <w:r w:rsidR="00164CB3">
          <w:rPr>
            <w:noProof/>
            <w:webHidden/>
          </w:rPr>
          <w:fldChar w:fldCharType="separate"/>
        </w:r>
        <w:r w:rsidR="00DE7A7E">
          <w:rPr>
            <w:noProof/>
            <w:webHidden/>
          </w:rPr>
          <w:t>12</w:t>
        </w:r>
        <w:r w:rsidR="00164CB3">
          <w:rPr>
            <w:noProof/>
            <w:webHidden/>
          </w:rPr>
          <w:fldChar w:fldCharType="end"/>
        </w:r>
      </w:hyperlink>
    </w:p>
    <w:p w14:paraId="41026300" w14:textId="231F16D4"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47"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Rights and Obligations of Public Records Requesters and Public Offices</w:t>
        </w:r>
        <w:r w:rsidR="00164CB3">
          <w:rPr>
            <w:noProof/>
            <w:webHidden/>
          </w:rPr>
          <w:tab/>
        </w:r>
        <w:r w:rsidR="00164CB3">
          <w:rPr>
            <w:noProof/>
            <w:webHidden/>
          </w:rPr>
          <w:fldChar w:fldCharType="begin"/>
        </w:r>
        <w:r w:rsidR="00164CB3">
          <w:rPr>
            <w:noProof/>
            <w:webHidden/>
          </w:rPr>
          <w:instrText xml:space="preserve"> PAGEREF _Toc159851447 \h </w:instrText>
        </w:r>
        <w:r w:rsidR="00164CB3">
          <w:rPr>
            <w:noProof/>
            <w:webHidden/>
          </w:rPr>
        </w:r>
        <w:r w:rsidR="00164CB3">
          <w:rPr>
            <w:noProof/>
            <w:webHidden/>
          </w:rPr>
          <w:fldChar w:fldCharType="separate"/>
        </w:r>
        <w:r w:rsidR="00DE7A7E">
          <w:rPr>
            <w:noProof/>
            <w:webHidden/>
          </w:rPr>
          <w:t>12</w:t>
        </w:r>
        <w:r w:rsidR="00164CB3">
          <w:rPr>
            <w:noProof/>
            <w:webHidden/>
          </w:rPr>
          <w:fldChar w:fldCharType="end"/>
        </w:r>
      </w:hyperlink>
    </w:p>
    <w:p w14:paraId="139CBF16" w14:textId="630526AB" w:rsidR="00164CB3" w:rsidRDefault="00000000" w:rsidP="002B08D3">
      <w:pPr>
        <w:pStyle w:val="TOC3"/>
        <w:rPr>
          <w:rFonts w:eastAsiaTheme="minorEastAsia" w:cstheme="minorBidi"/>
          <w:noProof/>
          <w:kern w:val="2"/>
          <w:sz w:val="24"/>
          <w:szCs w:val="24"/>
          <w14:ligatures w14:val="standardContextual"/>
        </w:rPr>
      </w:pPr>
      <w:hyperlink w:anchor="_Toc15985144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Organization and maintenance of public records</w:t>
        </w:r>
        <w:r w:rsidR="00164CB3">
          <w:rPr>
            <w:noProof/>
            <w:webHidden/>
          </w:rPr>
          <w:tab/>
        </w:r>
        <w:r w:rsidR="00164CB3">
          <w:rPr>
            <w:noProof/>
            <w:webHidden/>
          </w:rPr>
          <w:fldChar w:fldCharType="begin"/>
        </w:r>
        <w:r w:rsidR="00164CB3">
          <w:rPr>
            <w:noProof/>
            <w:webHidden/>
          </w:rPr>
          <w:instrText xml:space="preserve"> PAGEREF _Toc159851448 \h </w:instrText>
        </w:r>
        <w:r w:rsidR="00164CB3">
          <w:rPr>
            <w:noProof/>
            <w:webHidden/>
          </w:rPr>
        </w:r>
        <w:r w:rsidR="00164CB3">
          <w:rPr>
            <w:noProof/>
            <w:webHidden/>
          </w:rPr>
          <w:fldChar w:fldCharType="separate"/>
        </w:r>
        <w:r w:rsidR="00DE7A7E">
          <w:rPr>
            <w:noProof/>
            <w:webHidden/>
          </w:rPr>
          <w:t>12</w:t>
        </w:r>
        <w:r w:rsidR="00164CB3">
          <w:rPr>
            <w:noProof/>
            <w:webHidden/>
          </w:rPr>
          <w:fldChar w:fldCharType="end"/>
        </w:r>
      </w:hyperlink>
    </w:p>
    <w:p w14:paraId="7F5B586D" w14:textId="283722DB" w:rsidR="00164CB3" w:rsidRDefault="00000000" w:rsidP="002B08D3">
      <w:pPr>
        <w:pStyle w:val="TOC3"/>
        <w:rPr>
          <w:rFonts w:eastAsiaTheme="minorEastAsia" w:cstheme="minorBidi"/>
          <w:noProof/>
          <w:kern w:val="2"/>
          <w:sz w:val="24"/>
          <w:szCs w:val="24"/>
          <w14:ligatures w14:val="standardContextual"/>
        </w:rPr>
      </w:pPr>
      <w:hyperlink w:anchor="_Toc15985144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“Any person” may make a request</w:t>
        </w:r>
        <w:r w:rsidR="00164CB3">
          <w:rPr>
            <w:noProof/>
            <w:webHidden/>
          </w:rPr>
          <w:tab/>
        </w:r>
        <w:r w:rsidR="00164CB3">
          <w:rPr>
            <w:noProof/>
            <w:webHidden/>
          </w:rPr>
          <w:fldChar w:fldCharType="begin"/>
        </w:r>
        <w:r w:rsidR="00164CB3">
          <w:rPr>
            <w:noProof/>
            <w:webHidden/>
          </w:rPr>
          <w:instrText xml:space="preserve"> PAGEREF _Toc159851449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6E5C3898" w14:textId="4BF4AEFF" w:rsidR="00164CB3" w:rsidRDefault="00000000" w:rsidP="002B08D3">
      <w:pPr>
        <w:pStyle w:val="TOC3"/>
        <w:rPr>
          <w:rFonts w:eastAsiaTheme="minorEastAsia" w:cstheme="minorBidi"/>
          <w:noProof/>
          <w:kern w:val="2"/>
          <w:sz w:val="24"/>
          <w:szCs w:val="24"/>
          <w14:ligatures w14:val="standardContextual"/>
        </w:rPr>
      </w:pPr>
      <w:hyperlink w:anchor="_Toc15985145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The request must be for the public office’s existing records</w:t>
        </w:r>
        <w:r w:rsidR="00164CB3">
          <w:rPr>
            <w:noProof/>
            <w:webHidden/>
          </w:rPr>
          <w:tab/>
        </w:r>
        <w:r w:rsidR="00164CB3">
          <w:rPr>
            <w:noProof/>
            <w:webHidden/>
          </w:rPr>
          <w:fldChar w:fldCharType="begin"/>
        </w:r>
        <w:r w:rsidR="00164CB3">
          <w:rPr>
            <w:noProof/>
            <w:webHidden/>
          </w:rPr>
          <w:instrText xml:space="preserve"> PAGEREF _Toc159851450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62F407BE" w14:textId="2C7C49FE" w:rsidR="00164CB3" w:rsidRDefault="00000000" w:rsidP="002B08D3">
      <w:pPr>
        <w:pStyle w:val="TOC3"/>
        <w:rPr>
          <w:rFonts w:eastAsiaTheme="minorEastAsia" w:cstheme="minorBidi"/>
          <w:noProof/>
          <w:kern w:val="2"/>
          <w:sz w:val="24"/>
          <w:szCs w:val="24"/>
          <w14:ligatures w14:val="standardContextual"/>
        </w:rPr>
      </w:pPr>
      <w:hyperlink w:anchor="_Toc15985145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A request must be specific enough for the public office to reasonably identify responsive records</w:t>
        </w:r>
        <w:r w:rsidR="00164CB3">
          <w:rPr>
            <w:noProof/>
            <w:webHidden/>
          </w:rPr>
          <w:tab/>
        </w:r>
        <w:r w:rsidR="00164CB3">
          <w:rPr>
            <w:noProof/>
            <w:webHidden/>
          </w:rPr>
          <w:fldChar w:fldCharType="begin"/>
        </w:r>
        <w:r w:rsidR="00164CB3">
          <w:rPr>
            <w:noProof/>
            <w:webHidden/>
          </w:rPr>
          <w:instrText xml:space="preserve"> PAGEREF _Toc159851451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46D9ECD9" w14:textId="38F79409" w:rsidR="00164CB3" w:rsidRDefault="00000000" w:rsidP="002B08D3">
      <w:pPr>
        <w:pStyle w:val="TOC3"/>
        <w:rPr>
          <w:rFonts w:eastAsiaTheme="minorEastAsia" w:cstheme="minorBidi"/>
          <w:noProof/>
          <w:kern w:val="2"/>
          <w:sz w:val="24"/>
          <w:szCs w:val="24"/>
          <w14:ligatures w14:val="standardContextual"/>
        </w:rPr>
      </w:pPr>
      <w:hyperlink w:anchor="_Toc159851452"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Overly broad or ambiguous requests</w:t>
        </w:r>
        <w:r w:rsidR="00164CB3">
          <w:rPr>
            <w:noProof/>
            <w:webHidden/>
          </w:rPr>
          <w:tab/>
        </w:r>
        <w:r w:rsidR="00164CB3">
          <w:rPr>
            <w:noProof/>
            <w:webHidden/>
          </w:rPr>
          <w:fldChar w:fldCharType="begin"/>
        </w:r>
        <w:r w:rsidR="00164CB3">
          <w:rPr>
            <w:noProof/>
            <w:webHidden/>
          </w:rPr>
          <w:instrText xml:space="preserve"> PAGEREF _Toc159851452 \h </w:instrText>
        </w:r>
        <w:r w:rsidR="00164CB3">
          <w:rPr>
            <w:noProof/>
            <w:webHidden/>
          </w:rPr>
        </w:r>
        <w:r w:rsidR="00164CB3">
          <w:rPr>
            <w:noProof/>
            <w:webHidden/>
          </w:rPr>
          <w:fldChar w:fldCharType="separate"/>
        </w:r>
        <w:r w:rsidR="00DE7A7E">
          <w:rPr>
            <w:noProof/>
            <w:webHidden/>
          </w:rPr>
          <w:t>13</w:t>
        </w:r>
        <w:r w:rsidR="00164CB3">
          <w:rPr>
            <w:noProof/>
            <w:webHidden/>
          </w:rPr>
          <w:fldChar w:fldCharType="end"/>
        </w:r>
      </w:hyperlink>
    </w:p>
    <w:p w14:paraId="31601F18" w14:textId="41167404" w:rsidR="00164CB3" w:rsidRDefault="00000000" w:rsidP="002B08D3">
      <w:pPr>
        <w:pStyle w:val="TOC3"/>
        <w:rPr>
          <w:rFonts w:eastAsiaTheme="minorEastAsia" w:cstheme="minorBidi"/>
          <w:noProof/>
          <w:kern w:val="2"/>
          <w:sz w:val="24"/>
          <w:szCs w:val="24"/>
          <w14:ligatures w14:val="standardContextual"/>
        </w:rPr>
      </w:pPr>
      <w:hyperlink w:anchor="_Toc159851453"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Denying, and then clarifying, an ambiguous or overly broad request</w:t>
        </w:r>
        <w:r w:rsidR="00164CB3">
          <w:rPr>
            <w:noProof/>
            <w:webHidden/>
          </w:rPr>
          <w:tab/>
        </w:r>
        <w:r w:rsidR="00164CB3">
          <w:rPr>
            <w:noProof/>
            <w:webHidden/>
          </w:rPr>
          <w:fldChar w:fldCharType="begin"/>
        </w:r>
        <w:r w:rsidR="00164CB3">
          <w:rPr>
            <w:noProof/>
            <w:webHidden/>
          </w:rPr>
          <w:instrText xml:space="preserve"> PAGEREF _Toc159851453 \h </w:instrText>
        </w:r>
        <w:r w:rsidR="00164CB3">
          <w:rPr>
            <w:noProof/>
            <w:webHidden/>
          </w:rPr>
        </w:r>
        <w:r w:rsidR="00164CB3">
          <w:rPr>
            <w:noProof/>
            <w:webHidden/>
          </w:rPr>
          <w:fldChar w:fldCharType="separate"/>
        </w:r>
        <w:r w:rsidR="00DE7A7E">
          <w:rPr>
            <w:noProof/>
            <w:webHidden/>
          </w:rPr>
          <w:t>14</w:t>
        </w:r>
        <w:r w:rsidR="00164CB3">
          <w:rPr>
            <w:noProof/>
            <w:webHidden/>
          </w:rPr>
          <w:fldChar w:fldCharType="end"/>
        </w:r>
      </w:hyperlink>
    </w:p>
    <w:p w14:paraId="4F95A286" w14:textId="168000BB" w:rsidR="00164CB3" w:rsidRDefault="00000000" w:rsidP="002B08D3">
      <w:pPr>
        <w:pStyle w:val="TOC3"/>
        <w:rPr>
          <w:rFonts w:eastAsiaTheme="minorEastAsia" w:cstheme="minorBidi"/>
          <w:noProof/>
          <w:kern w:val="2"/>
          <w:sz w:val="24"/>
          <w:szCs w:val="24"/>
          <w14:ligatures w14:val="standardContextual"/>
        </w:rPr>
      </w:pPr>
      <w:hyperlink w:anchor="_Toc159851454"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Unless a specific law provides otherwise, requests can be for any purpose, and need not identify the requester or be made in writing</w:t>
        </w:r>
        <w:r w:rsidR="00164CB3">
          <w:rPr>
            <w:noProof/>
            <w:webHidden/>
          </w:rPr>
          <w:tab/>
        </w:r>
        <w:r w:rsidR="00164CB3">
          <w:rPr>
            <w:noProof/>
            <w:webHidden/>
          </w:rPr>
          <w:fldChar w:fldCharType="begin"/>
        </w:r>
        <w:r w:rsidR="00164CB3">
          <w:rPr>
            <w:noProof/>
            <w:webHidden/>
          </w:rPr>
          <w:instrText xml:space="preserve"> PAGEREF _Toc159851454 \h </w:instrText>
        </w:r>
        <w:r w:rsidR="00164CB3">
          <w:rPr>
            <w:noProof/>
            <w:webHidden/>
          </w:rPr>
        </w:r>
        <w:r w:rsidR="00164CB3">
          <w:rPr>
            <w:noProof/>
            <w:webHidden/>
          </w:rPr>
          <w:fldChar w:fldCharType="separate"/>
        </w:r>
        <w:r w:rsidR="00DE7A7E">
          <w:rPr>
            <w:noProof/>
            <w:webHidden/>
          </w:rPr>
          <w:t>14</w:t>
        </w:r>
        <w:r w:rsidR="00164CB3">
          <w:rPr>
            <w:noProof/>
            <w:webHidden/>
          </w:rPr>
          <w:fldChar w:fldCharType="end"/>
        </w:r>
      </w:hyperlink>
    </w:p>
    <w:p w14:paraId="3A88E178" w14:textId="343CB07A" w:rsidR="00164CB3" w:rsidRDefault="00000000" w:rsidP="002B08D3">
      <w:pPr>
        <w:pStyle w:val="TOC3"/>
        <w:rPr>
          <w:rFonts w:eastAsiaTheme="minorEastAsia" w:cstheme="minorBidi"/>
          <w:noProof/>
          <w:kern w:val="2"/>
          <w:sz w:val="24"/>
          <w:szCs w:val="24"/>
          <w14:ligatures w14:val="standardContextual"/>
        </w:rPr>
      </w:pPr>
      <w:hyperlink w:anchor="_Toc159851455" w:history="1">
        <w:r w:rsidR="00164CB3" w:rsidRPr="00311922">
          <w:rPr>
            <w:rStyle w:val="Hyperlink"/>
            <w:noProof/>
          </w:rPr>
          <w:t>8.</w:t>
        </w:r>
        <w:r w:rsidR="00164CB3">
          <w:rPr>
            <w:rFonts w:eastAsiaTheme="minorEastAsia" w:cstheme="minorBidi"/>
            <w:noProof/>
            <w:kern w:val="2"/>
            <w:sz w:val="24"/>
            <w:szCs w:val="24"/>
            <w14:ligatures w14:val="standardContextual"/>
          </w:rPr>
          <w:tab/>
        </w:r>
        <w:r w:rsidR="00164CB3" w:rsidRPr="00311922">
          <w:rPr>
            <w:rStyle w:val="Hyperlink"/>
            <w:noProof/>
          </w:rPr>
          <w:t>Optional negotiation when identity, purpose, or request in writing would assist identifying, locating, or delivering requested records</w:t>
        </w:r>
        <w:r w:rsidR="00164CB3">
          <w:rPr>
            <w:noProof/>
            <w:webHidden/>
          </w:rPr>
          <w:tab/>
        </w:r>
        <w:r w:rsidR="00164CB3">
          <w:rPr>
            <w:noProof/>
            <w:webHidden/>
          </w:rPr>
          <w:fldChar w:fldCharType="begin"/>
        </w:r>
        <w:r w:rsidR="00164CB3">
          <w:rPr>
            <w:noProof/>
            <w:webHidden/>
          </w:rPr>
          <w:instrText xml:space="preserve"> PAGEREF _Toc159851455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303E9CED" w14:textId="155572A5" w:rsidR="00164CB3" w:rsidRDefault="00000000" w:rsidP="002B08D3">
      <w:pPr>
        <w:pStyle w:val="TOC3"/>
        <w:rPr>
          <w:rFonts w:eastAsiaTheme="minorEastAsia" w:cstheme="minorBidi"/>
          <w:noProof/>
          <w:kern w:val="2"/>
          <w:sz w:val="24"/>
          <w:szCs w:val="24"/>
          <w14:ligatures w14:val="standardContextual"/>
        </w:rPr>
      </w:pPr>
      <w:hyperlink w:anchor="_Toc159851456" w:history="1">
        <w:r w:rsidR="00164CB3" w:rsidRPr="00311922">
          <w:rPr>
            <w:rStyle w:val="Hyperlink"/>
            <w:noProof/>
          </w:rPr>
          <w:t>9.</w:t>
        </w:r>
        <w:r w:rsidR="00164CB3">
          <w:rPr>
            <w:rFonts w:eastAsiaTheme="minorEastAsia" w:cstheme="minorBidi"/>
            <w:noProof/>
            <w:kern w:val="2"/>
            <w:sz w:val="24"/>
            <w:szCs w:val="24"/>
            <w14:ligatures w14:val="standardContextual"/>
          </w:rPr>
          <w:tab/>
        </w:r>
        <w:r w:rsidR="00164CB3" w:rsidRPr="00311922">
          <w:rPr>
            <w:rStyle w:val="Hyperlink"/>
            <w:noProof/>
          </w:rPr>
          <w:t>Requester can choose media on which copies are made</w:t>
        </w:r>
        <w:r w:rsidR="00164CB3">
          <w:rPr>
            <w:noProof/>
            <w:webHidden/>
          </w:rPr>
          <w:tab/>
        </w:r>
        <w:r w:rsidR="00164CB3">
          <w:rPr>
            <w:noProof/>
            <w:webHidden/>
          </w:rPr>
          <w:fldChar w:fldCharType="begin"/>
        </w:r>
        <w:r w:rsidR="00164CB3">
          <w:rPr>
            <w:noProof/>
            <w:webHidden/>
          </w:rPr>
          <w:instrText xml:space="preserve"> PAGEREF _Toc159851456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6D16EBE3" w14:textId="11A6243B" w:rsidR="00164CB3" w:rsidRDefault="00000000" w:rsidP="002B08D3">
      <w:pPr>
        <w:pStyle w:val="TOC3"/>
        <w:rPr>
          <w:rFonts w:eastAsiaTheme="minorEastAsia" w:cstheme="minorBidi"/>
          <w:noProof/>
          <w:kern w:val="2"/>
          <w:sz w:val="24"/>
          <w:szCs w:val="24"/>
          <w14:ligatures w14:val="standardContextual"/>
        </w:rPr>
      </w:pPr>
      <w:hyperlink w:anchor="_Toc159851457" w:history="1">
        <w:r w:rsidR="00164CB3" w:rsidRPr="00311922">
          <w:rPr>
            <w:rStyle w:val="Hyperlink"/>
            <w:noProof/>
          </w:rPr>
          <w:t>10.</w:t>
        </w:r>
        <w:r w:rsidR="00164CB3">
          <w:rPr>
            <w:rFonts w:eastAsiaTheme="minorEastAsia" w:cstheme="minorBidi"/>
            <w:noProof/>
            <w:kern w:val="2"/>
            <w:sz w:val="24"/>
            <w:szCs w:val="24"/>
            <w14:ligatures w14:val="standardContextual"/>
          </w:rPr>
          <w:tab/>
        </w:r>
        <w:r w:rsidR="00164CB3" w:rsidRPr="00311922">
          <w:rPr>
            <w:rStyle w:val="Hyperlink"/>
            <w:noProof/>
          </w:rPr>
          <w:t>Requester can choose pick-up, delivery, or transmission of copies; public office may charge delivery costs</w:t>
        </w:r>
        <w:r w:rsidR="00164CB3">
          <w:rPr>
            <w:noProof/>
            <w:webHidden/>
          </w:rPr>
          <w:tab/>
        </w:r>
        <w:r w:rsidR="00164CB3">
          <w:rPr>
            <w:noProof/>
            <w:webHidden/>
          </w:rPr>
          <w:fldChar w:fldCharType="begin"/>
        </w:r>
        <w:r w:rsidR="00164CB3">
          <w:rPr>
            <w:noProof/>
            <w:webHidden/>
          </w:rPr>
          <w:instrText xml:space="preserve"> PAGEREF _Toc159851457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236461B9" w14:textId="2ADA01E0" w:rsidR="00164CB3" w:rsidRDefault="00000000" w:rsidP="002B08D3">
      <w:pPr>
        <w:pStyle w:val="TOC3"/>
        <w:rPr>
          <w:rFonts w:eastAsiaTheme="minorEastAsia" w:cstheme="minorBidi"/>
          <w:noProof/>
          <w:kern w:val="2"/>
          <w:sz w:val="24"/>
          <w:szCs w:val="24"/>
          <w14:ligatures w14:val="standardContextual"/>
        </w:rPr>
      </w:pPr>
      <w:hyperlink w:anchor="_Toc159851458" w:history="1">
        <w:r w:rsidR="00164CB3" w:rsidRPr="00311922">
          <w:rPr>
            <w:rStyle w:val="Hyperlink"/>
            <w:noProof/>
          </w:rPr>
          <w:t>11.</w:t>
        </w:r>
        <w:r w:rsidR="00164CB3">
          <w:rPr>
            <w:rFonts w:eastAsiaTheme="minorEastAsia" w:cstheme="minorBidi"/>
            <w:noProof/>
            <w:kern w:val="2"/>
            <w:sz w:val="24"/>
            <w:szCs w:val="24"/>
            <w14:ligatures w14:val="standardContextual"/>
          </w:rPr>
          <w:tab/>
        </w:r>
        <w:r w:rsidR="00164CB3" w:rsidRPr="00311922">
          <w:rPr>
            <w:rStyle w:val="Hyperlink"/>
            <w:noProof/>
          </w:rPr>
          <w:t>Prompt inspection, or copies within a reasonable period of time</w:t>
        </w:r>
        <w:r w:rsidR="00164CB3">
          <w:rPr>
            <w:noProof/>
            <w:webHidden/>
          </w:rPr>
          <w:tab/>
        </w:r>
        <w:r w:rsidR="00164CB3">
          <w:rPr>
            <w:noProof/>
            <w:webHidden/>
          </w:rPr>
          <w:fldChar w:fldCharType="begin"/>
        </w:r>
        <w:r w:rsidR="00164CB3">
          <w:rPr>
            <w:noProof/>
            <w:webHidden/>
          </w:rPr>
          <w:instrText xml:space="preserve"> PAGEREF _Toc159851458 \h </w:instrText>
        </w:r>
        <w:r w:rsidR="00164CB3">
          <w:rPr>
            <w:noProof/>
            <w:webHidden/>
          </w:rPr>
        </w:r>
        <w:r w:rsidR="00164CB3">
          <w:rPr>
            <w:noProof/>
            <w:webHidden/>
          </w:rPr>
          <w:fldChar w:fldCharType="separate"/>
        </w:r>
        <w:r w:rsidR="00DE7A7E">
          <w:rPr>
            <w:noProof/>
            <w:webHidden/>
          </w:rPr>
          <w:t>15</w:t>
        </w:r>
        <w:r w:rsidR="00164CB3">
          <w:rPr>
            <w:noProof/>
            <w:webHidden/>
          </w:rPr>
          <w:fldChar w:fldCharType="end"/>
        </w:r>
      </w:hyperlink>
    </w:p>
    <w:p w14:paraId="5D05AC3B" w14:textId="3862B9D6" w:rsidR="00164CB3" w:rsidRDefault="00000000" w:rsidP="002B08D3">
      <w:pPr>
        <w:pStyle w:val="TOC3"/>
        <w:rPr>
          <w:rFonts w:eastAsiaTheme="minorEastAsia" w:cstheme="minorBidi"/>
          <w:noProof/>
          <w:kern w:val="2"/>
          <w:sz w:val="24"/>
          <w:szCs w:val="24"/>
          <w14:ligatures w14:val="standardContextual"/>
        </w:rPr>
      </w:pPr>
      <w:hyperlink w:anchor="_Toc159851459" w:history="1">
        <w:r w:rsidR="00164CB3" w:rsidRPr="00311922">
          <w:rPr>
            <w:rStyle w:val="Hyperlink"/>
            <w:noProof/>
          </w:rPr>
          <w:t>12.</w:t>
        </w:r>
        <w:r w:rsidR="00164CB3">
          <w:rPr>
            <w:rFonts w:eastAsiaTheme="minorEastAsia" w:cstheme="minorBidi"/>
            <w:noProof/>
            <w:kern w:val="2"/>
            <w:sz w:val="24"/>
            <w:szCs w:val="24"/>
            <w14:ligatures w14:val="standardContextual"/>
          </w:rPr>
          <w:tab/>
        </w:r>
        <w:r w:rsidR="00164CB3" w:rsidRPr="00311922">
          <w:rPr>
            <w:rStyle w:val="Hyperlink"/>
            <w:noProof/>
          </w:rPr>
          <w:t>Inspection at no cost during regular business hours</w:t>
        </w:r>
        <w:r w:rsidR="00164CB3">
          <w:rPr>
            <w:noProof/>
            <w:webHidden/>
          </w:rPr>
          <w:tab/>
        </w:r>
        <w:r w:rsidR="00164CB3">
          <w:rPr>
            <w:noProof/>
            <w:webHidden/>
          </w:rPr>
          <w:fldChar w:fldCharType="begin"/>
        </w:r>
        <w:r w:rsidR="00164CB3">
          <w:rPr>
            <w:noProof/>
            <w:webHidden/>
          </w:rPr>
          <w:instrText xml:space="preserve"> PAGEREF _Toc159851459 \h </w:instrText>
        </w:r>
        <w:r w:rsidR="00164CB3">
          <w:rPr>
            <w:noProof/>
            <w:webHidden/>
          </w:rPr>
        </w:r>
        <w:r w:rsidR="00164CB3">
          <w:rPr>
            <w:noProof/>
            <w:webHidden/>
          </w:rPr>
          <w:fldChar w:fldCharType="separate"/>
        </w:r>
        <w:r w:rsidR="00DE7A7E">
          <w:rPr>
            <w:noProof/>
            <w:webHidden/>
          </w:rPr>
          <w:t>16</w:t>
        </w:r>
        <w:r w:rsidR="00164CB3">
          <w:rPr>
            <w:noProof/>
            <w:webHidden/>
          </w:rPr>
          <w:fldChar w:fldCharType="end"/>
        </w:r>
      </w:hyperlink>
    </w:p>
    <w:p w14:paraId="3DAD2BD9" w14:textId="7B04BE65" w:rsidR="00164CB3" w:rsidRDefault="00000000" w:rsidP="002B08D3">
      <w:pPr>
        <w:pStyle w:val="TOC3"/>
        <w:rPr>
          <w:rFonts w:eastAsiaTheme="minorEastAsia" w:cstheme="minorBidi"/>
          <w:noProof/>
          <w:kern w:val="2"/>
          <w:sz w:val="24"/>
          <w:szCs w:val="24"/>
          <w14:ligatures w14:val="standardContextual"/>
        </w:rPr>
      </w:pPr>
      <w:hyperlink w:anchor="_Toc159851460" w:history="1">
        <w:r w:rsidR="00164CB3" w:rsidRPr="00311922">
          <w:rPr>
            <w:rStyle w:val="Hyperlink"/>
            <w:noProof/>
          </w:rPr>
          <w:t>13.</w:t>
        </w:r>
        <w:r w:rsidR="00164CB3">
          <w:rPr>
            <w:rFonts w:eastAsiaTheme="minorEastAsia" w:cstheme="minorBidi"/>
            <w:noProof/>
            <w:kern w:val="2"/>
            <w:sz w:val="24"/>
            <w:szCs w:val="24"/>
            <w14:ligatures w14:val="standardContextual"/>
          </w:rPr>
          <w:tab/>
        </w:r>
        <w:r w:rsidR="00164CB3" w:rsidRPr="00311922">
          <w:rPr>
            <w:rStyle w:val="Hyperlink"/>
            <w:noProof/>
          </w:rPr>
          <w:t>Copies, and delivery or transmission, “at cost”</w:t>
        </w:r>
        <w:r w:rsidR="00164CB3">
          <w:rPr>
            <w:noProof/>
            <w:webHidden/>
          </w:rPr>
          <w:tab/>
        </w:r>
        <w:r w:rsidR="00164CB3">
          <w:rPr>
            <w:noProof/>
            <w:webHidden/>
          </w:rPr>
          <w:fldChar w:fldCharType="begin"/>
        </w:r>
        <w:r w:rsidR="00164CB3">
          <w:rPr>
            <w:noProof/>
            <w:webHidden/>
          </w:rPr>
          <w:instrText xml:space="preserve"> PAGEREF _Toc159851460 \h </w:instrText>
        </w:r>
        <w:r w:rsidR="00164CB3">
          <w:rPr>
            <w:noProof/>
            <w:webHidden/>
          </w:rPr>
        </w:r>
        <w:r w:rsidR="00164CB3">
          <w:rPr>
            <w:noProof/>
            <w:webHidden/>
          </w:rPr>
          <w:fldChar w:fldCharType="separate"/>
        </w:r>
        <w:r w:rsidR="00DE7A7E">
          <w:rPr>
            <w:noProof/>
            <w:webHidden/>
          </w:rPr>
          <w:t>16</w:t>
        </w:r>
        <w:r w:rsidR="00164CB3">
          <w:rPr>
            <w:noProof/>
            <w:webHidden/>
          </w:rPr>
          <w:fldChar w:fldCharType="end"/>
        </w:r>
      </w:hyperlink>
    </w:p>
    <w:p w14:paraId="37780A8F" w14:textId="5FD44761" w:rsidR="00164CB3" w:rsidRDefault="00000000" w:rsidP="002B08D3">
      <w:pPr>
        <w:pStyle w:val="TOC3"/>
        <w:rPr>
          <w:rFonts w:eastAsiaTheme="minorEastAsia" w:cstheme="minorBidi"/>
          <w:noProof/>
          <w:kern w:val="2"/>
          <w:sz w:val="24"/>
          <w:szCs w:val="24"/>
          <w14:ligatures w14:val="standardContextual"/>
        </w:rPr>
      </w:pPr>
      <w:hyperlink w:anchor="_Toc159851461" w:history="1">
        <w:r w:rsidR="00164CB3" w:rsidRPr="00311922">
          <w:rPr>
            <w:rStyle w:val="Hyperlink"/>
            <w:noProof/>
          </w:rPr>
          <w:t>14.</w:t>
        </w:r>
        <w:r w:rsidR="00164CB3">
          <w:rPr>
            <w:rFonts w:eastAsiaTheme="minorEastAsia" w:cstheme="minorBidi"/>
            <w:noProof/>
            <w:kern w:val="2"/>
            <w:sz w:val="24"/>
            <w:szCs w:val="24"/>
            <w14:ligatures w14:val="standardContextual"/>
          </w:rPr>
          <w:tab/>
        </w:r>
        <w:r w:rsidR="00164CB3" w:rsidRPr="00311922">
          <w:rPr>
            <w:rStyle w:val="Hyperlink"/>
            <w:noProof/>
          </w:rPr>
          <w:t>What responsive records can the public office withhold?</w:t>
        </w:r>
        <w:r w:rsidR="00164CB3">
          <w:rPr>
            <w:noProof/>
            <w:webHidden/>
          </w:rPr>
          <w:tab/>
        </w:r>
        <w:r w:rsidR="00164CB3">
          <w:rPr>
            <w:noProof/>
            <w:webHidden/>
          </w:rPr>
          <w:fldChar w:fldCharType="begin"/>
        </w:r>
        <w:r w:rsidR="00164CB3">
          <w:rPr>
            <w:noProof/>
            <w:webHidden/>
          </w:rPr>
          <w:instrText xml:space="preserve"> PAGEREF _Toc159851461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1339EAEA" w14:textId="4A0EFF31" w:rsidR="00164CB3" w:rsidRDefault="00000000" w:rsidP="002B08D3">
      <w:pPr>
        <w:pStyle w:val="TOC4"/>
        <w:rPr>
          <w:rFonts w:eastAsiaTheme="minorEastAsia" w:cstheme="minorBidi"/>
          <w:noProof/>
          <w:kern w:val="2"/>
          <w:sz w:val="24"/>
          <w:szCs w:val="24"/>
          <w14:ligatures w14:val="standardContextual"/>
        </w:rPr>
      </w:pPr>
      <w:hyperlink w:anchor="_Toc159851462" w:history="1">
        <w:r w:rsidR="00164CB3" w:rsidRPr="00311922">
          <w:rPr>
            <w:rStyle w:val="Hyperlink"/>
            <w:noProof/>
          </w:rPr>
          <w:t xml:space="preserve">a. </w:t>
        </w:r>
        <w:r w:rsidR="002B08D3">
          <w:rPr>
            <w:rStyle w:val="Hyperlink"/>
            <w:noProof/>
          </w:rPr>
          <w:tab/>
        </w:r>
        <w:r w:rsidR="00164CB3" w:rsidRPr="00311922">
          <w:rPr>
            <w:rStyle w:val="Hyperlink"/>
            <w:noProof/>
          </w:rPr>
          <w:t>Records subject to an exemption</w:t>
        </w:r>
        <w:r w:rsidR="00164CB3">
          <w:rPr>
            <w:noProof/>
            <w:webHidden/>
          </w:rPr>
          <w:tab/>
        </w:r>
        <w:r w:rsidR="00164CB3">
          <w:rPr>
            <w:noProof/>
            <w:webHidden/>
          </w:rPr>
          <w:fldChar w:fldCharType="begin"/>
        </w:r>
        <w:r w:rsidR="00164CB3">
          <w:rPr>
            <w:noProof/>
            <w:webHidden/>
          </w:rPr>
          <w:instrText xml:space="preserve"> PAGEREF _Toc159851462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2FF5DA1E" w14:textId="419BE04C" w:rsidR="00164CB3" w:rsidRDefault="00000000" w:rsidP="002B08D3">
      <w:pPr>
        <w:pStyle w:val="TOC4"/>
        <w:rPr>
          <w:rFonts w:eastAsiaTheme="minorEastAsia" w:cstheme="minorBidi"/>
          <w:noProof/>
          <w:kern w:val="2"/>
          <w:sz w:val="24"/>
          <w:szCs w:val="24"/>
          <w14:ligatures w14:val="standardContextual"/>
        </w:rPr>
      </w:pPr>
      <w:hyperlink w:anchor="_Toc159851463" w:history="1">
        <w:r w:rsidR="00164CB3" w:rsidRPr="00311922">
          <w:rPr>
            <w:rStyle w:val="Hyperlink"/>
            <w:noProof/>
          </w:rPr>
          <w:t xml:space="preserve">b. </w:t>
        </w:r>
        <w:r w:rsidR="002B08D3">
          <w:rPr>
            <w:rStyle w:val="Hyperlink"/>
            <w:noProof/>
          </w:rPr>
          <w:tab/>
        </w:r>
        <w:r w:rsidR="00164CB3" w:rsidRPr="00311922">
          <w:rPr>
            <w:rStyle w:val="Hyperlink"/>
            <w:noProof/>
          </w:rPr>
          <w:t>No duty to release non-records</w:t>
        </w:r>
        <w:r w:rsidR="00164CB3">
          <w:rPr>
            <w:noProof/>
            <w:webHidden/>
          </w:rPr>
          <w:tab/>
        </w:r>
        <w:r w:rsidR="00164CB3">
          <w:rPr>
            <w:noProof/>
            <w:webHidden/>
          </w:rPr>
          <w:fldChar w:fldCharType="begin"/>
        </w:r>
        <w:r w:rsidR="00164CB3">
          <w:rPr>
            <w:noProof/>
            <w:webHidden/>
          </w:rPr>
          <w:instrText xml:space="preserve"> PAGEREF _Toc159851463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05BD72D7" w14:textId="29838807" w:rsidR="00164CB3" w:rsidRDefault="00000000" w:rsidP="002B08D3">
      <w:pPr>
        <w:pStyle w:val="TOC3"/>
        <w:rPr>
          <w:rFonts w:eastAsiaTheme="minorEastAsia" w:cstheme="minorBidi"/>
          <w:noProof/>
          <w:kern w:val="2"/>
          <w:sz w:val="24"/>
          <w:szCs w:val="24"/>
          <w14:ligatures w14:val="standardContextual"/>
        </w:rPr>
      </w:pPr>
      <w:hyperlink w:anchor="_Toc159851464" w:history="1">
        <w:r w:rsidR="00164CB3" w:rsidRPr="00311922">
          <w:rPr>
            <w:rStyle w:val="Hyperlink"/>
            <w:noProof/>
          </w:rPr>
          <w:t>15.</w:t>
        </w:r>
        <w:r w:rsidR="00164CB3">
          <w:rPr>
            <w:rFonts w:eastAsiaTheme="minorEastAsia" w:cstheme="minorBidi"/>
            <w:noProof/>
            <w:kern w:val="2"/>
            <w:sz w:val="24"/>
            <w:szCs w:val="24"/>
            <w14:ligatures w14:val="standardContextual"/>
          </w:rPr>
          <w:tab/>
        </w:r>
        <w:r w:rsidR="00164CB3" w:rsidRPr="00311922">
          <w:rPr>
            <w:rStyle w:val="Hyperlink"/>
            <w:noProof/>
          </w:rPr>
          <w:t>Denial of a request, redaction, and a public office’s duties of notice</w:t>
        </w:r>
        <w:r w:rsidR="00164CB3">
          <w:rPr>
            <w:noProof/>
            <w:webHidden/>
          </w:rPr>
          <w:tab/>
        </w:r>
        <w:r w:rsidR="00164CB3">
          <w:rPr>
            <w:noProof/>
            <w:webHidden/>
          </w:rPr>
          <w:fldChar w:fldCharType="begin"/>
        </w:r>
        <w:r w:rsidR="00164CB3">
          <w:rPr>
            <w:noProof/>
            <w:webHidden/>
          </w:rPr>
          <w:instrText xml:space="preserve"> PAGEREF _Toc159851464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4FEB4F96" w14:textId="491CE887" w:rsidR="00164CB3" w:rsidRDefault="00000000" w:rsidP="002B08D3">
      <w:pPr>
        <w:pStyle w:val="TOC4"/>
        <w:rPr>
          <w:rFonts w:eastAsiaTheme="minorEastAsia" w:cstheme="minorBidi"/>
          <w:noProof/>
          <w:kern w:val="2"/>
          <w:sz w:val="24"/>
          <w:szCs w:val="24"/>
          <w14:ligatures w14:val="standardContextual"/>
        </w:rPr>
      </w:pPr>
      <w:hyperlink w:anchor="_Toc15985146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Redaction – statutory definition</w:t>
        </w:r>
        <w:r w:rsidR="00164CB3">
          <w:rPr>
            <w:noProof/>
            <w:webHidden/>
          </w:rPr>
          <w:tab/>
        </w:r>
        <w:r w:rsidR="00164CB3">
          <w:rPr>
            <w:noProof/>
            <w:webHidden/>
          </w:rPr>
          <w:fldChar w:fldCharType="begin"/>
        </w:r>
        <w:r w:rsidR="00164CB3">
          <w:rPr>
            <w:noProof/>
            <w:webHidden/>
          </w:rPr>
          <w:instrText xml:space="preserve"> PAGEREF _Toc159851465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11591126" w14:textId="74AF657C" w:rsidR="00164CB3" w:rsidRDefault="00000000" w:rsidP="002B08D3">
      <w:pPr>
        <w:pStyle w:val="TOC4"/>
        <w:rPr>
          <w:rFonts w:eastAsiaTheme="minorEastAsia" w:cstheme="minorBidi"/>
          <w:noProof/>
          <w:kern w:val="2"/>
          <w:sz w:val="24"/>
          <w:szCs w:val="24"/>
          <w14:ligatures w14:val="standardContextual"/>
        </w:rPr>
      </w:pPr>
      <w:hyperlink w:anchor="_Toc15985146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Withholding records or producing records with redactions</w:t>
        </w:r>
        <w:r w:rsidR="00164CB3">
          <w:rPr>
            <w:noProof/>
            <w:webHidden/>
          </w:rPr>
          <w:tab/>
        </w:r>
        <w:r w:rsidR="00164CB3">
          <w:rPr>
            <w:noProof/>
            <w:webHidden/>
          </w:rPr>
          <w:fldChar w:fldCharType="begin"/>
        </w:r>
        <w:r w:rsidR="00164CB3">
          <w:rPr>
            <w:noProof/>
            <w:webHidden/>
          </w:rPr>
          <w:instrText xml:space="preserve"> PAGEREF _Toc159851466 \h </w:instrText>
        </w:r>
        <w:r w:rsidR="00164CB3">
          <w:rPr>
            <w:noProof/>
            <w:webHidden/>
          </w:rPr>
        </w:r>
        <w:r w:rsidR="00164CB3">
          <w:rPr>
            <w:noProof/>
            <w:webHidden/>
          </w:rPr>
          <w:fldChar w:fldCharType="separate"/>
        </w:r>
        <w:r w:rsidR="00DE7A7E">
          <w:rPr>
            <w:noProof/>
            <w:webHidden/>
          </w:rPr>
          <w:t>17</w:t>
        </w:r>
        <w:r w:rsidR="00164CB3">
          <w:rPr>
            <w:noProof/>
            <w:webHidden/>
          </w:rPr>
          <w:fldChar w:fldCharType="end"/>
        </w:r>
      </w:hyperlink>
    </w:p>
    <w:p w14:paraId="20F3A89C" w14:textId="0BA2865E" w:rsidR="00164CB3" w:rsidRDefault="00000000" w:rsidP="002B08D3">
      <w:pPr>
        <w:pStyle w:val="TOC4"/>
        <w:rPr>
          <w:rFonts w:eastAsiaTheme="minorEastAsia" w:cstheme="minorBidi"/>
          <w:noProof/>
          <w:kern w:val="2"/>
          <w:sz w:val="24"/>
          <w:szCs w:val="24"/>
          <w14:ligatures w14:val="standardContextual"/>
        </w:rPr>
      </w:pPr>
      <w:hyperlink w:anchor="_Toc15985146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Requirement to notify of and explain redactions and withholding of records</w:t>
        </w:r>
        <w:r w:rsidR="00164CB3">
          <w:rPr>
            <w:noProof/>
            <w:webHidden/>
          </w:rPr>
          <w:tab/>
        </w:r>
        <w:r w:rsidR="00164CB3">
          <w:rPr>
            <w:noProof/>
            <w:webHidden/>
          </w:rPr>
          <w:fldChar w:fldCharType="begin"/>
        </w:r>
        <w:r w:rsidR="00164CB3">
          <w:rPr>
            <w:noProof/>
            <w:webHidden/>
          </w:rPr>
          <w:instrText xml:space="preserve"> PAGEREF _Toc159851467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3E983F4A" w14:textId="02B1B812" w:rsidR="00164CB3" w:rsidRDefault="00000000" w:rsidP="002B08D3">
      <w:pPr>
        <w:pStyle w:val="TOC4"/>
        <w:rPr>
          <w:rFonts w:eastAsiaTheme="minorEastAsia" w:cstheme="minorBidi"/>
          <w:noProof/>
          <w:kern w:val="2"/>
          <w:sz w:val="24"/>
          <w:szCs w:val="24"/>
          <w14:ligatures w14:val="standardContextual"/>
        </w:rPr>
      </w:pPr>
      <w:hyperlink w:anchor="_Toc159851468"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No obligation to respond to duplicate request</w:t>
        </w:r>
        <w:r w:rsidR="00164CB3">
          <w:rPr>
            <w:noProof/>
            <w:webHidden/>
          </w:rPr>
          <w:tab/>
        </w:r>
        <w:r w:rsidR="00164CB3">
          <w:rPr>
            <w:noProof/>
            <w:webHidden/>
          </w:rPr>
          <w:fldChar w:fldCharType="begin"/>
        </w:r>
        <w:r w:rsidR="00164CB3">
          <w:rPr>
            <w:noProof/>
            <w:webHidden/>
          </w:rPr>
          <w:instrText xml:space="preserve"> PAGEREF _Toc159851468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71C0D2D2" w14:textId="539C3938" w:rsidR="00164CB3" w:rsidRDefault="00000000" w:rsidP="002B08D3">
      <w:pPr>
        <w:pStyle w:val="TOC4"/>
        <w:rPr>
          <w:rFonts w:eastAsiaTheme="minorEastAsia" w:cstheme="minorBidi"/>
          <w:noProof/>
          <w:kern w:val="2"/>
          <w:sz w:val="24"/>
          <w:szCs w:val="24"/>
          <w14:ligatures w14:val="standardContextual"/>
        </w:rPr>
      </w:pPr>
      <w:hyperlink w:anchor="_Toc159851469"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No waiver of unasserted, applicable exemptions except claim that request is overly broad or ambiguous</w:t>
        </w:r>
        <w:r w:rsidR="00164CB3">
          <w:rPr>
            <w:noProof/>
            <w:webHidden/>
          </w:rPr>
          <w:tab/>
        </w:r>
        <w:r w:rsidR="00164CB3">
          <w:rPr>
            <w:noProof/>
            <w:webHidden/>
          </w:rPr>
          <w:fldChar w:fldCharType="begin"/>
        </w:r>
        <w:r w:rsidR="00164CB3">
          <w:rPr>
            <w:noProof/>
            <w:webHidden/>
          </w:rPr>
          <w:instrText xml:space="preserve"> PAGEREF _Toc159851469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0D64B36F" w14:textId="25B69B3A" w:rsidR="00164CB3" w:rsidRDefault="00000000" w:rsidP="002B08D3">
      <w:pPr>
        <w:pStyle w:val="TOC3"/>
        <w:rPr>
          <w:rFonts w:eastAsiaTheme="minorEastAsia" w:cstheme="minorBidi"/>
          <w:noProof/>
          <w:kern w:val="2"/>
          <w:sz w:val="24"/>
          <w:szCs w:val="24"/>
          <w14:ligatures w14:val="standardContextual"/>
        </w:rPr>
      </w:pPr>
      <w:hyperlink w:anchor="_Toc159851470" w:history="1">
        <w:r w:rsidR="00164CB3" w:rsidRPr="00311922">
          <w:rPr>
            <w:rStyle w:val="Hyperlink"/>
            <w:noProof/>
          </w:rPr>
          <w:t>16.</w:t>
        </w:r>
        <w:r w:rsidR="00164CB3">
          <w:rPr>
            <w:rFonts w:eastAsiaTheme="minorEastAsia" w:cstheme="minorBidi"/>
            <w:noProof/>
            <w:kern w:val="2"/>
            <w:sz w:val="24"/>
            <w:szCs w:val="24"/>
            <w14:ligatures w14:val="standardContextual"/>
          </w:rPr>
          <w:tab/>
        </w:r>
        <w:r w:rsidR="00164CB3" w:rsidRPr="00311922">
          <w:rPr>
            <w:rStyle w:val="Hyperlink"/>
            <w:noProof/>
          </w:rPr>
          <w:t>Burden or expense of compliance</w:t>
        </w:r>
        <w:r w:rsidR="00164CB3">
          <w:rPr>
            <w:noProof/>
            <w:webHidden/>
          </w:rPr>
          <w:tab/>
        </w:r>
        <w:r w:rsidR="00164CB3">
          <w:rPr>
            <w:noProof/>
            <w:webHidden/>
          </w:rPr>
          <w:fldChar w:fldCharType="begin"/>
        </w:r>
        <w:r w:rsidR="00164CB3">
          <w:rPr>
            <w:noProof/>
            <w:webHidden/>
          </w:rPr>
          <w:instrText xml:space="preserve"> PAGEREF _Toc159851470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6B446796" w14:textId="1A0A4C58"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71"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Statutes that Modify General Rights and Duties</w:t>
        </w:r>
        <w:r w:rsidR="00164CB3">
          <w:rPr>
            <w:noProof/>
            <w:webHidden/>
          </w:rPr>
          <w:tab/>
        </w:r>
        <w:r w:rsidR="00164CB3">
          <w:rPr>
            <w:noProof/>
            <w:webHidden/>
          </w:rPr>
          <w:fldChar w:fldCharType="begin"/>
        </w:r>
        <w:r w:rsidR="00164CB3">
          <w:rPr>
            <w:noProof/>
            <w:webHidden/>
          </w:rPr>
          <w:instrText xml:space="preserve"> PAGEREF _Toc159851471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3A46E386" w14:textId="3EE01833" w:rsidR="00164CB3" w:rsidRDefault="00000000" w:rsidP="002B08D3">
      <w:pPr>
        <w:pStyle w:val="TOC3"/>
        <w:rPr>
          <w:rFonts w:eastAsiaTheme="minorEastAsia" w:cstheme="minorBidi"/>
          <w:noProof/>
          <w:kern w:val="2"/>
          <w:sz w:val="24"/>
          <w:szCs w:val="24"/>
          <w14:ligatures w14:val="standardContextual"/>
        </w:rPr>
      </w:pPr>
      <w:hyperlink w:anchor="_Toc15985147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Specific records</w:t>
        </w:r>
        <w:r w:rsidR="00164CB3">
          <w:rPr>
            <w:noProof/>
            <w:webHidden/>
          </w:rPr>
          <w:tab/>
        </w:r>
        <w:r w:rsidR="00164CB3">
          <w:rPr>
            <w:noProof/>
            <w:webHidden/>
          </w:rPr>
          <w:fldChar w:fldCharType="begin"/>
        </w:r>
        <w:r w:rsidR="00164CB3">
          <w:rPr>
            <w:noProof/>
            <w:webHidden/>
          </w:rPr>
          <w:instrText xml:space="preserve"> PAGEREF _Toc159851472 \h </w:instrText>
        </w:r>
        <w:r w:rsidR="00164CB3">
          <w:rPr>
            <w:noProof/>
            <w:webHidden/>
          </w:rPr>
        </w:r>
        <w:r w:rsidR="00164CB3">
          <w:rPr>
            <w:noProof/>
            <w:webHidden/>
          </w:rPr>
          <w:fldChar w:fldCharType="separate"/>
        </w:r>
        <w:r w:rsidR="00DE7A7E">
          <w:rPr>
            <w:noProof/>
            <w:webHidden/>
          </w:rPr>
          <w:t>18</w:t>
        </w:r>
        <w:r w:rsidR="00164CB3">
          <w:rPr>
            <w:noProof/>
            <w:webHidden/>
          </w:rPr>
          <w:fldChar w:fldCharType="end"/>
        </w:r>
      </w:hyperlink>
    </w:p>
    <w:p w14:paraId="4C93533C" w14:textId="7CD46C0F" w:rsidR="00164CB3" w:rsidRDefault="00000000" w:rsidP="002B08D3">
      <w:pPr>
        <w:pStyle w:val="TOC3"/>
        <w:rPr>
          <w:rFonts w:eastAsiaTheme="minorEastAsia" w:cstheme="minorBidi"/>
          <w:noProof/>
          <w:kern w:val="2"/>
          <w:sz w:val="24"/>
          <w:szCs w:val="24"/>
          <w14:ligatures w14:val="standardContextual"/>
        </w:rPr>
      </w:pPr>
      <w:hyperlink w:anchor="_Toc15985147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Specific public offices</w:t>
        </w:r>
        <w:r w:rsidR="00164CB3">
          <w:rPr>
            <w:noProof/>
            <w:webHidden/>
          </w:rPr>
          <w:tab/>
        </w:r>
        <w:r w:rsidR="00164CB3">
          <w:rPr>
            <w:noProof/>
            <w:webHidden/>
          </w:rPr>
          <w:fldChar w:fldCharType="begin"/>
        </w:r>
        <w:r w:rsidR="00164CB3">
          <w:rPr>
            <w:noProof/>
            <w:webHidden/>
          </w:rPr>
          <w:instrText xml:space="preserve"> PAGEREF _Toc159851473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4AED108B" w14:textId="131B5293" w:rsidR="00164CB3" w:rsidRDefault="00000000" w:rsidP="002B08D3">
      <w:pPr>
        <w:pStyle w:val="TOC3"/>
        <w:rPr>
          <w:rFonts w:eastAsiaTheme="minorEastAsia" w:cstheme="minorBidi"/>
          <w:noProof/>
          <w:kern w:val="2"/>
          <w:sz w:val="24"/>
          <w:szCs w:val="24"/>
          <w14:ligatures w14:val="standardContextual"/>
        </w:rPr>
      </w:pPr>
      <w:hyperlink w:anchor="_Toc15985147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Specific requesters or purposes</w:t>
        </w:r>
        <w:r w:rsidR="00164CB3">
          <w:rPr>
            <w:noProof/>
            <w:webHidden/>
          </w:rPr>
          <w:tab/>
        </w:r>
        <w:r w:rsidR="00164CB3">
          <w:rPr>
            <w:noProof/>
            <w:webHidden/>
          </w:rPr>
          <w:fldChar w:fldCharType="begin"/>
        </w:r>
        <w:r w:rsidR="00164CB3">
          <w:rPr>
            <w:noProof/>
            <w:webHidden/>
          </w:rPr>
          <w:instrText xml:space="preserve"> PAGEREF _Toc159851474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03A085FB" w14:textId="3AD65817" w:rsidR="00164CB3" w:rsidRDefault="00000000" w:rsidP="002B08D3">
      <w:pPr>
        <w:pStyle w:val="TOC3"/>
        <w:rPr>
          <w:rFonts w:eastAsiaTheme="minorEastAsia" w:cstheme="minorBidi"/>
          <w:noProof/>
          <w:kern w:val="2"/>
          <w:sz w:val="24"/>
          <w:szCs w:val="24"/>
          <w14:ligatures w14:val="standardContextual"/>
        </w:rPr>
      </w:pPr>
      <w:hyperlink w:anchor="_Toc15985147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Modified records access for certain requesters</w:t>
        </w:r>
        <w:r w:rsidR="00164CB3">
          <w:rPr>
            <w:noProof/>
            <w:webHidden/>
          </w:rPr>
          <w:tab/>
        </w:r>
        <w:r w:rsidR="00164CB3">
          <w:rPr>
            <w:noProof/>
            <w:webHidden/>
          </w:rPr>
          <w:fldChar w:fldCharType="begin"/>
        </w:r>
        <w:r w:rsidR="00164CB3">
          <w:rPr>
            <w:noProof/>
            <w:webHidden/>
          </w:rPr>
          <w:instrText xml:space="preserve"> PAGEREF _Toc159851475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4040ADB9" w14:textId="29144B9F" w:rsidR="00164CB3" w:rsidRDefault="00000000" w:rsidP="002B08D3">
      <w:pPr>
        <w:pStyle w:val="TOC4"/>
        <w:rPr>
          <w:rFonts w:eastAsiaTheme="minorEastAsia" w:cstheme="minorBidi"/>
          <w:noProof/>
          <w:kern w:val="2"/>
          <w:sz w:val="24"/>
          <w:szCs w:val="24"/>
          <w14:ligatures w14:val="standardContextual"/>
        </w:rPr>
      </w:pPr>
      <w:hyperlink w:anchor="_Toc159851476"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Prison inmates</w:t>
        </w:r>
        <w:r w:rsidR="00164CB3">
          <w:rPr>
            <w:noProof/>
            <w:webHidden/>
          </w:rPr>
          <w:tab/>
        </w:r>
        <w:r w:rsidR="00164CB3">
          <w:rPr>
            <w:noProof/>
            <w:webHidden/>
          </w:rPr>
          <w:fldChar w:fldCharType="begin"/>
        </w:r>
        <w:r w:rsidR="00164CB3">
          <w:rPr>
            <w:noProof/>
            <w:webHidden/>
          </w:rPr>
          <w:instrText xml:space="preserve"> PAGEREF _Toc159851476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0C556D40" w14:textId="0CE44552" w:rsidR="00164CB3" w:rsidRDefault="00000000" w:rsidP="002B08D3">
      <w:pPr>
        <w:pStyle w:val="TOC4"/>
        <w:rPr>
          <w:rFonts w:eastAsiaTheme="minorEastAsia" w:cstheme="minorBidi"/>
          <w:noProof/>
          <w:kern w:val="2"/>
          <w:sz w:val="24"/>
          <w:szCs w:val="24"/>
          <w14:ligatures w14:val="standardContextual"/>
        </w:rPr>
      </w:pPr>
      <w:hyperlink w:anchor="_Toc159851477"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Commercial requesters</w:t>
        </w:r>
        <w:r w:rsidR="00164CB3">
          <w:rPr>
            <w:noProof/>
            <w:webHidden/>
          </w:rPr>
          <w:tab/>
        </w:r>
        <w:r w:rsidR="00164CB3">
          <w:rPr>
            <w:noProof/>
            <w:webHidden/>
          </w:rPr>
          <w:fldChar w:fldCharType="begin"/>
        </w:r>
        <w:r w:rsidR="00164CB3">
          <w:rPr>
            <w:noProof/>
            <w:webHidden/>
          </w:rPr>
          <w:instrText xml:space="preserve"> PAGEREF _Toc159851477 \h </w:instrText>
        </w:r>
        <w:r w:rsidR="00164CB3">
          <w:rPr>
            <w:noProof/>
            <w:webHidden/>
          </w:rPr>
        </w:r>
        <w:r w:rsidR="00164CB3">
          <w:rPr>
            <w:noProof/>
            <w:webHidden/>
          </w:rPr>
          <w:fldChar w:fldCharType="separate"/>
        </w:r>
        <w:r w:rsidR="00DE7A7E">
          <w:rPr>
            <w:noProof/>
            <w:webHidden/>
          </w:rPr>
          <w:t>19</w:t>
        </w:r>
        <w:r w:rsidR="00164CB3">
          <w:rPr>
            <w:noProof/>
            <w:webHidden/>
          </w:rPr>
          <w:fldChar w:fldCharType="end"/>
        </w:r>
      </w:hyperlink>
    </w:p>
    <w:p w14:paraId="444CD7F6" w14:textId="1E6E7F51" w:rsidR="00164CB3" w:rsidRDefault="00000000" w:rsidP="002B08D3">
      <w:pPr>
        <w:pStyle w:val="TOC4"/>
        <w:rPr>
          <w:rFonts w:eastAsiaTheme="minorEastAsia" w:cstheme="minorBidi"/>
          <w:noProof/>
          <w:kern w:val="2"/>
          <w:sz w:val="24"/>
          <w:szCs w:val="24"/>
          <w14:ligatures w14:val="standardContextual"/>
        </w:rPr>
      </w:pPr>
      <w:hyperlink w:anchor="_Toc159851478"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Journalists</w:t>
        </w:r>
        <w:r w:rsidR="00164CB3">
          <w:rPr>
            <w:noProof/>
            <w:webHidden/>
          </w:rPr>
          <w:tab/>
        </w:r>
        <w:r w:rsidR="00164CB3">
          <w:rPr>
            <w:noProof/>
            <w:webHidden/>
          </w:rPr>
          <w:fldChar w:fldCharType="begin"/>
        </w:r>
        <w:r w:rsidR="00164CB3">
          <w:rPr>
            <w:noProof/>
            <w:webHidden/>
          </w:rPr>
          <w:instrText xml:space="preserve"> PAGEREF _Toc159851478 \h </w:instrText>
        </w:r>
        <w:r w:rsidR="00164CB3">
          <w:rPr>
            <w:noProof/>
            <w:webHidden/>
          </w:rPr>
        </w:r>
        <w:r w:rsidR="00164CB3">
          <w:rPr>
            <w:noProof/>
            <w:webHidden/>
          </w:rPr>
          <w:fldChar w:fldCharType="separate"/>
        </w:r>
        <w:r w:rsidR="00DE7A7E">
          <w:rPr>
            <w:noProof/>
            <w:webHidden/>
          </w:rPr>
          <w:t>20</w:t>
        </w:r>
        <w:r w:rsidR="00164CB3">
          <w:rPr>
            <w:noProof/>
            <w:webHidden/>
          </w:rPr>
          <w:fldChar w:fldCharType="end"/>
        </w:r>
      </w:hyperlink>
    </w:p>
    <w:p w14:paraId="5305DC8C" w14:textId="0E7EE639" w:rsidR="00164CB3" w:rsidRDefault="00000000" w:rsidP="002B08D3">
      <w:pPr>
        <w:pStyle w:val="TOC3"/>
        <w:rPr>
          <w:rFonts w:eastAsiaTheme="minorEastAsia" w:cstheme="minorBidi"/>
          <w:noProof/>
          <w:kern w:val="2"/>
          <w:sz w:val="24"/>
          <w:szCs w:val="24"/>
          <w14:ligatures w14:val="standardContextual"/>
        </w:rPr>
      </w:pPr>
      <w:hyperlink w:anchor="_Toc159851479"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Modified access to certain public offices’ records</w:t>
        </w:r>
        <w:r w:rsidR="00164CB3">
          <w:rPr>
            <w:noProof/>
            <w:webHidden/>
          </w:rPr>
          <w:tab/>
        </w:r>
        <w:r w:rsidR="00164CB3">
          <w:rPr>
            <w:noProof/>
            <w:webHidden/>
          </w:rPr>
          <w:fldChar w:fldCharType="begin"/>
        </w:r>
        <w:r w:rsidR="00164CB3">
          <w:rPr>
            <w:noProof/>
            <w:webHidden/>
          </w:rPr>
          <w:instrText xml:space="preserve"> PAGEREF _Toc159851479 \h </w:instrText>
        </w:r>
        <w:r w:rsidR="00164CB3">
          <w:rPr>
            <w:noProof/>
            <w:webHidden/>
          </w:rPr>
        </w:r>
        <w:r w:rsidR="00164CB3">
          <w:rPr>
            <w:noProof/>
            <w:webHidden/>
          </w:rPr>
          <w:fldChar w:fldCharType="separate"/>
        </w:r>
        <w:r w:rsidR="00DE7A7E">
          <w:rPr>
            <w:noProof/>
            <w:webHidden/>
          </w:rPr>
          <w:t>21</w:t>
        </w:r>
        <w:r w:rsidR="00164CB3">
          <w:rPr>
            <w:noProof/>
            <w:webHidden/>
          </w:rPr>
          <w:fldChar w:fldCharType="end"/>
        </w:r>
      </w:hyperlink>
    </w:p>
    <w:p w14:paraId="22EABB15" w14:textId="7DEF2798" w:rsidR="00164CB3" w:rsidRDefault="00000000" w:rsidP="002B08D3">
      <w:pPr>
        <w:pStyle w:val="TOC4"/>
        <w:rPr>
          <w:rFonts w:eastAsiaTheme="minorEastAsia" w:cstheme="minorBidi"/>
          <w:noProof/>
          <w:kern w:val="2"/>
          <w:sz w:val="24"/>
          <w:szCs w:val="24"/>
          <w14:ligatures w14:val="standardContextual"/>
        </w:rPr>
      </w:pPr>
      <w:hyperlink w:anchor="_Toc159851480"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Bulk commercial requests from Ohio Bureau of Motor Vehicles</w:t>
        </w:r>
        <w:r w:rsidR="00164CB3">
          <w:rPr>
            <w:noProof/>
            <w:webHidden/>
          </w:rPr>
          <w:tab/>
        </w:r>
        <w:r w:rsidR="00164CB3">
          <w:rPr>
            <w:noProof/>
            <w:webHidden/>
          </w:rPr>
          <w:fldChar w:fldCharType="begin"/>
        </w:r>
        <w:r w:rsidR="00164CB3">
          <w:rPr>
            <w:noProof/>
            <w:webHidden/>
          </w:rPr>
          <w:instrText xml:space="preserve"> PAGEREF _Toc159851480 \h </w:instrText>
        </w:r>
        <w:r w:rsidR="00164CB3">
          <w:rPr>
            <w:noProof/>
            <w:webHidden/>
          </w:rPr>
        </w:r>
        <w:r w:rsidR="00164CB3">
          <w:rPr>
            <w:noProof/>
            <w:webHidden/>
          </w:rPr>
          <w:fldChar w:fldCharType="separate"/>
        </w:r>
        <w:r w:rsidR="00DE7A7E">
          <w:rPr>
            <w:noProof/>
            <w:webHidden/>
          </w:rPr>
          <w:t>21</w:t>
        </w:r>
        <w:r w:rsidR="00164CB3">
          <w:rPr>
            <w:noProof/>
            <w:webHidden/>
          </w:rPr>
          <w:fldChar w:fldCharType="end"/>
        </w:r>
      </w:hyperlink>
    </w:p>
    <w:p w14:paraId="2217CE67" w14:textId="6CD21F88" w:rsidR="00164CB3" w:rsidRDefault="00000000" w:rsidP="002B08D3">
      <w:pPr>
        <w:pStyle w:val="TOC4"/>
        <w:rPr>
          <w:rFonts w:eastAsiaTheme="minorEastAsia" w:cstheme="minorBidi"/>
          <w:noProof/>
          <w:kern w:val="2"/>
          <w:sz w:val="24"/>
          <w:szCs w:val="24"/>
          <w14:ligatures w14:val="standardContextual"/>
        </w:rPr>
      </w:pPr>
      <w:hyperlink w:anchor="_Toc159851481"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Copies of coroner’s records</w:t>
        </w:r>
        <w:r w:rsidR="00164CB3">
          <w:rPr>
            <w:noProof/>
            <w:webHidden/>
          </w:rPr>
          <w:tab/>
        </w:r>
        <w:r w:rsidR="00164CB3">
          <w:rPr>
            <w:noProof/>
            <w:webHidden/>
          </w:rPr>
          <w:fldChar w:fldCharType="begin"/>
        </w:r>
        <w:r w:rsidR="00164CB3">
          <w:rPr>
            <w:noProof/>
            <w:webHidden/>
          </w:rPr>
          <w:instrText xml:space="preserve"> PAGEREF _Toc159851481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0655FA9F" w14:textId="6484A95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82"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Go “Above and Beyond” and Negotiate</w:t>
        </w:r>
        <w:r w:rsidR="00164CB3">
          <w:rPr>
            <w:noProof/>
            <w:webHidden/>
          </w:rPr>
          <w:tab/>
        </w:r>
        <w:r w:rsidR="00164CB3">
          <w:rPr>
            <w:noProof/>
            <w:webHidden/>
          </w:rPr>
          <w:fldChar w:fldCharType="begin"/>
        </w:r>
        <w:r w:rsidR="00164CB3">
          <w:rPr>
            <w:noProof/>
            <w:webHidden/>
          </w:rPr>
          <w:instrText xml:space="preserve"> PAGEREF _Toc159851482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2B7C57E4" w14:textId="591F1CAA" w:rsidR="00164CB3" w:rsidRDefault="00000000" w:rsidP="002B08D3">
      <w:pPr>
        <w:pStyle w:val="TOC3"/>
        <w:rPr>
          <w:rFonts w:eastAsiaTheme="minorEastAsia" w:cstheme="minorBidi"/>
          <w:noProof/>
          <w:kern w:val="2"/>
          <w:sz w:val="24"/>
          <w:szCs w:val="24"/>
          <w14:ligatures w14:val="standardContextual"/>
        </w:rPr>
      </w:pPr>
      <w:hyperlink w:anchor="_Toc159851483"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Think outside the box – go above and beyond your duties</w:t>
        </w:r>
        <w:r w:rsidR="00164CB3">
          <w:rPr>
            <w:noProof/>
            <w:webHidden/>
          </w:rPr>
          <w:tab/>
        </w:r>
        <w:r w:rsidR="00164CB3">
          <w:rPr>
            <w:noProof/>
            <w:webHidden/>
          </w:rPr>
          <w:fldChar w:fldCharType="begin"/>
        </w:r>
        <w:r w:rsidR="00164CB3">
          <w:rPr>
            <w:noProof/>
            <w:webHidden/>
          </w:rPr>
          <w:instrText xml:space="preserve"> PAGEREF _Toc159851483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5C448D29" w14:textId="6CD82D84" w:rsidR="00164CB3" w:rsidRDefault="00000000" w:rsidP="002B08D3">
      <w:pPr>
        <w:pStyle w:val="TOC3"/>
        <w:rPr>
          <w:rFonts w:eastAsiaTheme="minorEastAsia" w:cstheme="minorBidi"/>
          <w:noProof/>
          <w:kern w:val="2"/>
          <w:sz w:val="24"/>
          <w:szCs w:val="24"/>
          <w14:ligatures w14:val="standardContextual"/>
        </w:rPr>
      </w:pPr>
      <w:hyperlink w:anchor="_Toc159851484"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How to find a win-win solution:  negotiate</w:t>
        </w:r>
        <w:r w:rsidR="00164CB3">
          <w:rPr>
            <w:noProof/>
            <w:webHidden/>
          </w:rPr>
          <w:tab/>
        </w:r>
        <w:r w:rsidR="00164CB3">
          <w:rPr>
            <w:noProof/>
            <w:webHidden/>
          </w:rPr>
          <w:fldChar w:fldCharType="begin"/>
        </w:r>
        <w:r w:rsidR="00164CB3">
          <w:rPr>
            <w:noProof/>
            <w:webHidden/>
          </w:rPr>
          <w:instrText xml:space="preserve"> PAGEREF _Toc159851484 \h </w:instrText>
        </w:r>
        <w:r w:rsidR="00164CB3">
          <w:rPr>
            <w:noProof/>
            <w:webHidden/>
          </w:rPr>
        </w:r>
        <w:r w:rsidR="00164CB3">
          <w:rPr>
            <w:noProof/>
            <w:webHidden/>
          </w:rPr>
          <w:fldChar w:fldCharType="separate"/>
        </w:r>
        <w:r w:rsidR="00DE7A7E">
          <w:rPr>
            <w:noProof/>
            <w:webHidden/>
          </w:rPr>
          <w:t>22</w:t>
        </w:r>
        <w:r w:rsidR="00164CB3">
          <w:rPr>
            <w:noProof/>
            <w:webHidden/>
          </w:rPr>
          <w:fldChar w:fldCharType="end"/>
        </w:r>
      </w:hyperlink>
    </w:p>
    <w:p w14:paraId="4CE834BC" w14:textId="67C9CF67"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485" w:history="1">
        <w:r w:rsidR="00164CB3" w:rsidRPr="00311922">
          <w:rPr>
            <w:rStyle w:val="Hyperlink"/>
            <w:noProof/>
          </w:rPr>
          <w:t>III.</w:t>
        </w:r>
        <w:r w:rsidR="00164CB3">
          <w:rPr>
            <w:rFonts w:eastAsiaTheme="minorEastAsia" w:cstheme="minorBidi"/>
            <w:bCs w:val="0"/>
            <w:noProof/>
            <w:kern w:val="2"/>
            <w14:ligatures w14:val="standardContextual"/>
          </w:rPr>
          <w:tab/>
        </w:r>
        <w:r w:rsidR="00164CB3" w:rsidRPr="00311922">
          <w:rPr>
            <w:rStyle w:val="Hyperlink"/>
            <w:noProof/>
          </w:rPr>
          <w:t>Chapter Three:  Exemptions to the Required Release of Public Records</w:t>
        </w:r>
        <w:r w:rsidR="00164CB3">
          <w:rPr>
            <w:noProof/>
            <w:webHidden/>
          </w:rPr>
          <w:tab/>
        </w:r>
        <w:r w:rsidR="00164CB3">
          <w:rPr>
            <w:noProof/>
            <w:webHidden/>
          </w:rPr>
          <w:fldChar w:fldCharType="begin"/>
        </w:r>
        <w:r w:rsidR="00164CB3">
          <w:rPr>
            <w:noProof/>
            <w:webHidden/>
          </w:rPr>
          <w:instrText xml:space="preserve"> PAGEREF _Toc159851485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033BFE25" w14:textId="6A87BB5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86"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 xml:space="preserve"> Valid Exemptions</w:t>
        </w:r>
        <w:r w:rsidR="00164CB3">
          <w:rPr>
            <w:noProof/>
            <w:webHidden/>
          </w:rPr>
          <w:tab/>
        </w:r>
        <w:r w:rsidR="00164CB3">
          <w:rPr>
            <w:noProof/>
            <w:webHidden/>
          </w:rPr>
          <w:fldChar w:fldCharType="begin"/>
        </w:r>
        <w:r w:rsidR="00164CB3">
          <w:rPr>
            <w:noProof/>
            <w:webHidden/>
          </w:rPr>
          <w:instrText xml:space="preserve"> PAGEREF _Toc159851486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2F918FDC" w14:textId="365544C4" w:rsidR="00164CB3" w:rsidRDefault="00000000" w:rsidP="002B08D3">
      <w:pPr>
        <w:pStyle w:val="TOC3"/>
        <w:rPr>
          <w:rFonts w:eastAsiaTheme="minorEastAsia" w:cstheme="minorBidi"/>
          <w:noProof/>
          <w:kern w:val="2"/>
          <w:sz w:val="24"/>
          <w:szCs w:val="24"/>
          <w14:ligatures w14:val="standardContextual"/>
        </w:rPr>
      </w:pPr>
      <w:hyperlink w:anchor="_Toc159851487"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Contracts cannot create exemptions</w:t>
        </w:r>
        <w:r w:rsidR="00164CB3">
          <w:rPr>
            <w:noProof/>
            <w:webHidden/>
          </w:rPr>
          <w:tab/>
        </w:r>
        <w:r w:rsidR="00164CB3">
          <w:rPr>
            <w:noProof/>
            <w:webHidden/>
          </w:rPr>
          <w:fldChar w:fldCharType="begin"/>
        </w:r>
        <w:r w:rsidR="00164CB3">
          <w:rPr>
            <w:noProof/>
            <w:webHidden/>
          </w:rPr>
          <w:instrText xml:space="preserve"> PAGEREF _Toc159851487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7E48AA29" w14:textId="639B1845" w:rsidR="00164CB3" w:rsidRDefault="00000000" w:rsidP="002B08D3">
      <w:pPr>
        <w:pStyle w:val="TOC3"/>
        <w:rPr>
          <w:rFonts w:eastAsiaTheme="minorEastAsia" w:cstheme="minorBidi"/>
          <w:noProof/>
          <w:kern w:val="2"/>
          <w:sz w:val="24"/>
          <w:szCs w:val="24"/>
          <w14:ligatures w14:val="standardContextual"/>
        </w:rPr>
      </w:pPr>
      <w:hyperlink w:anchor="_Toc159851488"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FOIA does not apply to Ohio public offices</w:t>
        </w:r>
        <w:r w:rsidR="00164CB3">
          <w:rPr>
            <w:noProof/>
            <w:webHidden/>
          </w:rPr>
          <w:tab/>
        </w:r>
        <w:r w:rsidR="00164CB3">
          <w:rPr>
            <w:noProof/>
            <w:webHidden/>
          </w:rPr>
          <w:fldChar w:fldCharType="begin"/>
        </w:r>
        <w:r w:rsidR="00164CB3">
          <w:rPr>
            <w:noProof/>
            <w:webHidden/>
          </w:rPr>
          <w:instrText xml:space="preserve"> PAGEREF _Toc159851488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44B4E36D" w14:textId="7BABA95E"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89"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Categories of Exemptions</w:t>
        </w:r>
        <w:r w:rsidR="00164CB3">
          <w:rPr>
            <w:noProof/>
            <w:webHidden/>
          </w:rPr>
          <w:tab/>
        </w:r>
        <w:r w:rsidR="00164CB3">
          <w:rPr>
            <w:noProof/>
            <w:webHidden/>
          </w:rPr>
          <w:fldChar w:fldCharType="begin"/>
        </w:r>
        <w:r w:rsidR="00164CB3">
          <w:rPr>
            <w:noProof/>
            <w:webHidden/>
          </w:rPr>
          <w:instrText xml:space="preserve"> PAGEREF _Toc159851489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6A85A23D" w14:textId="7EB7E30A" w:rsidR="00164CB3" w:rsidRDefault="00000000" w:rsidP="002B08D3">
      <w:pPr>
        <w:pStyle w:val="TOC3"/>
        <w:rPr>
          <w:rFonts w:eastAsiaTheme="minorEastAsia" w:cstheme="minorBidi"/>
          <w:noProof/>
          <w:kern w:val="2"/>
          <w:sz w:val="24"/>
          <w:szCs w:val="24"/>
          <w14:ligatures w14:val="standardContextual"/>
        </w:rPr>
      </w:pPr>
      <w:hyperlink w:anchor="_Toc15985149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“Must not release”</w:t>
        </w:r>
        <w:r w:rsidR="00164CB3">
          <w:rPr>
            <w:noProof/>
            <w:webHidden/>
          </w:rPr>
          <w:tab/>
        </w:r>
        <w:r w:rsidR="00164CB3">
          <w:rPr>
            <w:noProof/>
            <w:webHidden/>
          </w:rPr>
          <w:fldChar w:fldCharType="begin"/>
        </w:r>
        <w:r w:rsidR="00164CB3">
          <w:rPr>
            <w:noProof/>
            <w:webHidden/>
          </w:rPr>
          <w:instrText xml:space="preserve"> PAGEREF _Toc159851490 \h </w:instrText>
        </w:r>
        <w:r w:rsidR="00164CB3">
          <w:rPr>
            <w:noProof/>
            <w:webHidden/>
          </w:rPr>
        </w:r>
        <w:r w:rsidR="00164CB3">
          <w:rPr>
            <w:noProof/>
            <w:webHidden/>
          </w:rPr>
          <w:fldChar w:fldCharType="separate"/>
        </w:r>
        <w:r w:rsidR="00DE7A7E">
          <w:rPr>
            <w:noProof/>
            <w:webHidden/>
          </w:rPr>
          <w:t>27</w:t>
        </w:r>
        <w:r w:rsidR="00164CB3">
          <w:rPr>
            <w:noProof/>
            <w:webHidden/>
          </w:rPr>
          <w:fldChar w:fldCharType="end"/>
        </w:r>
      </w:hyperlink>
    </w:p>
    <w:p w14:paraId="23ADEF9B" w14:textId="41D27445" w:rsidR="00164CB3" w:rsidRDefault="00000000" w:rsidP="002B08D3">
      <w:pPr>
        <w:pStyle w:val="TOC3"/>
        <w:rPr>
          <w:rFonts w:eastAsiaTheme="minorEastAsia" w:cstheme="minorBidi"/>
          <w:noProof/>
          <w:kern w:val="2"/>
          <w:sz w:val="24"/>
          <w:szCs w:val="24"/>
          <w14:ligatures w14:val="standardContextual"/>
        </w:rPr>
      </w:pPr>
      <w:hyperlink w:anchor="_Toc15985149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“May release, but may choose to withhold”</w:t>
        </w:r>
        <w:r w:rsidR="00164CB3">
          <w:rPr>
            <w:noProof/>
            <w:webHidden/>
          </w:rPr>
          <w:tab/>
        </w:r>
        <w:r w:rsidR="00164CB3">
          <w:rPr>
            <w:noProof/>
            <w:webHidden/>
          </w:rPr>
          <w:fldChar w:fldCharType="begin"/>
        </w:r>
        <w:r w:rsidR="00164CB3">
          <w:rPr>
            <w:noProof/>
            <w:webHidden/>
          </w:rPr>
          <w:instrText xml:space="preserve"> PAGEREF _Toc159851491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62CDC0EF" w14:textId="4ED390B4"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2"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Waiver of a Discretionary Exemption</w:t>
        </w:r>
        <w:r w:rsidR="00164CB3">
          <w:rPr>
            <w:noProof/>
            <w:webHidden/>
          </w:rPr>
          <w:tab/>
        </w:r>
        <w:r w:rsidR="00164CB3">
          <w:rPr>
            <w:noProof/>
            <w:webHidden/>
          </w:rPr>
          <w:fldChar w:fldCharType="begin"/>
        </w:r>
        <w:r w:rsidR="00164CB3">
          <w:rPr>
            <w:noProof/>
            <w:webHidden/>
          </w:rPr>
          <w:instrText xml:space="preserve"> PAGEREF _Toc159851492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0A6F7070" w14:textId="2F3D015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3"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Applying Exemptions</w:t>
        </w:r>
        <w:r w:rsidR="00164CB3">
          <w:rPr>
            <w:noProof/>
            <w:webHidden/>
          </w:rPr>
          <w:tab/>
        </w:r>
        <w:r w:rsidR="00164CB3">
          <w:rPr>
            <w:noProof/>
            <w:webHidden/>
          </w:rPr>
          <w:fldChar w:fldCharType="begin"/>
        </w:r>
        <w:r w:rsidR="00164CB3">
          <w:rPr>
            <w:noProof/>
            <w:webHidden/>
          </w:rPr>
          <w:instrText xml:space="preserve"> PAGEREF _Toc159851493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70392378" w14:textId="388B8818"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4" w:history="1">
        <w:r w:rsidR="00164CB3" w:rsidRPr="00311922">
          <w:rPr>
            <w:rStyle w:val="Hyperlink"/>
            <w:noProof/>
          </w:rPr>
          <w:t>E.</w:t>
        </w:r>
        <w:r w:rsidR="00164CB3">
          <w:rPr>
            <w:rFonts w:eastAsiaTheme="minorEastAsia" w:cstheme="minorBidi"/>
            <w:b w:val="0"/>
            <w:bCs w:val="0"/>
            <w:noProof/>
            <w:kern w:val="2"/>
            <w:sz w:val="24"/>
            <w:szCs w:val="24"/>
            <w14:ligatures w14:val="standardContextual"/>
          </w:rPr>
          <w:tab/>
        </w:r>
        <w:r w:rsidR="00164CB3" w:rsidRPr="00311922">
          <w:rPr>
            <w:rStyle w:val="Hyperlink"/>
            <w:noProof/>
          </w:rPr>
          <w:t>Exemptions Listed in the Public Records Act</w:t>
        </w:r>
        <w:r w:rsidR="00164CB3">
          <w:rPr>
            <w:noProof/>
            <w:webHidden/>
          </w:rPr>
          <w:tab/>
        </w:r>
        <w:r w:rsidR="00164CB3">
          <w:rPr>
            <w:noProof/>
            <w:webHidden/>
          </w:rPr>
          <w:fldChar w:fldCharType="begin"/>
        </w:r>
        <w:r w:rsidR="00164CB3">
          <w:rPr>
            <w:noProof/>
            <w:webHidden/>
          </w:rPr>
          <w:instrText xml:space="preserve"> PAGEREF _Toc159851494 \h </w:instrText>
        </w:r>
        <w:r w:rsidR="00164CB3">
          <w:rPr>
            <w:noProof/>
            <w:webHidden/>
          </w:rPr>
        </w:r>
        <w:r w:rsidR="00164CB3">
          <w:rPr>
            <w:noProof/>
            <w:webHidden/>
          </w:rPr>
          <w:fldChar w:fldCharType="separate"/>
        </w:r>
        <w:r w:rsidR="00DE7A7E">
          <w:rPr>
            <w:noProof/>
            <w:webHidden/>
          </w:rPr>
          <w:t>28</w:t>
        </w:r>
        <w:r w:rsidR="00164CB3">
          <w:rPr>
            <w:noProof/>
            <w:webHidden/>
          </w:rPr>
          <w:fldChar w:fldCharType="end"/>
        </w:r>
      </w:hyperlink>
    </w:p>
    <w:p w14:paraId="5B12A7EE" w14:textId="5F3BA42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495" w:history="1">
        <w:r w:rsidR="00164CB3" w:rsidRPr="00311922">
          <w:rPr>
            <w:rStyle w:val="Hyperlink"/>
            <w:noProof/>
          </w:rPr>
          <w:t>F.</w:t>
        </w:r>
        <w:r w:rsidR="00164CB3">
          <w:rPr>
            <w:rFonts w:eastAsiaTheme="minorEastAsia" w:cstheme="minorBidi"/>
            <w:b w:val="0"/>
            <w:bCs w:val="0"/>
            <w:noProof/>
            <w:kern w:val="2"/>
            <w:sz w:val="24"/>
            <w:szCs w:val="24"/>
            <w14:ligatures w14:val="standardContextual"/>
          </w:rPr>
          <w:tab/>
        </w:r>
        <w:r w:rsidR="00164CB3" w:rsidRPr="00311922">
          <w:rPr>
            <w:rStyle w:val="Hyperlink"/>
            <w:noProof/>
          </w:rPr>
          <w:t>Categories of Exemptions Created by Other Laws</w:t>
        </w:r>
        <w:r w:rsidR="00164CB3">
          <w:rPr>
            <w:noProof/>
            <w:webHidden/>
          </w:rPr>
          <w:tab/>
        </w:r>
        <w:r w:rsidR="00164CB3">
          <w:rPr>
            <w:noProof/>
            <w:webHidden/>
          </w:rPr>
          <w:fldChar w:fldCharType="begin"/>
        </w:r>
        <w:r w:rsidR="00164CB3">
          <w:rPr>
            <w:noProof/>
            <w:webHidden/>
          </w:rPr>
          <w:instrText xml:space="preserve"> PAGEREF _Toc159851495 \h </w:instrText>
        </w:r>
        <w:r w:rsidR="00164CB3">
          <w:rPr>
            <w:noProof/>
            <w:webHidden/>
          </w:rPr>
        </w:r>
        <w:r w:rsidR="00164CB3">
          <w:rPr>
            <w:noProof/>
            <w:webHidden/>
          </w:rPr>
          <w:fldChar w:fldCharType="separate"/>
        </w:r>
        <w:r w:rsidR="00DE7A7E">
          <w:rPr>
            <w:noProof/>
            <w:webHidden/>
          </w:rPr>
          <w:t>37</w:t>
        </w:r>
        <w:r w:rsidR="00164CB3">
          <w:rPr>
            <w:noProof/>
            <w:webHidden/>
          </w:rPr>
          <w:fldChar w:fldCharType="end"/>
        </w:r>
      </w:hyperlink>
    </w:p>
    <w:p w14:paraId="75C140AE" w14:textId="3E5B0CC0" w:rsidR="00164CB3" w:rsidRDefault="00000000" w:rsidP="002B08D3">
      <w:pPr>
        <w:pStyle w:val="TOC3"/>
        <w:rPr>
          <w:rFonts w:eastAsiaTheme="minorEastAsia" w:cstheme="minorBidi"/>
          <w:noProof/>
          <w:kern w:val="2"/>
          <w:sz w:val="24"/>
          <w:szCs w:val="24"/>
          <w14:ligatures w14:val="standardContextual"/>
        </w:rPr>
      </w:pPr>
      <w:hyperlink w:anchor="_Toc159851496"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Exemptions affecting personal privacy</w:t>
        </w:r>
        <w:r w:rsidR="00164CB3">
          <w:rPr>
            <w:noProof/>
            <w:webHidden/>
          </w:rPr>
          <w:tab/>
        </w:r>
        <w:r w:rsidR="00164CB3">
          <w:rPr>
            <w:noProof/>
            <w:webHidden/>
          </w:rPr>
          <w:fldChar w:fldCharType="begin"/>
        </w:r>
        <w:r w:rsidR="00164CB3">
          <w:rPr>
            <w:noProof/>
            <w:webHidden/>
          </w:rPr>
          <w:instrText xml:space="preserve"> PAGEREF _Toc159851496 \h </w:instrText>
        </w:r>
        <w:r w:rsidR="00164CB3">
          <w:rPr>
            <w:noProof/>
            <w:webHidden/>
          </w:rPr>
        </w:r>
        <w:r w:rsidR="00164CB3">
          <w:rPr>
            <w:noProof/>
            <w:webHidden/>
          </w:rPr>
          <w:fldChar w:fldCharType="separate"/>
        </w:r>
        <w:r w:rsidR="00DE7A7E">
          <w:rPr>
            <w:noProof/>
            <w:webHidden/>
          </w:rPr>
          <w:t>37</w:t>
        </w:r>
        <w:r w:rsidR="00164CB3">
          <w:rPr>
            <w:noProof/>
            <w:webHidden/>
          </w:rPr>
          <w:fldChar w:fldCharType="end"/>
        </w:r>
      </w:hyperlink>
    </w:p>
    <w:p w14:paraId="11DB50A5" w14:textId="6F1B2B5A" w:rsidR="00164CB3" w:rsidRDefault="00000000" w:rsidP="002B08D3">
      <w:pPr>
        <w:pStyle w:val="TOC4"/>
        <w:rPr>
          <w:rFonts w:eastAsiaTheme="minorEastAsia" w:cstheme="minorBidi"/>
          <w:noProof/>
          <w:kern w:val="2"/>
          <w:sz w:val="24"/>
          <w:szCs w:val="24"/>
          <w14:ligatures w14:val="standardContextual"/>
        </w:rPr>
      </w:pPr>
      <w:hyperlink w:anchor="_Toc159851497"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Constitutional right to privacy</w:t>
        </w:r>
        <w:r w:rsidR="00164CB3">
          <w:rPr>
            <w:noProof/>
            <w:webHidden/>
          </w:rPr>
          <w:tab/>
        </w:r>
        <w:r w:rsidR="00164CB3">
          <w:rPr>
            <w:noProof/>
            <w:webHidden/>
          </w:rPr>
          <w:fldChar w:fldCharType="begin"/>
        </w:r>
        <w:r w:rsidR="00164CB3">
          <w:rPr>
            <w:noProof/>
            <w:webHidden/>
          </w:rPr>
          <w:instrText xml:space="preserve"> PAGEREF _Toc159851497 \h </w:instrText>
        </w:r>
        <w:r w:rsidR="00164CB3">
          <w:rPr>
            <w:noProof/>
            <w:webHidden/>
          </w:rPr>
        </w:r>
        <w:r w:rsidR="00164CB3">
          <w:rPr>
            <w:noProof/>
            <w:webHidden/>
          </w:rPr>
          <w:fldChar w:fldCharType="separate"/>
        </w:r>
        <w:r w:rsidR="00DE7A7E">
          <w:rPr>
            <w:noProof/>
            <w:webHidden/>
          </w:rPr>
          <w:t>37</w:t>
        </w:r>
        <w:r w:rsidR="00164CB3">
          <w:rPr>
            <w:noProof/>
            <w:webHidden/>
          </w:rPr>
          <w:fldChar w:fldCharType="end"/>
        </w:r>
      </w:hyperlink>
    </w:p>
    <w:p w14:paraId="25B1801E" w14:textId="280F7DF8" w:rsidR="00164CB3" w:rsidRDefault="00000000" w:rsidP="002B08D3">
      <w:pPr>
        <w:pStyle w:val="TOC4"/>
        <w:rPr>
          <w:rFonts w:eastAsiaTheme="minorEastAsia" w:cstheme="minorBidi"/>
          <w:noProof/>
          <w:kern w:val="2"/>
          <w:sz w:val="24"/>
          <w:szCs w:val="24"/>
          <w14:ligatures w14:val="standardContextual"/>
        </w:rPr>
      </w:pPr>
      <w:hyperlink w:anchor="_Toc159851498"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Personal information listed online</w:t>
        </w:r>
        <w:r w:rsidR="00164CB3">
          <w:rPr>
            <w:noProof/>
            <w:webHidden/>
          </w:rPr>
          <w:tab/>
        </w:r>
        <w:r w:rsidR="00164CB3">
          <w:rPr>
            <w:noProof/>
            <w:webHidden/>
          </w:rPr>
          <w:fldChar w:fldCharType="begin"/>
        </w:r>
        <w:r w:rsidR="00164CB3">
          <w:rPr>
            <w:noProof/>
            <w:webHidden/>
          </w:rPr>
          <w:instrText xml:space="preserve"> PAGEREF _Toc159851498 \h </w:instrText>
        </w:r>
        <w:r w:rsidR="00164CB3">
          <w:rPr>
            <w:noProof/>
            <w:webHidden/>
          </w:rPr>
        </w:r>
        <w:r w:rsidR="00164CB3">
          <w:rPr>
            <w:noProof/>
            <w:webHidden/>
          </w:rPr>
          <w:fldChar w:fldCharType="separate"/>
        </w:r>
        <w:r w:rsidR="00DE7A7E">
          <w:rPr>
            <w:noProof/>
            <w:webHidden/>
          </w:rPr>
          <w:t>38</w:t>
        </w:r>
        <w:r w:rsidR="00164CB3">
          <w:rPr>
            <w:noProof/>
            <w:webHidden/>
          </w:rPr>
          <w:fldChar w:fldCharType="end"/>
        </w:r>
      </w:hyperlink>
    </w:p>
    <w:p w14:paraId="258CBEE4" w14:textId="58273A9C" w:rsidR="00164CB3" w:rsidRDefault="00000000" w:rsidP="002B08D3">
      <w:pPr>
        <w:pStyle w:val="TOC4"/>
        <w:rPr>
          <w:rFonts w:eastAsiaTheme="minorEastAsia" w:cstheme="minorBidi"/>
          <w:noProof/>
          <w:kern w:val="2"/>
          <w:sz w:val="24"/>
          <w:szCs w:val="24"/>
          <w14:ligatures w14:val="standardContextual"/>
        </w:rPr>
      </w:pPr>
      <w:hyperlink w:anchor="_Toc159851499"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Social security numbers</w:t>
        </w:r>
        <w:r w:rsidR="00164CB3">
          <w:rPr>
            <w:noProof/>
            <w:webHidden/>
          </w:rPr>
          <w:tab/>
        </w:r>
        <w:r w:rsidR="00164CB3">
          <w:rPr>
            <w:noProof/>
            <w:webHidden/>
          </w:rPr>
          <w:fldChar w:fldCharType="begin"/>
        </w:r>
        <w:r w:rsidR="00164CB3">
          <w:rPr>
            <w:noProof/>
            <w:webHidden/>
          </w:rPr>
          <w:instrText xml:space="preserve"> PAGEREF _Toc159851499 \h </w:instrText>
        </w:r>
        <w:r w:rsidR="00164CB3">
          <w:rPr>
            <w:noProof/>
            <w:webHidden/>
          </w:rPr>
        </w:r>
        <w:r w:rsidR="00164CB3">
          <w:rPr>
            <w:noProof/>
            <w:webHidden/>
          </w:rPr>
          <w:fldChar w:fldCharType="separate"/>
        </w:r>
        <w:r w:rsidR="00DE7A7E">
          <w:rPr>
            <w:noProof/>
            <w:webHidden/>
          </w:rPr>
          <w:t>39</w:t>
        </w:r>
        <w:r w:rsidR="00164CB3">
          <w:rPr>
            <w:noProof/>
            <w:webHidden/>
          </w:rPr>
          <w:fldChar w:fldCharType="end"/>
        </w:r>
      </w:hyperlink>
    </w:p>
    <w:p w14:paraId="2383E8F4" w14:textId="7B7C6187" w:rsidR="00164CB3" w:rsidRDefault="00000000" w:rsidP="002B08D3">
      <w:pPr>
        <w:pStyle w:val="TOC4"/>
        <w:rPr>
          <w:rFonts w:eastAsiaTheme="minorEastAsia" w:cstheme="minorBidi"/>
          <w:noProof/>
          <w:kern w:val="2"/>
          <w:sz w:val="24"/>
          <w:szCs w:val="24"/>
          <w14:ligatures w14:val="standardContextual"/>
        </w:rPr>
      </w:pPr>
      <w:hyperlink w:anchor="_Toc159851500"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Driver’s privacy protection</w:t>
        </w:r>
        <w:r w:rsidR="00164CB3">
          <w:rPr>
            <w:noProof/>
            <w:webHidden/>
          </w:rPr>
          <w:tab/>
        </w:r>
        <w:r w:rsidR="00164CB3">
          <w:rPr>
            <w:noProof/>
            <w:webHidden/>
          </w:rPr>
          <w:fldChar w:fldCharType="begin"/>
        </w:r>
        <w:r w:rsidR="00164CB3">
          <w:rPr>
            <w:noProof/>
            <w:webHidden/>
          </w:rPr>
          <w:instrText xml:space="preserve"> PAGEREF _Toc159851500 \h </w:instrText>
        </w:r>
        <w:r w:rsidR="00164CB3">
          <w:rPr>
            <w:noProof/>
            <w:webHidden/>
          </w:rPr>
        </w:r>
        <w:r w:rsidR="00164CB3">
          <w:rPr>
            <w:noProof/>
            <w:webHidden/>
          </w:rPr>
          <w:fldChar w:fldCharType="separate"/>
        </w:r>
        <w:r w:rsidR="00DE7A7E">
          <w:rPr>
            <w:noProof/>
            <w:webHidden/>
          </w:rPr>
          <w:t>39</w:t>
        </w:r>
        <w:r w:rsidR="00164CB3">
          <w:rPr>
            <w:noProof/>
            <w:webHidden/>
          </w:rPr>
          <w:fldChar w:fldCharType="end"/>
        </w:r>
      </w:hyperlink>
    </w:p>
    <w:p w14:paraId="168C8DFE" w14:textId="1BEF67A0" w:rsidR="00164CB3" w:rsidRDefault="00000000" w:rsidP="002B08D3">
      <w:pPr>
        <w:pStyle w:val="TOC4"/>
        <w:rPr>
          <w:rFonts w:eastAsiaTheme="minorEastAsia" w:cstheme="minorBidi"/>
          <w:noProof/>
          <w:kern w:val="2"/>
          <w:sz w:val="24"/>
          <w:szCs w:val="24"/>
          <w14:ligatures w14:val="standardContextual"/>
        </w:rPr>
      </w:pPr>
      <w:hyperlink w:anchor="_Toc159851501"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Income tax returns</w:t>
        </w:r>
        <w:r w:rsidR="00164CB3">
          <w:rPr>
            <w:noProof/>
            <w:webHidden/>
          </w:rPr>
          <w:tab/>
        </w:r>
        <w:r w:rsidR="00164CB3">
          <w:rPr>
            <w:noProof/>
            <w:webHidden/>
          </w:rPr>
          <w:fldChar w:fldCharType="begin"/>
        </w:r>
        <w:r w:rsidR="00164CB3">
          <w:rPr>
            <w:noProof/>
            <w:webHidden/>
          </w:rPr>
          <w:instrText xml:space="preserve"> PAGEREF _Toc159851501 \h </w:instrText>
        </w:r>
        <w:r w:rsidR="00164CB3">
          <w:rPr>
            <w:noProof/>
            <w:webHidden/>
          </w:rPr>
        </w:r>
        <w:r w:rsidR="00164CB3">
          <w:rPr>
            <w:noProof/>
            <w:webHidden/>
          </w:rPr>
          <w:fldChar w:fldCharType="separate"/>
        </w:r>
        <w:r w:rsidR="00DE7A7E">
          <w:rPr>
            <w:noProof/>
            <w:webHidden/>
          </w:rPr>
          <w:t>39</w:t>
        </w:r>
        <w:r w:rsidR="00164CB3">
          <w:rPr>
            <w:noProof/>
            <w:webHidden/>
          </w:rPr>
          <w:fldChar w:fldCharType="end"/>
        </w:r>
      </w:hyperlink>
    </w:p>
    <w:p w14:paraId="29300957" w14:textId="44233C40" w:rsidR="00164CB3" w:rsidRDefault="00000000" w:rsidP="002B08D3">
      <w:pPr>
        <w:pStyle w:val="TOC3"/>
        <w:rPr>
          <w:rFonts w:eastAsiaTheme="minorEastAsia" w:cstheme="minorBidi"/>
          <w:noProof/>
          <w:kern w:val="2"/>
          <w:sz w:val="24"/>
          <w:szCs w:val="24"/>
          <w14:ligatures w14:val="standardContextual"/>
        </w:rPr>
      </w:pPr>
      <w:hyperlink w:anchor="_Toc159851502"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Juvenile records</w:t>
        </w:r>
        <w:r w:rsidR="00164CB3">
          <w:rPr>
            <w:noProof/>
            <w:webHidden/>
          </w:rPr>
          <w:tab/>
        </w:r>
        <w:r w:rsidR="00164CB3">
          <w:rPr>
            <w:noProof/>
            <w:webHidden/>
          </w:rPr>
          <w:fldChar w:fldCharType="begin"/>
        </w:r>
        <w:r w:rsidR="00164CB3">
          <w:rPr>
            <w:noProof/>
            <w:webHidden/>
          </w:rPr>
          <w:instrText xml:space="preserve"> PAGEREF _Toc159851502 \h </w:instrText>
        </w:r>
        <w:r w:rsidR="00164CB3">
          <w:rPr>
            <w:noProof/>
            <w:webHidden/>
          </w:rPr>
        </w:r>
        <w:r w:rsidR="00164CB3">
          <w:rPr>
            <w:noProof/>
            <w:webHidden/>
          </w:rPr>
          <w:fldChar w:fldCharType="separate"/>
        </w:r>
        <w:r w:rsidR="00DE7A7E">
          <w:rPr>
            <w:noProof/>
            <w:webHidden/>
          </w:rPr>
          <w:t>40</w:t>
        </w:r>
        <w:r w:rsidR="00164CB3">
          <w:rPr>
            <w:noProof/>
            <w:webHidden/>
          </w:rPr>
          <w:fldChar w:fldCharType="end"/>
        </w:r>
      </w:hyperlink>
    </w:p>
    <w:p w14:paraId="32E30DB2" w14:textId="3CE59964" w:rsidR="00164CB3" w:rsidRDefault="00000000" w:rsidP="002B08D3">
      <w:pPr>
        <w:pStyle w:val="TOC3"/>
        <w:rPr>
          <w:rFonts w:eastAsiaTheme="minorEastAsia" w:cstheme="minorBidi"/>
          <w:noProof/>
          <w:kern w:val="2"/>
          <w:sz w:val="24"/>
          <w:szCs w:val="24"/>
          <w14:ligatures w14:val="standardContextual"/>
        </w:rPr>
      </w:pPr>
      <w:hyperlink w:anchor="_Toc159851503"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Student records</w:t>
        </w:r>
        <w:r w:rsidR="00164CB3">
          <w:rPr>
            <w:noProof/>
            <w:webHidden/>
          </w:rPr>
          <w:tab/>
        </w:r>
        <w:r w:rsidR="00164CB3">
          <w:rPr>
            <w:noProof/>
            <w:webHidden/>
          </w:rPr>
          <w:fldChar w:fldCharType="begin"/>
        </w:r>
        <w:r w:rsidR="00164CB3">
          <w:rPr>
            <w:noProof/>
            <w:webHidden/>
          </w:rPr>
          <w:instrText xml:space="preserve"> PAGEREF _Toc159851503 \h </w:instrText>
        </w:r>
        <w:r w:rsidR="00164CB3">
          <w:rPr>
            <w:noProof/>
            <w:webHidden/>
          </w:rPr>
        </w:r>
        <w:r w:rsidR="00164CB3">
          <w:rPr>
            <w:noProof/>
            <w:webHidden/>
          </w:rPr>
          <w:fldChar w:fldCharType="separate"/>
        </w:r>
        <w:r w:rsidR="00DE7A7E">
          <w:rPr>
            <w:noProof/>
            <w:webHidden/>
          </w:rPr>
          <w:t>40</w:t>
        </w:r>
        <w:r w:rsidR="00164CB3">
          <w:rPr>
            <w:noProof/>
            <w:webHidden/>
          </w:rPr>
          <w:fldChar w:fldCharType="end"/>
        </w:r>
      </w:hyperlink>
    </w:p>
    <w:p w14:paraId="4B913D41" w14:textId="343C10B7" w:rsidR="00164CB3" w:rsidRDefault="00000000" w:rsidP="002B08D3">
      <w:pPr>
        <w:pStyle w:val="TOC3"/>
        <w:rPr>
          <w:rFonts w:eastAsiaTheme="minorEastAsia" w:cstheme="minorBidi"/>
          <w:noProof/>
          <w:kern w:val="2"/>
          <w:sz w:val="24"/>
          <w:szCs w:val="24"/>
          <w14:ligatures w14:val="standardContextual"/>
        </w:rPr>
      </w:pPr>
      <w:hyperlink w:anchor="_Toc159851504"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Public safety and public office security</w:t>
        </w:r>
        <w:r w:rsidR="00164CB3">
          <w:rPr>
            <w:noProof/>
            <w:webHidden/>
          </w:rPr>
          <w:tab/>
        </w:r>
        <w:r w:rsidR="00164CB3">
          <w:rPr>
            <w:noProof/>
            <w:webHidden/>
          </w:rPr>
          <w:fldChar w:fldCharType="begin"/>
        </w:r>
        <w:r w:rsidR="00164CB3">
          <w:rPr>
            <w:noProof/>
            <w:webHidden/>
          </w:rPr>
          <w:instrText xml:space="preserve"> PAGEREF _Toc159851504 \h </w:instrText>
        </w:r>
        <w:r w:rsidR="00164CB3">
          <w:rPr>
            <w:noProof/>
            <w:webHidden/>
          </w:rPr>
        </w:r>
        <w:r w:rsidR="00164CB3">
          <w:rPr>
            <w:noProof/>
            <w:webHidden/>
          </w:rPr>
          <w:fldChar w:fldCharType="separate"/>
        </w:r>
        <w:r w:rsidR="00DE7A7E">
          <w:rPr>
            <w:noProof/>
            <w:webHidden/>
          </w:rPr>
          <w:t>41</w:t>
        </w:r>
        <w:r w:rsidR="00164CB3">
          <w:rPr>
            <w:noProof/>
            <w:webHidden/>
          </w:rPr>
          <w:fldChar w:fldCharType="end"/>
        </w:r>
      </w:hyperlink>
    </w:p>
    <w:p w14:paraId="1DE7CD6B" w14:textId="78E4CCEE" w:rsidR="00164CB3" w:rsidRDefault="00000000" w:rsidP="002B08D3">
      <w:pPr>
        <w:pStyle w:val="TOC4"/>
        <w:rPr>
          <w:rFonts w:eastAsiaTheme="minorEastAsia" w:cstheme="minorBidi"/>
          <w:noProof/>
          <w:kern w:val="2"/>
          <w:sz w:val="24"/>
          <w:szCs w:val="24"/>
          <w14:ligatures w14:val="standardContextual"/>
        </w:rPr>
      </w:pPr>
      <w:hyperlink w:anchor="_Toc15985150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Security records</w:t>
        </w:r>
        <w:r w:rsidR="00164CB3">
          <w:rPr>
            <w:noProof/>
            <w:webHidden/>
          </w:rPr>
          <w:tab/>
        </w:r>
        <w:r w:rsidR="00164CB3">
          <w:rPr>
            <w:noProof/>
            <w:webHidden/>
          </w:rPr>
          <w:fldChar w:fldCharType="begin"/>
        </w:r>
        <w:r w:rsidR="00164CB3">
          <w:rPr>
            <w:noProof/>
            <w:webHidden/>
          </w:rPr>
          <w:instrText xml:space="preserve"> PAGEREF _Toc159851505 \h </w:instrText>
        </w:r>
        <w:r w:rsidR="00164CB3">
          <w:rPr>
            <w:noProof/>
            <w:webHidden/>
          </w:rPr>
        </w:r>
        <w:r w:rsidR="00164CB3">
          <w:rPr>
            <w:noProof/>
            <w:webHidden/>
          </w:rPr>
          <w:fldChar w:fldCharType="separate"/>
        </w:r>
        <w:r w:rsidR="00DE7A7E">
          <w:rPr>
            <w:noProof/>
            <w:webHidden/>
          </w:rPr>
          <w:t>41</w:t>
        </w:r>
        <w:r w:rsidR="00164CB3">
          <w:rPr>
            <w:noProof/>
            <w:webHidden/>
          </w:rPr>
          <w:fldChar w:fldCharType="end"/>
        </w:r>
      </w:hyperlink>
    </w:p>
    <w:p w14:paraId="60C03D70" w14:textId="24DDDD94" w:rsidR="00164CB3" w:rsidRDefault="00000000" w:rsidP="002B08D3">
      <w:pPr>
        <w:pStyle w:val="TOC4"/>
        <w:rPr>
          <w:rFonts w:eastAsiaTheme="minorEastAsia" w:cstheme="minorBidi"/>
          <w:noProof/>
          <w:kern w:val="2"/>
          <w:sz w:val="24"/>
          <w:szCs w:val="24"/>
          <w14:ligatures w14:val="standardContextual"/>
        </w:rPr>
      </w:pPr>
      <w:hyperlink w:anchor="_Toc15985150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Infrastructure records</w:t>
        </w:r>
        <w:r w:rsidR="00164CB3">
          <w:rPr>
            <w:noProof/>
            <w:webHidden/>
          </w:rPr>
          <w:tab/>
        </w:r>
        <w:r w:rsidR="00164CB3">
          <w:rPr>
            <w:noProof/>
            <w:webHidden/>
          </w:rPr>
          <w:fldChar w:fldCharType="begin"/>
        </w:r>
        <w:r w:rsidR="00164CB3">
          <w:rPr>
            <w:noProof/>
            <w:webHidden/>
          </w:rPr>
          <w:instrText xml:space="preserve"> PAGEREF _Toc159851506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4A01DB09" w14:textId="6432A989" w:rsidR="00164CB3" w:rsidRDefault="00000000" w:rsidP="002B08D3">
      <w:pPr>
        <w:pStyle w:val="TOC4"/>
        <w:rPr>
          <w:rFonts w:eastAsiaTheme="minorEastAsia" w:cstheme="minorBidi"/>
          <w:noProof/>
          <w:kern w:val="2"/>
          <w:sz w:val="24"/>
          <w:szCs w:val="24"/>
          <w14:ligatures w14:val="standardContextual"/>
        </w:rPr>
      </w:pPr>
      <w:hyperlink w:anchor="_Toc15985150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Records that would jeopardize the security of public office electronic records</w:t>
        </w:r>
        <w:r w:rsidR="00164CB3">
          <w:rPr>
            <w:noProof/>
            <w:webHidden/>
          </w:rPr>
          <w:tab/>
        </w:r>
        <w:r w:rsidR="00164CB3">
          <w:rPr>
            <w:noProof/>
            <w:webHidden/>
          </w:rPr>
          <w:fldChar w:fldCharType="begin"/>
        </w:r>
        <w:r w:rsidR="00164CB3">
          <w:rPr>
            <w:noProof/>
            <w:webHidden/>
          </w:rPr>
          <w:instrText xml:space="preserve"> PAGEREF _Toc159851507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443CD0F2" w14:textId="55168000" w:rsidR="00164CB3" w:rsidRDefault="00000000" w:rsidP="002B08D3">
      <w:pPr>
        <w:pStyle w:val="TOC3"/>
        <w:rPr>
          <w:rFonts w:eastAsiaTheme="minorEastAsia" w:cstheme="minorBidi"/>
          <w:noProof/>
          <w:kern w:val="2"/>
          <w:sz w:val="24"/>
          <w:szCs w:val="24"/>
          <w14:ligatures w14:val="standardContextual"/>
        </w:rPr>
      </w:pPr>
      <w:hyperlink w:anchor="_Toc159851508"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Exemptions related to litigation</w:t>
        </w:r>
        <w:r w:rsidR="00164CB3">
          <w:rPr>
            <w:noProof/>
            <w:webHidden/>
          </w:rPr>
          <w:tab/>
        </w:r>
        <w:r w:rsidR="00164CB3">
          <w:rPr>
            <w:noProof/>
            <w:webHidden/>
          </w:rPr>
          <w:fldChar w:fldCharType="begin"/>
        </w:r>
        <w:r w:rsidR="00164CB3">
          <w:rPr>
            <w:noProof/>
            <w:webHidden/>
          </w:rPr>
          <w:instrText xml:space="preserve"> PAGEREF _Toc159851508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6C28A43C" w14:textId="5A419886" w:rsidR="00164CB3" w:rsidRDefault="00000000" w:rsidP="002B08D3">
      <w:pPr>
        <w:pStyle w:val="TOC4"/>
        <w:rPr>
          <w:rFonts w:eastAsiaTheme="minorEastAsia" w:cstheme="minorBidi"/>
          <w:noProof/>
          <w:kern w:val="2"/>
          <w:sz w:val="24"/>
          <w:szCs w:val="24"/>
          <w14:ligatures w14:val="standardContextual"/>
        </w:rPr>
      </w:pPr>
      <w:hyperlink w:anchor="_Toc159851509"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Attorney-client privilege and attorney work product</w:t>
        </w:r>
        <w:r w:rsidR="00164CB3">
          <w:rPr>
            <w:noProof/>
            <w:webHidden/>
          </w:rPr>
          <w:tab/>
        </w:r>
        <w:r w:rsidR="00164CB3">
          <w:rPr>
            <w:noProof/>
            <w:webHidden/>
          </w:rPr>
          <w:fldChar w:fldCharType="begin"/>
        </w:r>
        <w:r w:rsidR="00164CB3">
          <w:rPr>
            <w:noProof/>
            <w:webHidden/>
          </w:rPr>
          <w:instrText xml:space="preserve"> PAGEREF _Toc159851509 \h </w:instrText>
        </w:r>
        <w:r w:rsidR="00164CB3">
          <w:rPr>
            <w:noProof/>
            <w:webHidden/>
          </w:rPr>
        </w:r>
        <w:r w:rsidR="00164CB3">
          <w:rPr>
            <w:noProof/>
            <w:webHidden/>
          </w:rPr>
          <w:fldChar w:fldCharType="separate"/>
        </w:r>
        <w:r w:rsidR="00DE7A7E">
          <w:rPr>
            <w:noProof/>
            <w:webHidden/>
          </w:rPr>
          <w:t>42</w:t>
        </w:r>
        <w:r w:rsidR="00164CB3">
          <w:rPr>
            <w:noProof/>
            <w:webHidden/>
          </w:rPr>
          <w:fldChar w:fldCharType="end"/>
        </w:r>
      </w:hyperlink>
    </w:p>
    <w:p w14:paraId="6E318735" w14:textId="5151815C" w:rsidR="00164CB3" w:rsidRDefault="00000000" w:rsidP="002B08D3">
      <w:pPr>
        <w:pStyle w:val="TOC4"/>
        <w:rPr>
          <w:rFonts w:eastAsiaTheme="minorEastAsia" w:cstheme="minorBidi"/>
          <w:noProof/>
          <w:kern w:val="2"/>
          <w:sz w:val="24"/>
          <w:szCs w:val="24"/>
          <w14:ligatures w14:val="standardContextual"/>
        </w:rPr>
      </w:pPr>
      <w:hyperlink w:anchor="_Toc159851510"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Criminal discovery</w:t>
        </w:r>
        <w:r w:rsidR="00164CB3">
          <w:rPr>
            <w:noProof/>
            <w:webHidden/>
          </w:rPr>
          <w:tab/>
        </w:r>
        <w:r w:rsidR="00164CB3">
          <w:rPr>
            <w:noProof/>
            <w:webHidden/>
          </w:rPr>
          <w:fldChar w:fldCharType="begin"/>
        </w:r>
        <w:r w:rsidR="00164CB3">
          <w:rPr>
            <w:noProof/>
            <w:webHidden/>
          </w:rPr>
          <w:instrText xml:space="preserve"> PAGEREF _Toc159851510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7D1CEE5E" w14:textId="2563EC65" w:rsidR="00164CB3" w:rsidRDefault="00000000" w:rsidP="002B08D3">
      <w:pPr>
        <w:pStyle w:val="TOC4"/>
        <w:rPr>
          <w:rFonts w:eastAsiaTheme="minorEastAsia" w:cstheme="minorBidi"/>
          <w:noProof/>
          <w:kern w:val="2"/>
          <w:sz w:val="24"/>
          <w:szCs w:val="24"/>
          <w14:ligatures w14:val="standardContextual"/>
        </w:rPr>
      </w:pPr>
      <w:hyperlink w:anchor="_Toc159851511"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Civil discovery</w:t>
        </w:r>
        <w:r w:rsidR="00164CB3">
          <w:rPr>
            <w:noProof/>
            <w:webHidden/>
          </w:rPr>
          <w:tab/>
        </w:r>
        <w:r w:rsidR="00164CB3">
          <w:rPr>
            <w:noProof/>
            <w:webHidden/>
          </w:rPr>
          <w:fldChar w:fldCharType="begin"/>
        </w:r>
        <w:r w:rsidR="00164CB3">
          <w:rPr>
            <w:noProof/>
            <w:webHidden/>
          </w:rPr>
          <w:instrText xml:space="preserve"> PAGEREF _Toc159851511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59F17E90" w14:textId="19890122" w:rsidR="00164CB3" w:rsidRDefault="00000000" w:rsidP="002B08D3">
      <w:pPr>
        <w:pStyle w:val="TOC4"/>
        <w:rPr>
          <w:rFonts w:eastAsiaTheme="minorEastAsia" w:cstheme="minorBidi"/>
          <w:noProof/>
          <w:kern w:val="2"/>
          <w:sz w:val="24"/>
          <w:szCs w:val="24"/>
          <w14:ligatures w14:val="standardContextual"/>
        </w:rPr>
      </w:pPr>
      <w:hyperlink w:anchor="_Toc159851512"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Trial preparation records</w:t>
        </w:r>
        <w:r w:rsidR="00164CB3">
          <w:rPr>
            <w:noProof/>
            <w:webHidden/>
          </w:rPr>
          <w:tab/>
        </w:r>
        <w:r w:rsidR="00164CB3">
          <w:rPr>
            <w:noProof/>
            <w:webHidden/>
          </w:rPr>
          <w:fldChar w:fldCharType="begin"/>
        </w:r>
        <w:r w:rsidR="00164CB3">
          <w:rPr>
            <w:noProof/>
            <w:webHidden/>
          </w:rPr>
          <w:instrText xml:space="preserve"> PAGEREF _Toc159851512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2091423E" w14:textId="4F164EB5" w:rsidR="00164CB3" w:rsidRDefault="00000000" w:rsidP="002B08D3">
      <w:pPr>
        <w:pStyle w:val="TOC4"/>
        <w:rPr>
          <w:rFonts w:eastAsiaTheme="minorEastAsia" w:cstheme="minorBidi"/>
          <w:noProof/>
          <w:kern w:val="2"/>
          <w:sz w:val="24"/>
          <w:szCs w:val="24"/>
          <w14:ligatures w14:val="standardContextual"/>
        </w:rPr>
      </w:pPr>
      <w:hyperlink w:anchor="_Toc159851513"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Protective orders and sealed or expunged court records</w:t>
        </w:r>
        <w:r w:rsidR="00164CB3">
          <w:rPr>
            <w:noProof/>
            <w:webHidden/>
          </w:rPr>
          <w:tab/>
        </w:r>
        <w:r w:rsidR="00164CB3">
          <w:rPr>
            <w:noProof/>
            <w:webHidden/>
          </w:rPr>
          <w:fldChar w:fldCharType="begin"/>
        </w:r>
        <w:r w:rsidR="00164CB3">
          <w:rPr>
            <w:noProof/>
            <w:webHidden/>
          </w:rPr>
          <w:instrText xml:space="preserve"> PAGEREF _Toc159851513 \h </w:instrText>
        </w:r>
        <w:r w:rsidR="00164CB3">
          <w:rPr>
            <w:noProof/>
            <w:webHidden/>
          </w:rPr>
        </w:r>
        <w:r w:rsidR="00164CB3">
          <w:rPr>
            <w:noProof/>
            <w:webHidden/>
          </w:rPr>
          <w:fldChar w:fldCharType="separate"/>
        </w:r>
        <w:r w:rsidR="00DE7A7E">
          <w:rPr>
            <w:noProof/>
            <w:webHidden/>
          </w:rPr>
          <w:t>43</w:t>
        </w:r>
        <w:r w:rsidR="00164CB3">
          <w:rPr>
            <w:noProof/>
            <w:webHidden/>
          </w:rPr>
          <w:fldChar w:fldCharType="end"/>
        </w:r>
      </w:hyperlink>
    </w:p>
    <w:p w14:paraId="7FA6F586" w14:textId="0EBC5DE3" w:rsidR="00164CB3" w:rsidRDefault="00000000" w:rsidP="002B08D3">
      <w:pPr>
        <w:pStyle w:val="TOC4"/>
        <w:rPr>
          <w:rFonts w:eastAsiaTheme="minorEastAsia" w:cstheme="minorBidi"/>
          <w:noProof/>
          <w:kern w:val="2"/>
          <w:sz w:val="24"/>
          <w:szCs w:val="24"/>
          <w14:ligatures w14:val="standardContextual"/>
        </w:rPr>
      </w:pPr>
      <w:hyperlink w:anchor="_Toc159851514" w:history="1">
        <w:r w:rsidR="00164CB3" w:rsidRPr="00311922">
          <w:rPr>
            <w:rStyle w:val="Hyperlink"/>
            <w:noProof/>
          </w:rPr>
          <w:t>f.</w:t>
        </w:r>
        <w:r w:rsidR="00164CB3">
          <w:rPr>
            <w:rFonts w:eastAsiaTheme="minorEastAsia" w:cstheme="minorBidi"/>
            <w:noProof/>
            <w:kern w:val="2"/>
            <w:sz w:val="24"/>
            <w:szCs w:val="24"/>
            <w14:ligatures w14:val="standardContextual"/>
          </w:rPr>
          <w:tab/>
        </w:r>
        <w:r w:rsidR="00164CB3" w:rsidRPr="00311922">
          <w:rPr>
            <w:rStyle w:val="Hyperlink"/>
            <w:noProof/>
          </w:rPr>
          <w:t xml:space="preserve"> Grand jury records</w:t>
        </w:r>
        <w:r w:rsidR="00164CB3">
          <w:rPr>
            <w:noProof/>
            <w:webHidden/>
          </w:rPr>
          <w:tab/>
        </w:r>
        <w:r w:rsidR="00164CB3">
          <w:rPr>
            <w:noProof/>
            <w:webHidden/>
          </w:rPr>
          <w:fldChar w:fldCharType="begin"/>
        </w:r>
        <w:r w:rsidR="00164CB3">
          <w:rPr>
            <w:noProof/>
            <w:webHidden/>
          </w:rPr>
          <w:instrText xml:space="preserve"> PAGEREF _Toc159851514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43260DF1" w14:textId="60E0E31C" w:rsidR="00164CB3" w:rsidRDefault="00000000" w:rsidP="002B08D3">
      <w:pPr>
        <w:pStyle w:val="TOC4"/>
        <w:rPr>
          <w:rFonts w:eastAsiaTheme="minorEastAsia" w:cstheme="minorBidi"/>
          <w:noProof/>
          <w:kern w:val="2"/>
          <w:sz w:val="24"/>
          <w:szCs w:val="24"/>
          <w14:ligatures w14:val="standardContextual"/>
        </w:rPr>
      </w:pPr>
      <w:hyperlink w:anchor="_Toc159851515" w:history="1">
        <w:r w:rsidR="00164CB3" w:rsidRPr="00311922">
          <w:rPr>
            <w:rStyle w:val="Hyperlink"/>
            <w:noProof/>
          </w:rPr>
          <w:t>g.</w:t>
        </w:r>
        <w:r w:rsidR="00164CB3">
          <w:rPr>
            <w:rFonts w:eastAsiaTheme="minorEastAsia" w:cstheme="minorBidi"/>
            <w:noProof/>
            <w:kern w:val="2"/>
            <w:sz w:val="24"/>
            <w:szCs w:val="24"/>
            <w14:ligatures w14:val="standardContextual"/>
          </w:rPr>
          <w:tab/>
        </w:r>
        <w:r w:rsidR="00164CB3" w:rsidRPr="00311922">
          <w:rPr>
            <w:rStyle w:val="Hyperlink"/>
            <w:noProof/>
          </w:rPr>
          <w:t xml:space="preserve"> Settlement agreements and other contracts</w:t>
        </w:r>
        <w:r w:rsidR="00164CB3">
          <w:rPr>
            <w:noProof/>
            <w:webHidden/>
          </w:rPr>
          <w:tab/>
        </w:r>
        <w:r w:rsidR="00164CB3">
          <w:rPr>
            <w:noProof/>
            <w:webHidden/>
          </w:rPr>
          <w:fldChar w:fldCharType="begin"/>
        </w:r>
        <w:r w:rsidR="00164CB3">
          <w:rPr>
            <w:noProof/>
            <w:webHidden/>
          </w:rPr>
          <w:instrText xml:space="preserve"> PAGEREF _Toc159851515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25F19E8F" w14:textId="3E71640D" w:rsidR="00164CB3" w:rsidRDefault="00000000" w:rsidP="002B08D3">
      <w:pPr>
        <w:pStyle w:val="TOC3"/>
        <w:rPr>
          <w:rFonts w:eastAsiaTheme="minorEastAsia" w:cstheme="minorBidi"/>
          <w:noProof/>
          <w:kern w:val="2"/>
          <w:sz w:val="24"/>
          <w:szCs w:val="24"/>
          <w14:ligatures w14:val="standardContextual"/>
        </w:rPr>
      </w:pPr>
      <w:hyperlink w:anchor="_Toc159851516"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Intellectual property</w:t>
        </w:r>
        <w:r w:rsidR="00164CB3">
          <w:rPr>
            <w:noProof/>
            <w:webHidden/>
          </w:rPr>
          <w:tab/>
        </w:r>
        <w:r w:rsidR="00164CB3">
          <w:rPr>
            <w:noProof/>
            <w:webHidden/>
          </w:rPr>
          <w:fldChar w:fldCharType="begin"/>
        </w:r>
        <w:r w:rsidR="00164CB3">
          <w:rPr>
            <w:noProof/>
            <w:webHidden/>
          </w:rPr>
          <w:instrText xml:space="preserve"> PAGEREF _Toc159851516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415C9CC8" w14:textId="3D53B385" w:rsidR="00164CB3" w:rsidRDefault="00000000" w:rsidP="002B08D3">
      <w:pPr>
        <w:pStyle w:val="TOC4"/>
        <w:rPr>
          <w:rFonts w:eastAsiaTheme="minorEastAsia" w:cstheme="minorBidi"/>
          <w:noProof/>
          <w:kern w:val="2"/>
          <w:sz w:val="24"/>
          <w:szCs w:val="24"/>
          <w14:ligatures w14:val="standardContextual"/>
        </w:rPr>
      </w:pPr>
      <w:hyperlink w:anchor="_Toc159851517"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Trade secrets</w:t>
        </w:r>
        <w:r w:rsidR="00164CB3">
          <w:rPr>
            <w:noProof/>
            <w:webHidden/>
          </w:rPr>
          <w:tab/>
        </w:r>
        <w:r w:rsidR="00164CB3">
          <w:rPr>
            <w:noProof/>
            <w:webHidden/>
          </w:rPr>
          <w:fldChar w:fldCharType="begin"/>
        </w:r>
        <w:r w:rsidR="00164CB3">
          <w:rPr>
            <w:noProof/>
            <w:webHidden/>
          </w:rPr>
          <w:instrText xml:space="preserve"> PAGEREF _Toc159851517 \h </w:instrText>
        </w:r>
        <w:r w:rsidR="00164CB3">
          <w:rPr>
            <w:noProof/>
            <w:webHidden/>
          </w:rPr>
        </w:r>
        <w:r w:rsidR="00164CB3">
          <w:rPr>
            <w:noProof/>
            <w:webHidden/>
          </w:rPr>
          <w:fldChar w:fldCharType="separate"/>
        </w:r>
        <w:r w:rsidR="00DE7A7E">
          <w:rPr>
            <w:noProof/>
            <w:webHidden/>
          </w:rPr>
          <w:t>44</w:t>
        </w:r>
        <w:r w:rsidR="00164CB3">
          <w:rPr>
            <w:noProof/>
            <w:webHidden/>
          </w:rPr>
          <w:fldChar w:fldCharType="end"/>
        </w:r>
      </w:hyperlink>
    </w:p>
    <w:p w14:paraId="18F76D6A" w14:textId="5C783659" w:rsidR="00164CB3" w:rsidRDefault="00000000" w:rsidP="002B08D3">
      <w:pPr>
        <w:pStyle w:val="TOC4"/>
        <w:rPr>
          <w:rFonts w:eastAsiaTheme="minorEastAsia" w:cstheme="minorBidi"/>
          <w:noProof/>
          <w:kern w:val="2"/>
          <w:sz w:val="24"/>
          <w:szCs w:val="24"/>
          <w14:ligatures w14:val="standardContextual"/>
        </w:rPr>
      </w:pPr>
      <w:hyperlink w:anchor="_Toc159851518"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Copyright</w:t>
        </w:r>
        <w:r w:rsidR="00164CB3">
          <w:rPr>
            <w:noProof/>
            <w:webHidden/>
          </w:rPr>
          <w:tab/>
        </w:r>
        <w:r w:rsidR="00164CB3">
          <w:rPr>
            <w:noProof/>
            <w:webHidden/>
          </w:rPr>
          <w:fldChar w:fldCharType="begin"/>
        </w:r>
        <w:r w:rsidR="00164CB3">
          <w:rPr>
            <w:noProof/>
            <w:webHidden/>
          </w:rPr>
          <w:instrText xml:space="preserve"> PAGEREF _Toc159851518 \h </w:instrText>
        </w:r>
        <w:r w:rsidR="00164CB3">
          <w:rPr>
            <w:noProof/>
            <w:webHidden/>
          </w:rPr>
        </w:r>
        <w:r w:rsidR="00164CB3">
          <w:rPr>
            <w:noProof/>
            <w:webHidden/>
          </w:rPr>
          <w:fldChar w:fldCharType="separate"/>
        </w:r>
        <w:r w:rsidR="00DE7A7E">
          <w:rPr>
            <w:noProof/>
            <w:webHidden/>
          </w:rPr>
          <w:t>45</w:t>
        </w:r>
        <w:r w:rsidR="00164CB3">
          <w:rPr>
            <w:noProof/>
            <w:webHidden/>
          </w:rPr>
          <w:fldChar w:fldCharType="end"/>
        </w:r>
      </w:hyperlink>
    </w:p>
    <w:p w14:paraId="672D3D4B" w14:textId="77EBC638" w:rsidR="00164CB3" w:rsidRDefault="00000000" w:rsidP="002B08D3">
      <w:pPr>
        <w:pStyle w:val="TOC3"/>
        <w:rPr>
          <w:rFonts w:eastAsiaTheme="minorEastAsia" w:cstheme="minorBidi"/>
          <w:noProof/>
          <w:kern w:val="2"/>
          <w:sz w:val="24"/>
          <w:szCs w:val="24"/>
          <w14:ligatures w14:val="standardContextual"/>
        </w:rPr>
      </w:pPr>
      <w:hyperlink w:anchor="_Toc159851519"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Records of inmates</w:t>
        </w:r>
        <w:r w:rsidR="00164CB3">
          <w:rPr>
            <w:noProof/>
            <w:webHidden/>
          </w:rPr>
          <w:tab/>
        </w:r>
        <w:r w:rsidR="00164CB3">
          <w:rPr>
            <w:noProof/>
            <w:webHidden/>
          </w:rPr>
          <w:fldChar w:fldCharType="begin"/>
        </w:r>
        <w:r w:rsidR="00164CB3">
          <w:rPr>
            <w:noProof/>
            <w:webHidden/>
          </w:rPr>
          <w:instrText xml:space="preserve"> PAGEREF _Toc159851519 \h </w:instrText>
        </w:r>
        <w:r w:rsidR="00164CB3">
          <w:rPr>
            <w:noProof/>
            <w:webHidden/>
          </w:rPr>
        </w:r>
        <w:r w:rsidR="00164CB3">
          <w:rPr>
            <w:noProof/>
            <w:webHidden/>
          </w:rPr>
          <w:fldChar w:fldCharType="separate"/>
        </w:r>
        <w:r w:rsidR="00DE7A7E">
          <w:rPr>
            <w:noProof/>
            <w:webHidden/>
          </w:rPr>
          <w:t>45</w:t>
        </w:r>
        <w:r w:rsidR="00164CB3">
          <w:rPr>
            <w:noProof/>
            <w:webHidden/>
          </w:rPr>
          <w:fldChar w:fldCharType="end"/>
        </w:r>
      </w:hyperlink>
    </w:p>
    <w:p w14:paraId="4D955284" w14:textId="5045DCC3" w:rsidR="00164CB3" w:rsidRDefault="00E86E4F">
      <w:pPr>
        <w:pStyle w:val="TOC1"/>
        <w:tabs>
          <w:tab w:val="left" w:pos="648"/>
          <w:tab w:val="right" w:leader="dot" w:pos="9350"/>
        </w:tabs>
        <w:rPr>
          <w:rFonts w:eastAsiaTheme="minorEastAsia" w:cstheme="minorBidi"/>
          <w:bCs w:val="0"/>
          <w:noProof/>
          <w:kern w:val="2"/>
          <w14:ligatures w14:val="standardContextual"/>
        </w:rPr>
      </w:pPr>
      <w:r>
        <w:t>I</w:t>
      </w:r>
      <w:hyperlink w:anchor="_Toc159851520" w:history="1">
        <w:r w:rsidR="00164CB3" w:rsidRPr="00311922">
          <w:rPr>
            <w:rStyle w:val="Hyperlink"/>
            <w:noProof/>
          </w:rPr>
          <w:t>V.</w:t>
        </w:r>
        <w:r w:rsidR="00164CB3">
          <w:rPr>
            <w:rFonts w:eastAsiaTheme="minorEastAsia" w:cstheme="minorBidi"/>
            <w:bCs w:val="0"/>
            <w:noProof/>
            <w:kern w:val="2"/>
            <w14:ligatures w14:val="standardContextual"/>
          </w:rPr>
          <w:tab/>
        </w:r>
        <w:r w:rsidR="00164CB3" w:rsidRPr="00311922">
          <w:rPr>
            <w:rStyle w:val="Hyperlink"/>
            <w:noProof/>
          </w:rPr>
          <w:t>Chapter Four:  Law Enforcement Records</w:t>
        </w:r>
        <w:r w:rsidR="00164CB3">
          <w:rPr>
            <w:noProof/>
            <w:webHidden/>
          </w:rPr>
          <w:tab/>
        </w:r>
        <w:r w:rsidR="00164CB3">
          <w:rPr>
            <w:noProof/>
            <w:webHidden/>
          </w:rPr>
          <w:fldChar w:fldCharType="begin"/>
        </w:r>
        <w:r w:rsidR="00164CB3">
          <w:rPr>
            <w:noProof/>
            <w:webHidden/>
          </w:rPr>
          <w:instrText xml:space="preserve"> PAGEREF _Toc159851520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748B7DD9" w14:textId="42A5418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21"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CLEIRs: Confidential Law Enforcement Investigatory Records Exemption</w:t>
        </w:r>
        <w:r w:rsidR="00164CB3">
          <w:rPr>
            <w:noProof/>
            <w:webHidden/>
          </w:rPr>
          <w:tab/>
        </w:r>
        <w:r w:rsidR="00164CB3">
          <w:rPr>
            <w:noProof/>
            <w:webHidden/>
          </w:rPr>
          <w:fldChar w:fldCharType="begin"/>
        </w:r>
        <w:r w:rsidR="00164CB3">
          <w:rPr>
            <w:noProof/>
            <w:webHidden/>
          </w:rPr>
          <w:instrText xml:space="preserve"> PAGEREF _Toc159851521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2667DD41" w14:textId="190FBBFD" w:rsidR="00164CB3" w:rsidRDefault="00000000" w:rsidP="002B08D3">
      <w:pPr>
        <w:pStyle w:val="TOC3"/>
        <w:rPr>
          <w:rFonts w:eastAsiaTheme="minorEastAsia" w:cstheme="minorBidi"/>
          <w:noProof/>
          <w:kern w:val="2"/>
          <w:sz w:val="24"/>
          <w:szCs w:val="24"/>
          <w14:ligatures w14:val="standardContextual"/>
        </w:rPr>
      </w:pPr>
      <w:hyperlink w:anchor="_Toc15985152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Step one: pertains to “a law enforcement matter”</w:t>
        </w:r>
        <w:r w:rsidR="00164CB3">
          <w:rPr>
            <w:noProof/>
            <w:webHidden/>
          </w:rPr>
          <w:tab/>
        </w:r>
        <w:r w:rsidR="00164CB3">
          <w:rPr>
            <w:noProof/>
            <w:webHidden/>
          </w:rPr>
          <w:fldChar w:fldCharType="begin"/>
        </w:r>
        <w:r w:rsidR="00164CB3">
          <w:rPr>
            <w:noProof/>
            <w:webHidden/>
          </w:rPr>
          <w:instrText xml:space="preserve"> PAGEREF _Toc159851522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799FBDFB" w14:textId="1FF8600C" w:rsidR="00164CB3" w:rsidRDefault="00000000" w:rsidP="002B08D3">
      <w:pPr>
        <w:pStyle w:val="TOC4"/>
        <w:rPr>
          <w:rFonts w:eastAsiaTheme="minorEastAsia" w:cstheme="minorBidi"/>
          <w:noProof/>
          <w:kern w:val="2"/>
          <w:sz w:val="24"/>
          <w:szCs w:val="24"/>
          <w14:ligatures w14:val="standardContextual"/>
        </w:rPr>
      </w:pPr>
      <w:hyperlink w:anchor="_Toc159851523"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Has an investigation been initiated upon specific suspicion of wrongdoing?</w:t>
        </w:r>
        <w:r w:rsidR="00164CB3">
          <w:rPr>
            <w:noProof/>
            <w:webHidden/>
          </w:rPr>
          <w:tab/>
        </w:r>
        <w:r w:rsidR="00164CB3">
          <w:rPr>
            <w:noProof/>
            <w:webHidden/>
          </w:rPr>
          <w:fldChar w:fldCharType="begin"/>
        </w:r>
        <w:r w:rsidR="00164CB3">
          <w:rPr>
            <w:noProof/>
            <w:webHidden/>
          </w:rPr>
          <w:instrText xml:space="preserve"> PAGEREF _Toc159851523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00484F4E" w14:textId="64A9A59E" w:rsidR="00164CB3" w:rsidRDefault="00000000" w:rsidP="002B08D3">
      <w:pPr>
        <w:pStyle w:val="TOC4"/>
        <w:rPr>
          <w:rFonts w:eastAsiaTheme="minorEastAsia" w:cstheme="minorBidi"/>
          <w:noProof/>
          <w:kern w:val="2"/>
          <w:sz w:val="24"/>
          <w:szCs w:val="24"/>
          <w14:ligatures w14:val="standardContextual"/>
        </w:rPr>
      </w:pPr>
      <w:hyperlink w:anchor="_Toc159851524"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Does the alleged conduct violate criminal, quasi-criminal, civil, or administrative law?</w:t>
        </w:r>
        <w:r w:rsidR="00164CB3">
          <w:rPr>
            <w:noProof/>
            <w:webHidden/>
          </w:rPr>
          <w:tab/>
        </w:r>
        <w:r w:rsidR="00164CB3">
          <w:rPr>
            <w:noProof/>
            <w:webHidden/>
          </w:rPr>
          <w:fldChar w:fldCharType="begin"/>
        </w:r>
        <w:r w:rsidR="00164CB3">
          <w:rPr>
            <w:noProof/>
            <w:webHidden/>
          </w:rPr>
          <w:instrText xml:space="preserve"> PAGEREF _Toc159851524 \h </w:instrText>
        </w:r>
        <w:r w:rsidR="00164CB3">
          <w:rPr>
            <w:noProof/>
            <w:webHidden/>
          </w:rPr>
        </w:r>
        <w:r w:rsidR="00164CB3">
          <w:rPr>
            <w:noProof/>
            <w:webHidden/>
          </w:rPr>
          <w:fldChar w:fldCharType="separate"/>
        </w:r>
        <w:r w:rsidR="00DE7A7E">
          <w:rPr>
            <w:noProof/>
            <w:webHidden/>
          </w:rPr>
          <w:t>52</w:t>
        </w:r>
        <w:r w:rsidR="00164CB3">
          <w:rPr>
            <w:noProof/>
            <w:webHidden/>
          </w:rPr>
          <w:fldChar w:fldCharType="end"/>
        </w:r>
      </w:hyperlink>
    </w:p>
    <w:p w14:paraId="71172665" w14:textId="2436B183" w:rsidR="00164CB3" w:rsidRDefault="00000000" w:rsidP="002B08D3">
      <w:pPr>
        <w:pStyle w:val="TOC4"/>
        <w:rPr>
          <w:rFonts w:eastAsiaTheme="minorEastAsia" w:cstheme="minorBidi"/>
          <w:noProof/>
          <w:kern w:val="2"/>
          <w:sz w:val="24"/>
          <w:szCs w:val="24"/>
          <w14:ligatures w14:val="standardContextual"/>
        </w:rPr>
      </w:pPr>
      <w:hyperlink w:anchor="_Toc159851525"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Does the public office have the authority to investigate or enforce the law allegedly violated?</w:t>
        </w:r>
        <w:r w:rsidR="00164CB3">
          <w:rPr>
            <w:noProof/>
            <w:webHidden/>
          </w:rPr>
          <w:tab/>
        </w:r>
        <w:r w:rsidR="00164CB3">
          <w:rPr>
            <w:noProof/>
            <w:webHidden/>
          </w:rPr>
          <w:fldChar w:fldCharType="begin"/>
        </w:r>
        <w:r w:rsidR="00164CB3">
          <w:rPr>
            <w:noProof/>
            <w:webHidden/>
          </w:rPr>
          <w:instrText xml:space="preserve"> PAGEREF _Toc159851525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2028E057" w14:textId="47FF7D6B" w:rsidR="00164CB3" w:rsidRDefault="00000000" w:rsidP="002B08D3">
      <w:pPr>
        <w:pStyle w:val="TOC3"/>
        <w:rPr>
          <w:rFonts w:eastAsiaTheme="minorEastAsia" w:cstheme="minorBidi"/>
          <w:noProof/>
          <w:kern w:val="2"/>
          <w:sz w:val="24"/>
          <w:szCs w:val="24"/>
          <w14:ligatures w14:val="standardContextual"/>
        </w:rPr>
      </w:pPr>
      <w:hyperlink w:anchor="_Toc15985152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Step two: high probability of disclosing certain information</w:t>
        </w:r>
        <w:r w:rsidR="00164CB3">
          <w:rPr>
            <w:noProof/>
            <w:webHidden/>
          </w:rPr>
          <w:tab/>
        </w:r>
        <w:r w:rsidR="00164CB3">
          <w:rPr>
            <w:noProof/>
            <w:webHidden/>
          </w:rPr>
          <w:fldChar w:fldCharType="begin"/>
        </w:r>
        <w:r w:rsidR="00164CB3">
          <w:rPr>
            <w:noProof/>
            <w:webHidden/>
          </w:rPr>
          <w:instrText xml:space="preserve"> PAGEREF _Toc159851526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5B331DD4" w14:textId="341581A8" w:rsidR="00164CB3" w:rsidRDefault="00000000" w:rsidP="002B08D3">
      <w:pPr>
        <w:pStyle w:val="TOC4"/>
        <w:rPr>
          <w:rFonts w:eastAsiaTheme="minorEastAsia" w:cstheme="minorBidi"/>
          <w:noProof/>
          <w:kern w:val="2"/>
          <w:sz w:val="24"/>
          <w:szCs w:val="24"/>
          <w14:ligatures w14:val="standardContextual"/>
        </w:rPr>
      </w:pPr>
      <w:hyperlink w:anchor="_Toc159851527"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Identity of an uncharged suspect in connection with the investigated conduct</w:t>
        </w:r>
        <w:r w:rsidR="00164CB3">
          <w:rPr>
            <w:noProof/>
            <w:webHidden/>
          </w:rPr>
          <w:tab/>
        </w:r>
        <w:r w:rsidR="00164CB3">
          <w:rPr>
            <w:noProof/>
            <w:webHidden/>
          </w:rPr>
          <w:fldChar w:fldCharType="begin"/>
        </w:r>
        <w:r w:rsidR="00164CB3">
          <w:rPr>
            <w:noProof/>
            <w:webHidden/>
          </w:rPr>
          <w:instrText xml:space="preserve"> PAGEREF _Toc159851527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530C3F02" w14:textId="0564F72E" w:rsidR="00164CB3" w:rsidRDefault="00000000" w:rsidP="002B08D3">
      <w:pPr>
        <w:pStyle w:val="TOC4"/>
        <w:rPr>
          <w:rFonts w:eastAsiaTheme="minorEastAsia" w:cstheme="minorBidi"/>
          <w:noProof/>
          <w:kern w:val="2"/>
          <w:sz w:val="24"/>
          <w:szCs w:val="24"/>
          <w14:ligatures w14:val="standardContextual"/>
        </w:rPr>
      </w:pPr>
      <w:hyperlink w:anchor="_Toc159851528"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Identity of a confidential source or witness</w:t>
        </w:r>
        <w:r w:rsidR="00164CB3">
          <w:rPr>
            <w:noProof/>
            <w:webHidden/>
          </w:rPr>
          <w:tab/>
        </w:r>
        <w:r w:rsidR="00164CB3">
          <w:rPr>
            <w:noProof/>
            <w:webHidden/>
          </w:rPr>
          <w:fldChar w:fldCharType="begin"/>
        </w:r>
        <w:r w:rsidR="00164CB3">
          <w:rPr>
            <w:noProof/>
            <w:webHidden/>
          </w:rPr>
          <w:instrText xml:space="preserve"> PAGEREF _Toc159851528 \h </w:instrText>
        </w:r>
        <w:r w:rsidR="00164CB3">
          <w:rPr>
            <w:noProof/>
            <w:webHidden/>
          </w:rPr>
        </w:r>
        <w:r w:rsidR="00164CB3">
          <w:rPr>
            <w:noProof/>
            <w:webHidden/>
          </w:rPr>
          <w:fldChar w:fldCharType="separate"/>
        </w:r>
        <w:r w:rsidR="00DE7A7E">
          <w:rPr>
            <w:noProof/>
            <w:webHidden/>
          </w:rPr>
          <w:t>53</w:t>
        </w:r>
        <w:r w:rsidR="00164CB3">
          <w:rPr>
            <w:noProof/>
            <w:webHidden/>
          </w:rPr>
          <w:fldChar w:fldCharType="end"/>
        </w:r>
      </w:hyperlink>
    </w:p>
    <w:p w14:paraId="17DA0646" w14:textId="2AF1B9A0" w:rsidR="00164CB3" w:rsidRDefault="00000000" w:rsidP="002B08D3">
      <w:pPr>
        <w:pStyle w:val="TOC4"/>
        <w:rPr>
          <w:rFonts w:eastAsiaTheme="minorEastAsia" w:cstheme="minorBidi"/>
          <w:noProof/>
          <w:kern w:val="2"/>
          <w:sz w:val="24"/>
          <w:szCs w:val="24"/>
          <w14:ligatures w14:val="standardContextual"/>
        </w:rPr>
      </w:pPr>
      <w:hyperlink w:anchor="_Toc159851529"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Specific confidential investigatory techniques or procedures</w:t>
        </w:r>
        <w:r w:rsidR="00164CB3">
          <w:rPr>
            <w:noProof/>
            <w:webHidden/>
          </w:rPr>
          <w:tab/>
        </w:r>
        <w:r w:rsidR="00164CB3">
          <w:rPr>
            <w:noProof/>
            <w:webHidden/>
          </w:rPr>
          <w:fldChar w:fldCharType="begin"/>
        </w:r>
        <w:r w:rsidR="00164CB3">
          <w:rPr>
            <w:noProof/>
            <w:webHidden/>
          </w:rPr>
          <w:instrText xml:space="preserve"> PAGEREF _Toc159851529 \h </w:instrText>
        </w:r>
        <w:r w:rsidR="00164CB3">
          <w:rPr>
            <w:noProof/>
            <w:webHidden/>
          </w:rPr>
        </w:r>
        <w:r w:rsidR="00164CB3">
          <w:rPr>
            <w:noProof/>
            <w:webHidden/>
          </w:rPr>
          <w:fldChar w:fldCharType="separate"/>
        </w:r>
        <w:r w:rsidR="00DE7A7E">
          <w:rPr>
            <w:noProof/>
            <w:webHidden/>
          </w:rPr>
          <w:t>54</w:t>
        </w:r>
        <w:r w:rsidR="00164CB3">
          <w:rPr>
            <w:noProof/>
            <w:webHidden/>
          </w:rPr>
          <w:fldChar w:fldCharType="end"/>
        </w:r>
      </w:hyperlink>
    </w:p>
    <w:p w14:paraId="222F570A" w14:textId="461AA055" w:rsidR="00164CB3" w:rsidRDefault="00000000" w:rsidP="002B08D3">
      <w:pPr>
        <w:pStyle w:val="TOC4"/>
        <w:rPr>
          <w:rFonts w:eastAsiaTheme="minorEastAsia" w:cstheme="minorBidi"/>
          <w:noProof/>
          <w:kern w:val="2"/>
          <w:sz w:val="24"/>
          <w:szCs w:val="24"/>
          <w14:ligatures w14:val="standardContextual"/>
        </w:rPr>
      </w:pPr>
      <w:hyperlink w:anchor="_Toc159851530"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Investigatory work product</w:t>
        </w:r>
        <w:r w:rsidR="00164CB3">
          <w:rPr>
            <w:noProof/>
            <w:webHidden/>
          </w:rPr>
          <w:tab/>
        </w:r>
        <w:r w:rsidR="00164CB3">
          <w:rPr>
            <w:noProof/>
            <w:webHidden/>
          </w:rPr>
          <w:fldChar w:fldCharType="begin"/>
        </w:r>
        <w:r w:rsidR="00164CB3">
          <w:rPr>
            <w:noProof/>
            <w:webHidden/>
          </w:rPr>
          <w:instrText xml:space="preserve"> PAGEREF _Toc159851530 \h </w:instrText>
        </w:r>
        <w:r w:rsidR="00164CB3">
          <w:rPr>
            <w:noProof/>
            <w:webHidden/>
          </w:rPr>
        </w:r>
        <w:r w:rsidR="00164CB3">
          <w:rPr>
            <w:noProof/>
            <w:webHidden/>
          </w:rPr>
          <w:fldChar w:fldCharType="separate"/>
        </w:r>
        <w:r w:rsidR="00DE7A7E">
          <w:rPr>
            <w:noProof/>
            <w:webHidden/>
          </w:rPr>
          <w:t>54</w:t>
        </w:r>
        <w:r w:rsidR="00164CB3">
          <w:rPr>
            <w:noProof/>
            <w:webHidden/>
          </w:rPr>
          <w:fldChar w:fldCharType="end"/>
        </w:r>
      </w:hyperlink>
    </w:p>
    <w:p w14:paraId="0D2AE989" w14:textId="71CC520A" w:rsidR="00164CB3" w:rsidRDefault="00000000" w:rsidP="002B08D3">
      <w:pPr>
        <w:pStyle w:val="TOC4"/>
        <w:rPr>
          <w:rFonts w:eastAsiaTheme="minorEastAsia" w:cstheme="minorBidi"/>
          <w:noProof/>
          <w:kern w:val="2"/>
          <w:sz w:val="24"/>
          <w:szCs w:val="24"/>
          <w14:ligatures w14:val="standardContextual"/>
        </w:rPr>
      </w:pPr>
      <w:hyperlink w:anchor="_Toc159851531"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Information that would endanger life or physical safety if released</w:t>
        </w:r>
        <w:r w:rsidR="00164CB3">
          <w:rPr>
            <w:noProof/>
            <w:webHidden/>
          </w:rPr>
          <w:tab/>
        </w:r>
        <w:r w:rsidR="00164CB3">
          <w:rPr>
            <w:noProof/>
            <w:webHidden/>
          </w:rPr>
          <w:fldChar w:fldCharType="begin"/>
        </w:r>
        <w:r w:rsidR="00164CB3">
          <w:rPr>
            <w:noProof/>
            <w:webHidden/>
          </w:rPr>
          <w:instrText xml:space="preserve"> PAGEREF _Toc159851531 \h </w:instrText>
        </w:r>
        <w:r w:rsidR="00164CB3">
          <w:rPr>
            <w:noProof/>
            <w:webHidden/>
          </w:rPr>
        </w:r>
        <w:r w:rsidR="00164CB3">
          <w:rPr>
            <w:noProof/>
            <w:webHidden/>
          </w:rPr>
          <w:fldChar w:fldCharType="separate"/>
        </w:r>
        <w:r w:rsidR="00DE7A7E">
          <w:rPr>
            <w:noProof/>
            <w:webHidden/>
          </w:rPr>
          <w:t>55</w:t>
        </w:r>
        <w:r w:rsidR="00164CB3">
          <w:rPr>
            <w:noProof/>
            <w:webHidden/>
          </w:rPr>
          <w:fldChar w:fldCharType="end"/>
        </w:r>
      </w:hyperlink>
    </w:p>
    <w:p w14:paraId="424DEA83" w14:textId="59ECCBE1" w:rsidR="00164CB3" w:rsidRDefault="00000000" w:rsidP="002B08D3">
      <w:pPr>
        <w:pStyle w:val="TOC3"/>
        <w:rPr>
          <w:rFonts w:eastAsiaTheme="minorEastAsia" w:cstheme="minorBidi"/>
          <w:noProof/>
          <w:kern w:val="2"/>
          <w:sz w:val="24"/>
          <w:szCs w:val="24"/>
          <w14:ligatures w14:val="standardContextual"/>
        </w:rPr>
      </w:pPr>
      <w:hyperlink w:anchor="_Toc159851532"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Law enforcement records not covered by CLEIRs</w:t>
        </w:r>
        <w:r w:rsidR="00164CB3">
          <w:rPr>
            <w:noProof/>
            <w:webHidden/>
          </w:rPr>
          <w:tab/>
        </w:r>
        <w:r w:rsidR="00164CB3">
          <w:rPr>
            <w:noProof/>
            <w:webHidden/>
          </w:rPr>
          <w:fldChar w:fldCharType="begin"/>
        </w:r>
        <w:r w:rsidR="00164CB3">
          <w:rPr>
            <w:noProof/>
            <w:webHidden/>
          </w:rPr>
          <w:instrText xml:space="preserve"> PAGEREF _Toc159851532 \h </w:instrText>
        </w:r>
        <w:r w:rsidR="00164CB3">
          <w:rPr>
            <w:noProof/>
            <w:webHidden/>
          </w:rPr>
        </w:r>
        <w:r w:rsidR="00164CB3">
          <w:rPr>
            <w:noProof/>
            <w:webHidden/>
          </w:rPr>
          <w:fldChar w:fldCharType="separate"/>
        </w:r>
        <w:r w:rsidR="00DE7A7E">
          <w:rPr>
            <w:noProof/>
            <w:webHidden/>
          </w:rPr>
          <w:t>55</w:t>
        </w:r>
        <w:r w:rsidR="00164CB3">
          <w:rPr>
            <w:noProof/>
            <w:webHidden/>
          </w:rPr>
          <w:fldChar w:fldCharType="end"/>
        </w:r>
      </w:hyperlink>
    </w:p>
    <w:p w14:paraId="422A70D7" w14:textId="778CBA1A" w:rsidR="00164CB3" w:rsidRDefault="00000000" w:rsidP="002B08D3">
      <w:pPr>
        <w:pStyle w:val="TOC4"/>
        <w:rPr>
          <w:rFonts w:eastAsiaTheme="minorEastAsia" w:cstheme="minorBidi"/>
          <w:noProof/>
          <w:kern w:val="2"/>
          <w:sz w:val="24"/>
          <w:szCs w:val="24"/>
          <w14:ligatures w14:val="standardContextual"/>
        </w:rPr>
      </w:pPr>
      <w:hyperlink w:anchor="_Toc159851533"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Routine offense and incident reports</w:t>
        </w:r>
        <w:r w:rsidR="00164CB3">
          <w:rPr>
            <w:noProof/>
            <w:webHidden/>
          </w:rPr>
          <w:tab/>
        </w:r>
        <w:r w:rsidR="00164CB3">
          <w:rPr>
            <w:noProof/>
            <w:webHidden/>
          </w:rPr>
          <w:fldChar w:fldCharType="begin"/>
        </w:r>
        <w:r w:rsidR="00164CB3">
          <w:rPr>
            <w:noProof/>
            <w:webHidden/>
          </w:rPr>
          <w:instrText xml:space="preserve"> PAGEREF _Toc159851533 \h </w:instrText>
        </w:r>
        <w:r w:rsidR="00164CB3">
          <w:rPr>
            <w:noProof/>
            <w:webHidden/>
          </w:rPr>
        </w:r>
        <w:r w:rsidR="00164CB3">
          <w:rPr>
            <w:noProof/>
            <w:webHidden/>
          </w:rPr>
          <w:fldChar w:fldCharType="separate"/>
        </w:r>
        <w:r w:rsidR="00DE7A7E">
          <w:rPr>
            <w:noProof/>
            <w:webHidden/>
          </w:rPr>
          <w:t>55</w:t>
        </w:r>
        <w:r w:rsidR="00164CB3">
          <w:rPr>
            <w:noProof/>
            <w:webHidden/>
          </w:rPr>
          <w:fldChar w:fldCharType="end"/>
        </w:r>
      </w:hyperlink>
    </w:p>
    <w:p w14:paraId="7137CC5B" w14:textId="6C48D2E7" w:rsidR="00164CB3" w:rsidRDefault="00000000" w:rsidP="002B08D3">
      <w:pPr>
        <w:pStyle w:val="TOC4"/>
        <w:rPr>
          <w:rFonts w:eastAsiaTheme="minorEastAsia" w:cstheme="minorBidi"/>
          <w:noProof/>
          <w:kern w:val="2"/>
          <w:sz w:val="24"/>
          <w:szCs w:val="24"/>
          <w14:ligatures w14:val="standardContextual"/>
        </w:rPr>
      </w:pPr>
      <w:hyperlink w:anchor="_Toc159851534"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911 call records</w:t>
        </w:r>
        <w:r w:rsidR="00164CB3">
          <w:rPr>
            <w:noProof/>
            <w:webHidden/>
          </w:rPr>
          <w:tab/>
        </w:r>
        <w:r w:rsidR="00164CB3">
          <w:rPr>
            <w:noProof/>
            <w:webHidden/>
          </w:rPr>
          <w:fldChar w:fldCharType="begin"/>
        </w:r>
        <w:r w:rsidR="00164CB3">
          <w:rPr>
            <w:noProof/>
            <w:webHidden/>
          </w:rPr>
          <w:instrText xml:space="preserve"> PAGEREF _Toc159851534 \h </w:instrText>
        </w:r>
        <w:r w:rsidR="00164CB3">
          <w:rPr>
            <w:noProof/>
            <w:webHidden/>
          </w:rPr>
        </w:r>
        <w:r w:rsidR="00164CB3">
          <w:rPr>
            <w:noProof/>
            <w:webHidden/>
          </w:rPr>
          <w:fldChar w:fldCharType="separate"/>
        </w:r>
        <w:r w:rsidR="00DE7A7E">
          <w:rPr>
            <w:noProof/>
            <w:webHidden/>
          </w:rPr>
          <w:t>56</w:t>
        </w:r>
        <w:r w:rsidR="00164CB3">
          <w:rPr>
            <w:noProof/>
            <w:webHidden/>
          </w:rPr>
          <w:fldChar w:fldCharType="end"/>
        </w:r>
      </w:hyperlink>
    </w:p>
    <w:p w14:paraId="04A7C09D" w14:textId="5625C3EA"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35"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Other Discretionary Exemptions Encountered in Law Enforcement</w:t>
        </w:r>
        <w:r w:rsidR="00164CB3">
          <w:rPr>
            <w:noProof/>
            <w:webHidden/>
          </w:rPr>
          <w:tab/>
        </w:r>
        <w:r w:rsidR="00164CB3">
          <w:rPr>
            <w:noProof/>
            <w:webHidden/>
          </w:rPr>
          <w:fldChar w:fldCharType="begin"/>
        </w:r>
        <w:r w:rsidR="00164CB3">
          <w:rPr>
            <w:noProof/>
            <w:webHidden/>
          </w:rPr>
          <w:instrText xml:space="preserve"> PAGEREF _Toc159851535 \h </w:instrText>
        </w:r>
        <w:r w:rsidR="00164CB3">
          <w:rPr>
            <w:noProof/>
            <w:webHidden/>
          </w:rPr>
        </w:r>
        <w:r w:rsidR="00164CB3">
          <w:rPr>
            <w:noProof/>
            <w:webHidden/>
          </w:rPr>
          <w:fldChar w:fldCharType="separate"/>
        </w:r>
        <w:r w:rsidR="00DE7A7E">
          <w:rPr>
            <w:noProof/>
            <w:webHidden/>
          </w:rPr>
          <w:t>56</w:t>
        </w:r>
        <w:r w:rsidR="00164CB3">
          <w:rPr>
            <w:noProof/>
            <w:webHidden/>
          </w:rPr>
          <w:fldChar w:fldCharType="end"/>
        </w:r>
      </w:hyperlink>
    </w:p>
    <w:p w14:paraId="3294FCC3" w14:textId="485B70D6" w:rsidR="00164CB3" w:rsidRDefault="00000000" w:rsidP="002B08D3">
      <w:pPr>
        <w:pStyle w:val="TOC3"/>
        <w:rPr>
          <w:rFonts w:eastAsiaTheme="minorEastAsia" w:cstheme="minorBidi"/>
          <w:noProof/>
          <w:kern w:val="2"/>
          <w:sz w:val="24"/>
          <w:szCs w:val="24"/>
          <w14:ligatures w14:val="standardContextual"/>
        </w:rPr>
      </w:pPr>
      <w:hyperlink w:anchor="_Toc159851536"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Body-worn and dashboard camera recordings</w:t>
        </w:r>
        <w:r w:rsidR="00164CB3">
          <w:rPr>
            <w:noProof/>
            <w:webHidden/>
          </w:rPr>
          <w:tab/>
        </w:r>
        <w:r w:rsidR="00164CB3">
          <w:rPr>
            <w:noProof/>
            <w:webHidden/>
          </w:rPr>
          <w:fldChar w:fldCharType="begin"/>
        </w:r>
        <w:r w:rsidR="00164CB3">
          <w:rPr>
            <w:noProof/>
            <w:webHidden/>
          </w:rPr>
          <w:instrText xml:space="preserve"> PAGEREF _Toc159851536 \h </w:instrText>
        </w:r>
        <w:r w:rsidR="00164CB3">
          <w:rPr>
            <w:noProof/>
            <w:webHidden/>
          </w:rPr>
        </w:r>
        <w:r w:rsidR="00164CB3">
          <w:rPr>
            <w:noProof/>
            <w:webHidden/>
          </w:rPr>
          <w:fldChar w:fldCharType="separate"/>
        </w:r>
        <w:r w:rsidR="00DE7A7E">
          <w:rPr>
            <w:noProof/>
            <w:webHidden/>
          </w:rPr>
          <w:t>56</w:t>
        </w:r>
        <w:r w:rsidR="00164CB3">
          <w:rPr>
            <w:noProof/>
            <w:webHidden/>
          </w:rPr>
          <w:fldChar w:fldCharType="end"/>
        </w:r>
      </w:hyperlink>
    </w:p>
    <w:p w14:paraId="18B18162" w14:textId="41C2E97E" w:rsidR="00164CB3" w:rsidRDefault="00000000" w:rsidP="002B08D3">
      <w:pPr>
        <w:pStyle w:val="TOC3"/>
        <w:rPr>
          <w:rFonts w:eastAsiaTheme="minorEastAsia" w:cstheme="minorBidi"/>
          <w:noProof/>
          <w:kern w:val="2"/>
          <w:sz w:val="24"/>
          <w:szCs w:val="24"/>
          <w14:ligatures w14:val="standardContextual"/>
        </w:rPr>
      </w:pPr>
      <w:hyperlink w:anchor="_Toc159851537" w:history="1">
        <w:r w:rsidR="00164CB3" w:rsidRPr="00311922">
          <w:rPr>
            <w:rStyle w:val="Hyperlink"/>
            <w:iCs/>
            <w:noProof/>
          </w:rPr>
          <w:t>2.</w:t>
        </w:r>
        <w:r w:rsidR="00164CB3">
          <w:rPr>
            <w:rFonts w:eastAsiaTheme="minorEastAsia" w:cstheme="minorBidi"/>
            <w:noProof/>
            <w:kern w:val="2"/>
            <w:sz w:val="24"/>
            <w:szCs w:val="24"/>
            <w14:ligatures w14:val="standardContextual"/>
          </w:rPr>
          <w:tab/>
        </w:r>
        <w:r w:rsidR="00164CB3" w:rsidRPr="00311922">
          <w:rPr>
            <w:rStyle w:val="Hyperlink"/>
            <w:noProof/>
          </w:rPr>
          <w:t>EMS run sheets</w:t>
        </w:r>
        <w:r w:rsidR="00164CB3">
          <w:rPr>
            <w:noProof/>
            <w:webHidden/>
          </w:rPr>
          <w:tab/>
        </w:r>
        <w:r w:rsidR="00164CB3">
          <w:rPr>
            <w:noProof/>
            <w:webHidden/>
          </w:rPr>
          <w:fldChar w:fldCharType="begin"/>
        </w:r>
        <w:r w:rsidR="00164CB3">
          <w:rPr>
            <w:noProof/>
            <w:webHidden/>
          </w:rPr>
          <w:instrText xml:space="preserve"> PAGEREF _Toc159851537 \h </w:instrText>
        </w:r>
        <w:r w:rsidR="00164CB3">
          <w:rPr>
            <w:noProof/>
            <w:webHidden/>
          </w:rPr>
        </w:r>
        <w:r w:rsidR="00164CB3">
          <w:rPr>
            <w:noProof/>
            <w:webHidden/>
          </w:rPr>
          <w:fldChar w:fldCharType="separate"/>
        </w:r>
        <w:r w:rsidR="00DE7A7E">
          <w:rPr>
            <w:noProof/>
            <w:webHidden/>
          </w:rPr>
          <w:t>58</w:t>
        </w:r>
        <w:r w:rsidR="00164CB3">
          <w:rPr>
            <w:noProof/>
            <w:webHidden/>
          </w:rPr>
          <w:fldChar w:fldCharType="end"/>
        </w:r>
      </w:hyperlink>
    </w:p>
    <w:p w14:paraId="6CBD5D72" w14:textId="27472305" w:rsidR="00164CB3" w:rsidRDefault="00000000" w:rsidP="002B08D3">
      <w:pPr>
        <w:pStyle w:val="TOC3"/>
        <w:rPr>
          <w:rFonts w:eastAsiaTheme="minorEastAsia" w:cstheme="minorBidi"/>
          <w:noProof/>
          <w:kern w:val="2"/>
          <w:sz w:val="24"/>
          <w:szCs w:val="24"/>
          <w14:ligatures w14:val="standardContextual"/>
        </w:rPr>
      </w:pPr>
      <w:hyperlink w:anchor="_Toc159851538"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Juvenile law enforcement records</w:t>
        </w:r>
        <w:r w:rsidR="00164CB3">
          <w:rPr>
            <w:noProof/>
            <w:webHidden/>
          </w:rPr>
          <w:tab/>
        </w:r>
        <w:r w:rsidR="00164CB3">
          <w:rPr>
            <w:noProof/>
            <w:webHidden/>
          </w:rPr>
          <w:fldChar w:fldCharType="begin"/>
        </w:r>
        <w:r w:rsidR="00164CB3">
          <w:rPr>
            <w:noProof/>
            <w:webHidden/>
          </w:rPr>
          <w:instrText xml:space="preserve"> PAGEREF _Toc159851538 \h </w:instrText>
        </w:r>
        <w:r w:rsidR="00164CB3">
          <w:rPr>
            <w:noProof/>
            <w:webHidden/>
          </w:rPr>
        </w:r>
        <w:r w:rsidR="00164CB3">
          <w:rPr>
            <w:noProof/>
            <w:webHidden/>
          </w:rPr>
          <w:fldChar w:fldCharType="separate"/>
        </w:r>
        <w:r w:rsidR="00DE7A7E">
          <w:rPr>
            <w:noProof/>
            <w:webHidden/>
          </w:rPr>
          <w:t>58</w:t>
        </w:r>
        <w:r w:rsidR="00164CB3">
          <w:rPr>
            <w:noProof/>
            <w:webHidden/>
          </w:rPr>
          <w:fldChar w:fldCharType="end"/>
        </w:r>
      </w:hyperlink>
    </w:p>
    <w:p w14:paraId="37B6DE3E" w14:textId="62A0C4D0" w:rsidR="00164CB3" w:rsidRDefault="00000000" w:rsidP="002B08D3">
      <w:pPr>
        <w:pStyle w:val="TOC3"/>
        <w:rPr>
          <w:rFonts w:eastAsiaTheme="minorEastAsia" w:cstheme="minorBidi"/>
          <w:noProof/>
          <w:kern w:val="2"/>
          <w:sz w:val="24"/>
          <w:szCs w:val="24"/>
          <w14:ligatures w14:val="standardContextual"/>
        </w:rPr>
      </w:pPr>
      <w:hyperlink w:anchor="_Toc159851539"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Other discretionary exemptions</w:t>
        </w:r>
        <w:r w:rsidR="00164CB3">
          <w:rPr>
            <w:noProof/>
            <w:webHidden/>
          </w:rPr>
          <w:tab/>
        </w:r>
        <w:r w:rsidR="00164CB3">
          <w:rPr>
            <w:noProof/>
            <w:webHidden/>
          </w:rPr>
          <w:fldChar w:fldCharType="begin"/>
        </w:r>
        <w:r w:rsidR="00164CB3">
          <w:rPr>
            <w:noProof/>
            <w:webHidden/>
          </w:rPr>
          <w:instrText xml:space="preserve"> PAGEREF _Toc159851539 \h </w:instrText>
        </w:r>
        <w:r w:rsidR="00164CB3">
          <w:rPr>
            <w:noProof/>
            <w:webHidden/>
          </w:rPr>
        </w:r>
        <w:r w:rsidR="00164CB3">
          <w:rPr>
            <w:noProof/>
            <w:webHidden/>
          </w:rPr>
          <w:fldChar w:fldCharType="separate"/>
        </w:r>
        <w:r w:rsidR="00DE7A7E">
          <w:rPr>
            <w:noProof/>
            <w:webHidden/>
          </w:rPr>
          <w:t>58</w:t>
        </w:r>
        <w:r w:rsidR="00164CB3">
          <w:rPr>
            <w:noProof/>
            <w:webHidden/>
          </w:rPr>
          <w:fldChar w:fldCharType="end"/>
        </w:r>
      </w:hyperlink>
    </w:p>
    <w:p w14:paraId="7D78C5DD" w14:textId="41D8E965"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40"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Examples of Mandatory Exemptions Encountered in Law Enforcement</w:t>
        </w:r>
        <w:r w:rsidR="00164CB3">
          <w:rPr>
            <w:noProof/>
            <w:webHidden/>
          </w:rPr>
          <w:tab/>
        </w:r>
        <w:r w:rsidR="00164CB3">
          <w:rPr>
            <w:noProof/>
            <w:webHidden/>
          </w:rPr>
          <w:fldChar w:fldCharType="begin"/>
        </w:r>
        <w:r w:rsidR="00164CB3">
          <w:rPr>
            <w:noProof/>
            <w:webHidden/>
          </w:rPr>
          <w:instrText xml:space="preserve"> PAGEREF _Toc159851540 \h </w:instrText>
        </w:r>
        <w:r w:rsidR="00164CB3">
          <w:rPr>
            <w:noProof/>
            <w:webHidden/>
          </w:rPr>
        </w:r>
        <w:r w:rsidR="00164CB3">
          <w:rPr>
            <w:noProof/>
            <w:webHidden/>
          </w:rPr>
          <w:fldChar w:fldCharType="separate"/>
        </w:r>
        <w:r w:rsidR="00DE7A7E">
          <w:rPr>
            <w:noProof/>
            <w:webHidden/>
          </w:rPr>
          <w:t>60</w:t>
        </w:r>
        <w:r w:rsidR="00164CB3">
          <w:rPr>
            <w:noProof/>
            <w:webHidden/>
          </w:rPr>
          <w:fldChar w:fldCharType="end"/>
        </w:r>
      </w:hyperlink>
    </w:p>
    <w:p w14:paraId="1D4BAB38" w14:textId="2B67C6F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41"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Exemptions Applicable to Law Enforcement Officers</w:t>
        </w:r>
        <w:r w:rsidR="00164CB3">
          <w:rPr>
            <w:noProof/>
            <w:webHidden/>
          </w:rPr>
          <w:tab/>
        </w:r>
        <w:r w:rsidR="00164CB3">
          <w:rPr>
            <w:noProof/>
            <w:webHidden/>
          </w:rPr>
          <w:fldChar w:fldCharType="begin"/>
        </w:r>
        <w:r w:rsidR="00164CB3">
          <w:rPr>
            <w:noProof/>
            <w:webHidden/>
          </w:rPr>
          <w:instrText xml:space="preserve"> PAGEREF _Toc159851541 \h </w:instrText>
        </w:r>
        <w:r w:rsidR="00164CB3">
          <w:rPr>
            <w:noProof/>
            <w:webHidden/>
          </w:rPr>
        </w:r>
        <w:r w:rsidR="00164CB3">
          <w:rPr>
            <w:noProof/>
            <w:webHidden/>
          </w:rPr>
          <w:fldChar w:fldCharType="separate"/>
        </w:r>
        <w:r w:rsidR="00DE7A7E">
          <w:rPr>
            <w:noProof/>
            <w:webHidden/>
          </w:rPr>
          <w:t>61</w:t>
        </w:r>
        <w:r w:rsidR="00164CB3">
          <w:rPr>
            <w:noProof/>
            <w:webHidden/>
          </w:rPr>
          <w:fldChar w:fldCharType="end"/>
        </w:r>
      </w:hyperlink>
    </w:p>
    <w:p w14:paraId="7AF4479A" w14:textId="4BF34807" w:rsidR="00164CB3" w:rsidRDefault="00000000" w:rsidP="002B08D3">
      <w:pPr>
        <w:pStyle w:val="TOC3"/>
        <w:rPr>
          <w:rFonts w:eastAsiaTheme="minorEastAsia" w:cstheme="minorBidi"/>
          <w:noProof/>
          <w:kern w:val="2"/>
          <w:sz w:val="24"/>
          <w:szCs w:val="24"/>
          <w14:ligatures w14:val="standardContextual"/>
        </w:rPr>
      </w:pPr>
      <w:hyperlink w:anchor="_Toc15985154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Background investigations, evaluations, and disciplinary records</w:t>
        </w:r>
        <w:r w:rsidR="00164CB3">
          <w:rPr>
            <w:noProof/>
            <w:webHidden/>
          </w:rPr>
          <w:tab/>
        </w:r>
        <w:r w:rsidR="00164CB3">
          <w:rPr>
            <w:noProof/>
            <w:webHidden/>
          </w:rPr>
          <w:fldChar w:fldCharType="begin"/>
        </w:r>
        <w:r w:rsidR="00164CB3">
          <w:rPr>
            <w:noProof/>
            <w:webHidden/>
          </w:rPr>
          <w:instrText xml:space="preserve"> PAGEREF _Toc159851542 \h </w:instrText>
        </w:r>
        <w:r w:rsidR="00164CB3">
          <w:rPr>
            <w:noProof/>
            <w:webHidden/>
          </w:rPr>
        </w:r>
        <w:r w:rsidR="00164CB3">
          <w:rPr>
            <w:noProof/>
            <w:webHidden/>
          </w:rPr>
          <w:fldChar w:fldCharType="separate"/>
        </w:r>
        <w:r w:rsidR="00DE7A7E">
          <w:rPr>
            <w:noProof/>
            <w:webHidden/>
          </w:rPr>
          <w:t>61</w:t>
        </w:r>
        <w:r w:rsidR="00164CB3">
          <w:rPr>
            <w:noProof/>
            <w:webHidden/>
          </w:rPr>
          <w:fldChar w:fldCharType="end"/>
        </w:r>
      </w:hyperlink>
    </w:p>
    <w:p w14:paraId="086BCAFF" w14:textId="2390ABEC" w:rsidR="00164CB3" w:rsidRDefault="00000000" w:rsidP="002B08D3">
      <w:pPr>
        <w:pStyle w:val="TOC3"/>
        <w:rPr>
          <w:rFonts w:eastAsiaTheme="minorEastAsia" w:cstheme="minorBidi"/>
          <w:noProof/>
          <w:kern w:val="2"/>
          <w:sz w:val="24"/>
          <w:szCs w:val="24"/>
          <w14:ligatures w14:val="standardContextual"/>
        </w:rPr>
      </w:pPr>
      <w:hyperlink w:anchor="_Toc15985154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Medical records</w:t>
        </w:r>
        <w:r w:rsidR="00164CB3">
          <w:rPr>
            <w:noProof/>
            <w:webHidden/>
          </w:rPr>
          <w:tab/>
        </w:r>
        <w:r w:rsidR="00164CB3">
          <w:rPr>
            <w:noProof/>
            <w:webHidden/>
          </w:rPr>
          <w:fldChar w:fldCharType="begin"/>
        </w:r>
        <w:r w:rsidR="00164CB3">
          <w:rPr>
            <w:noProof/>
            <w:webHidden/>
          </w:rPr>
          <w:instrText xml:space="preserve"> PAGEREF _Toc159851543 \h </w:instrText>
        </w:r>
        <w:r w:rsidR="00164CB3">
          <w:rPr>
            <w:noProof/>
            <w:webHidden/>
          </w:rPr>
        </w:r>
        <w:r w:rsidR="00164CB3">
          <w:rPr>
            <w:noProof/>
            <w:webHidden/>
          </w:rPr>
          <w:fldChar w:fldCharType="separate"/>
        </w:r>
        <w:r w:rsidR="00DE7A7E">
          <w:rPr>
            <w:noProof/>
            <w:webHidden/>
          </w:rPr>
          <w:t>61</w:t>
        </w:r>
        <w:r w:rsidR="00164CB3">
          <w:rPr>
            <w:noProof/>
            <w:webHidden/>
          </w:rPr>
          <w:fldChar w:fldCharType="end"/>
        </w:r>
      </w:hyperlink>
    </w:p>
    <w:p w14:paraId="2A57496B" w14:textId="05E68DFA" w:rsidR="00164CB3" w:rsidRDefault="00000000" w:rsidP="002B08D3">
      <w:pPr>
        <w:pStyle w:val="TOC3"/>
        <w:rPr>
          <w:rFonts w:eastAsiaTheme="minorEastAsia" w:cstheme="minorBidi"/>
          <w:noProof/>
          <w:kern w:val="2"/>
          <w:sz w:val="24"/>
          <w:szCs w:val="24"/>
          <w14:ligatures w14:val="standardContextual"/>
        </w:rPr>
      </w:pPr>
      <w:hyperlink w:anchor="_Toc15985154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Physical fitness, psychiatric, and polygraph examinations</w:t>
        </w:r>
        <w:r w:rsidR="00164CB3">
          <w:rPr>
            <w:noProof/>
            <w:webHidden/>
          </w:rPr>
          <w:tab/>
        </w:r>
        <w:r w:rsidR="00164CB3">
          <w:rPr>
            <w:noProof/>
            <w:webHidden/>
          </w:rPr>
          <w:fldChar w:fldCharType="begin"/>
        </w:r>
        <w:r w:rsidR="00164CB3">
          <w:rPr>
            <w:noProof/>
            <w:webHidden/>
          </w:rPr>
          <w:instrText xml:space="preserve"> PAGEREF _Toc159851544 \h </w:instrText>
        </w:r>
        <w:r w:rsidR="00164CB3">
          <w:rPr>
            <w:noProof/>
            <w:webHidden/>
          </w:rPr>
        </w:r>
        <w:r w:rsidR="00164CB3">
          <w:rPr>
            <w:noProof/>
            <w:webHidden/>
          </w:rPr>
          <w:fldChar w:fldCharType="separate"/>
        </w:r>
        <w:r w:rsidR="00DE7A7E">
          <w:rPr>
            <w:noProof/>
            <w:webHidden/>
          </w:rPr>
          <w:t>62</w:t>
        </w:r>
        <w:r w:rsidR="00164CB3">
          <w:rPr>
            <w:noProof/>
            <w:webHidden/>
          </w:rPr>
          <w:fldChar w:fldCharType="end"/>
        </w:r>
      </w:hyperlink>
    </w:p>
    <w:p w14:paraId="71A84ADC" w14:textId="7124782D" w:rsidR="00164CB3" w:rsidRDefault="00000000" w:rsidP="002B08D3">
      <w:pPr>
        <w:pStyle w:val="TOC3"/>
        <w:rPr>
          <w:rFonts w:eastAsiaTheme="minorEastAsia" w:cstheme="minorBidi"/>
          <w:noProof/>
          <w:kern w:val="2"/>
          <w:sz w:val="24"/>
          <w:szCs w:val="24"/>
          <w14:ligatures w14:val="standardContextual"/>
        </w:rPr>
      </w:pPr>
      <w:hyperlink w:anchor="_Toc15985154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Bargaining agreements</w:t>
        </w:r>
        <w:r w:rsidR="00164CB3">
          <w:rPr>
            <w:noProof/>
            <w:webHidden/>
          </w:rPr>
          <w:tab/>
        </w:r>
        <w:r w:rsidR="00164CB3">
          <w:rPr>
            <w:noProof/>
            <w:webHidden/>
          </w:rPr>
          <w:fldChar w:fldCharType="begin"/>
        </w:r>
        <w:r w:rsidR="00164CB3">
          <w:rPr>
            <w:noProof/>
            <w:webHidden/>
          </w:rPr>
          <w:instrText xml:space="preserve"> PAGEREF _Toc159851545 \h </w:instrText>
        </w:r>
        <w:r w:rsidR="00164CB3">
          <w:rPr>
            <w:noProof/>
            <w:webHidden/>
          </w:rPr>
        </w:r>
        <w:r w:rsidR="00164CB3">
          <w:rPr>
            <w:noProof/>
            <w:webHidden/>
          </w:rPr>
          <w:fldChar w:fldCharType="separate"/>
        </w:r>
        <w:r w:rsidR="00DE7A7E">
          <w:rPr>
            <w:noProof/>
            <w:webHidden/>
          </w:rPr>
          <w:t>62</w:t>
        </w:r>
        <w:r w:rsidR="00164CB3">
          <w:rPr>
            <w:noProof/>
            <w:webHidden/>
          </w:rPr>
          <w:fldChar w:fldCharType="end"/>
        </w:r>
      </w:hyperlink>
    </w:p>
    <w:p w14:paraId="604CD494" w14:textId="3D7BDF29" w:rsidR="00164CB3" w:rsidRDefault="00000000" w:rsidP="002B08D3">
      <w:pPr>
        <w:pStyle w:val="TOC3"/>
        <w:rPr>
          <w:rFonts w:eastAsiaTheme="minorEastAsia" w:cstheme="minorBidi"/>
          <w:noProof/>
          <w:kern w:val="2"/>
          <w:sz w:val="24"/>
          <w:szCs w:val="24"/>
          <w14:ligatures w14:val="standardContextual"/>
        </w:rPr>
      </w:pPr>
      <w:hyperlink w:anchor="_Toc159851546"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Residential and familial information of covered professions</w:t>
        </w:r>
        <w:r w:rsidR="00164CB3">
          <w:rPr>
            <w:noProof/>
            <w:webHidden/>
          </w:rPr>
          <w:tab/>
        </w:r>
        <w:r w:rsidR="00164CB3">
          <w:rPr>
            <w:noProof/>
            <w:webHidden/>
          </w:rPr>
          <w:fldChar w:fldCharType="begin"/>
        </w:r>
        <w:r w:rsidR="00164CB3">
          <w:rPr>
            <w:noProof/>
            <w:webHidden/>
          </w:rPr>
          <w:instrText xml:space="preserve"> PAGEREF _Toc159851546 \h </w:instrText>
        </w:r>
        <w:r w:rsidR="00164CB3">
          <w:rPr>
            <w:noProof/>
            <w:webHidden/>
          </w:rPr>
        </w:r>
        <w:r w:rsidR="00164CB3">
          <w:rPr>
            <w:noProof/>
            <w:webHidden/>
          </w:rPr>
          <w:fldChar w:fldCharType="separate"/>
        </w:r>
        <w:r w:rsidR="00DE7A7E">
          <w:rPr>
            <w:noProof/>
            <w:webHidden/>
          </w:rPr>
          <w:t>62</w:t>
        </w:r>
        <w:r w:rsidR="00164CB3">
          <w:rPr>
            <w:noProof/>
            <w:webHidden/>
          </w:rPr>
          <w:fldChar w:fldCharType="end"/>
        </w:r>
      </w:hyperlink>
    </w:p>
    <w:p w14:paraId="7E8418F0" w14:textId="3D007AE4" w:rsidR="00164CB3" w:rsidRDefault="00000000" w:rsidP="002B08D3">
      <w:pPr>
        <w:pStyle w:val="TOC3"/>
        <w:rPr>
          <w:rFonts w:eastAsiaTheme="minorEastAsia" w:cstheme="minorBidi"/>
          <w:noProof/>
          <w:kern w:val="2"/>
          <w:sz w:val="24"/>
          <w:szCs w:val="24"/>
          <w14:ligatures w14:val="standardContextual"/>
        </w:rPr>
      </w:pPr>
      <w:hyperlink w:anchor="_Toc159851547" w:history="1">
        <w:r w:rsidR="00164CB3" w:rsidRPr="00311922">
          <w:rPr>
            <w:rStyle w:val="Hyperlink"/>
            <w:iCs/>
            <w:noProof/>
          </w:rPr>
          <w:t>6.</w:t>
        </w:r>
        <w:r w:rsidR="00164CB3">
          <w:rPr>
            <w:rFonts w:eastAsiaTheme="minorEastAsia" w:cstheme="minorBidi"/>
            <w:noProof/>
            <w:kern w:val="2"/>
            <w:sz w:val="24"/>
            <w:szCs w:val="24"/>
            <w14:ligatures w14:val="standardContextual"/>
          </w:rPr>
          <w:tab/>
        </w:r>
        <w:r w:rsidR="00164CB3" w:rsidRPr="00311922">
          <w:rPr>
            <w:rStyle w:val="Hyperlink"/>
            <w:noProof/>
          </w:rPr>
          <w:t>Constitutional right to privacy</w:t>
        </w:r>
        <w:r w:rsidR="00164CB3">
          <w:rPr>
            <w:noProof/>
            <w:webHidden/>
          </w:rPr>
          <w:tab/>
        </w:r>
        <w:r w:rsidR="00164CB3">
          <w:rPr>
            <w:noProof/>
            <w:webHidden/>
          </w:rPr>
          <w:fldChar w:fldCharType="begin"/>
        </w:r>
        <w:r w:rsidR="00164CB3">
          <w:rPr>
            <w:noProof/>
            <w:webHidden/>
          </w:rPr>
          <w:instrText xml:space="preserve"> PAGEREF _Toc159851547 \h </w:instrText>
        </w:r>
        <w:r w:rsidR="00164CB3">
          <w:rPr>
            <w:noProof/>
            <w:webHidden/>
          </w:rPr>
        </w:r>
        <w:r w:rsidR="00164CB3">
          <w:rPr>
            <w:noProof/>
            <w:webHidden/>
          </w:rPr>
          <w:fldChar w:fldCharType="separate"/>
        </w:r>
        <w:r w:rsidR="00DE7A7E">
          <w:rPr>
            <w:noProof/>
            <w:webHidden/>
          </w:rPr>
          <w:t>64</w:t>
        </w:r>
        <w:r w:rsidR="00164CB3">
          <w:rPr>
            <w:noProof/>
            <w:webHidden/>
          </w:rPr>
          <w:fldChar w:fldCharType="end"/>
        </w:r>
      </w:hyperlink>
    </w:p>
    <w:p w14:paraId="2CBDB3F6" w14:textId="24D62C9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48" w:history="1">
        <w:r w:rsidR="00164CB3" w:rsidRPr="00311922">
          <w:rPr>
            <w:rStyle w:val="Hyperlink"/>
            <w:iCs/>
            <w:noProof/>
          </w:rPr>
          <w:t>E</w:t>
        </w:r>
        <w:r w:rsidR="00164CB3" w:rsidRPr="00311922">
          <w:rPr>
            <w:rStyle w:val="Hyperlink"/>
            <w:noProof/>
          </w:rPr>
          <w:t>.</w:t>
        </w:r>
        <w:r w:rsidR="00164CB3">
          <w:rPr>
            <w:rFonts w:eastAsiaTheme="minorEastAsia" w:cstheme="minorBidi"/>
            <w:b w:val="0"/>
            <w:bCs w:val="0"/>
            <w:noProof/>
            <w:kern w:val="2"/>
            <w:sz w:val="24"/>
            <w:szCs w:val="24"/>
            <w14:ligatures w14:val="standardContextual"/>
          </w:rPr>
          <w:tab/>
        </w:r>
        <w:r w:rsidR="00164CB3" w:rsidRPr="00311922">
          <w:rPr>
            <w:rStyle w:val="Hyperlink"/>
            <w:noProof/>
          </w:rPr>
          <w:t>Exemptions Applicable to Victims and Witnesses</w:t>
        </w:r>
        <w:r w:rsidR="00164CB3">
          <w:rPr>
            <w:noProof/>
            <w:webHidden/>
          </w:rPr>
          <w:tab/>
        </w:r>
        <w:r w:rsidR="00164CB3">
          <w:rPr>
            <w:noProof/>
            <w:webHidden/>
          </w:rPr>
          <w:fldChar w:fldCharType="begin"/>
        </w:r>
        <w:r w:rsidR="00164CB3">
          <w:rPr>
            <w:noProof/>
            <w:webHidden/>
          </w:rPr>
          <w:instrText xml:space="preserve"> PAGEREF _Toc159851548 \h </w:instrText>
        </w:r>
        <w:r w:rsidR="00164CB3">
          <w:rPr>
            <w:noProof/>
            <w:webHidden/>
          </w:rPr>
        </w:r>
        <w:r w:rsidR="00164CB3">
          <w:rPr>
            <w:noProof/>
            <w:webHidden/>
          </w:rPr>
          <w:fldChar w:fldCharType="separate"/>
        </w:r>
        <w:r w:rsidR="00DE7A7E">
          <w:rPr>
            <w:noProof/>
            <w:webHidden/>
          </w:rPr>
          <w:t>64</w:t>
        </w:r>
        <w:r w:rsidR="00164CB3">
          <w:rPr>
            <w:noProof/>
            <w:webHidden/>
          </w:rPr>
          <w:fldChar w:fldCharType="end"/>
        </w:r>
      </w:hyperlink>
    </w:p>
    <w:p w14:paraId="04ADB91D" w14:textId="24C9A2BD" w:rsidR="00164CB3" w:rsidRDefault="00000000" w:rsidP="002B08D3">
      <w:pPr>
        <w:pStyle w:val="TOC3"/>
        <w:rPr>
          <w:rFonts w:eastAsiaTheme="minorEastAsia" w:cstheme="minorBidi"/>
          <w:noProof/>
          <w:kern w:val="2"/>
          <w:sz w:val="24"/>
          <w:szCs w:val="24"/>
          <w14:ligatures w14:val="standardContextual"/>
        </w:rPr>
      </w:pPr>
      <w:hyperlink w:anchor="_Toc159851549"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Examples of discretionary exemptions applicable to victims and witnesses</w:t>
        </w:r>
        <w:r w:rsidR="00164CB3">
          <w:rPr>
            <w:noProof/>
            <w:webHidden/>
          </w:rPr>
          <w:tab/>
        </w:r>
        <w:r w:rsidR="00164CB3">
          <w:rPr>
            <w:noProof/>
            <w:webHidden/>
          </w:rPr>
          <w:fldChar w:fldCharType="begin"/>
        </w:r>
        <w:r w:rsidR="00164CB3">
          <w:rPr>
            <w:noProof/>
            <w:webHidden/>
          </w:rPr>
          <w:instrText xml:space="preserve"> PAGEREF _Toc159851549 \h </w:instrText>
        </w:r>
        <w:r w:rsidR="00164CB3">
          <w:rPr>
            <w:noProof/>
            <w:webHidden/>
          </w:rPr>
        </w:r>
        <w:r w:rsidR="00164CB3">
          <w:rPr>
            <w:noProof/>
            <w:webHidden/>
          </w:rPr>
          <w:fldChar w:fldCharType="separate"/>
        </w:r>
        <w:r w:rsidR="00DE7A7E">
          <w:rPr>
            <w:noProof/>
            <w:webHidden/>
          </w:rPr>
          <w:t>64</w:t>
        </w:r>
        <w:r w:rsidR="00164CB3">
          <w:rPr>
            <w:noProof/>
            <w:webHidden/>
          </w:rPr>
          <w:fldChar w:fldCharType="end"/>
        </w:r>
      </w:hyperlink>
    </w:p>
    <w:p w14:paraId="17A351B9" w14:textId="196864EF" w:rsidR="00164CB3" w:rsidRDefault="00000000" w:rsidP="002B08D3">
      <w:pPr>
        <w:pStyle w:val="TOC3"/>
        <w:rPr>
          <w:rFonts w:eastAsiaTheme="minorEastAsia" w:cstheme="minorBidi"/>
          <w:noProof/>
          <w:kern w:val="2"/>
          <w:sz w:val="24"/>
          <w:szCs w:val="24"/>
          <w14:ligatures w14:val="standardContextual"/>
        </w:rPr>
      </w:pPr>
      <w:hyperlink w:anchor="_Toc159851550"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Marsy’s Law</w:t>
        </w:r>
        <w:r w:rsidR="00164CB3">
          <w:rPr>
            <w:noProof/>
            <w:webHidden/>
          </w:rPr>
          <w:tab/>
        </w:r>
        <w:r w:rsidR="00164CB3">
          <w:rPr>
            <w:noProof/>
            <w:webHidden/>
          </w:rPr>
          <w:fldChar w:fldCharType="begin"/>
        </w:r>
        <w:r w:rsidR="00164CB3">
          <w:rPr>
            <w:noProof/>
            <w:webHidden/>
          </w:rPr>
          <w:instrText xml:space="preserve"> PAGEREF _Toc159851550 \h </w:instrText>
        </w:r>
        <w:r w:rsidR="00164CB3">
          <w:rPr>
            <w:noProof/>
            <w:webHidden/>
          </w:rPr>
        </w:r>
        <w:r w:rsidR="00164CB3">
          <w:rPr>
            <w:noProof/>
            <w:webHidden/>
          </w:rPr>
          <w:fldChar w:fldCharType="separate"/>
        </w:r>
        <w:r w:rsidR="00DE7A7E">
          <w:rPr>
            <w:noProof/>
            <w:webHidden/>
          </w:rPr>
          <w:t>65</w:t>
        </w:r>
        <w:r w:rsidR="00164CB3">
          <w:rPr>
            <w:noProof/>
            <w:webHidden/>
          </w:rPr>
          <w:fldChar w:fldCharType="end"/>
        </w:r>
      </w:hyperlink>
    </w:p>
    <w:p w14:paraId="6F82E4EB" w14:textId="340D1DE6" w:rsidR="00164CB3" w:rsidRDefault="00000000" w:rsidP="002B08D3">
      <w:pPr>
        <w:pStyle w:val="TOC4"/>
        <w:rPr>
          <w:rFonts w:eastAsiaTheme="minorEastAsia" w:cstheme="minorBidi"/>
          <w:noProof/>
          <w:kern w:val="2"/>
          <w:sz w:val="24"/>
          <w:szCs w:val="24"/>
          <w14:ligatures w14:val="standardContextual"/>
        </w:rPr>
      </w:pPr>
      <w:hyperlink w:anchor="_Toc159851551"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Victims under Marsy’s Law</w:t>
        </w:r>
        <w:r w:rsidR="00164CB3">
          <w:rPr>
            <w:noProof/>
            <w:webHidden/>
          </w:rPr>
          <w:tab/>
        </w:r>
        <w:r w:rsidR="00164CB3">
          <w:rPr>
            <w:noProof/>
            <w:webHidden/>
          </w:rPr>
          <w:fldChar w:fldCharType="begin"/>
        </w:r>
        <w:r w:rsidR="00164CB3">
          <w:rPr>
            <w:noProof/>
            <w:webHidden/>
          </w:rPr>
          <w:instrText xml:space="preserve"> PAGEREF _Toc159851551 \h </w:instrText>
        </w:r>
        <w:r w:rsidR="00164CB3">
          <w:rPr>
            <w:noProof/>
            <w:webHidden/>
          </w:rPr>
        </w:r>
        <w:r w:rsidR="00164CB3">
          <w:rPr>
            <w:noProof/>
            <w:webHidden/>
          </w:rPr>
          <w:fldChar w:fldCharType="separate"/>
        </w:r>
        <w:r w:rsidR="00DE7A7E">
          <w:rPr>
            <w:noProof/>
            <w:webHidden/>
          </w:rPr>
          <w:t>65</w:t>
        </w:r>
        <w:r w:rsidR="00164CB3">
          <w:rPr>
            <w:noProof/>
            <w:webHidden/>
          </w:rPr>
          <w:fldChar w:fldCharType="end"/>
        </w:r>
      </w:hyperlink>
    </w:p>
    <w:p w14:paraId="0B950CDA" w14:textId="5EB0E55C" w:rsidR="00164CB3" w:rsidRDefault="00000000" w:rsidP="002B08D3">
      <w:pPr>
        <w:pStyle w:val="TOC4"/>
        <w:rPr>
          <w:rFonts w:eastAsiaTheme="minorEastAsia" w:cstheme="minorBidi"/>
          <w:noProof/>
          <w:kern w:val="2"/>
          <w:sz w:val="24"/>
          <w:szCs w:val="24"/>
          <w14:ligatures w14:val="standardContextual"/>
        </w:rPr>
      </w:pPr>
      <w:hyperlink w:anchor="_Toc159851552"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The victim’s rights form</w:t>
        </w:r>
        <w:r w:rsidR="00164CB3">
          <w:rPr>
            <w:noProof/>
            <w:webHidden/>
          </w:rPr>
          <w:tab/>
        </w:r>
        <w:r w:rsidR="00164CB3">
          <w:rPr>
            <w:noProof/>
            <w:webHidden/>
          </w:rPr>
          <w:fldChar w:fldCharType="begin"/>
        </w:r>
        <w:r w:rsidR="00164CB3">
          <w:rPr>
            <w:noProof/>
            <w:webHidden/>
          </w:rPr>
          <w:instrText xml:space="preserve"> PAGEREF _Toc159851552 \h </w:instrText>
        </w:r>
        <w:r w:rsidR="00164CB3">
          <w:rPr>
            <w:noProof/>
            <w:webHidden/>
          </w:rPr>
        </w:r>
        <w:r w:rsidR="00164CB3">
          <w:rPr>
            <w:noProof/>
            <w:webHidden/>
          </w:rPr>
          <w:fldChar w:fldCharType="separate"/>
        </w:r>
        <w:r w:rsidR="00DE7A7E">
          <w:rPr>
            <w:noProof/>
            <w:webHidden/>
          </w:rPr>
          <w:t>65</w:t>
        </w:r>
        <w:r w:rsidR="00164CB3">
          <w:rPr>
            <w:noProof/>
            <w:webHidden/>
          </w:rPr>
          <w:fldChar w:fldCharType="end"/>
        </w:r>
      </w:hyperlink>
    </w:p>
    <w:p w14:paraId="701AB5DF" w14:textId="4C6DAD97" w:rsidR="00164CB3" w:rsidRDefault="00000000" w:rsidP="002B08D3">
      <w:pPr>
        <w:pStyle w:val="TOC4"/>
        <w:rPr>
          <w:rFonts w:eastAsiaTheme="minorEastAsia" w:cstheme="minorBidi"/>
          <w:noProof/>
          <w:kern w:val="2"/>
          <w:sz w:val="24"/>
          <w:szCs w:val="24"/>
          <w14:ligatures w14:val="standardContextual"/>
        </w:rPr>
      </w:pPr>
      <w:hyperlink w:anchor="_Toc159851553"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When a victim’s identifying information must be redacted from “case documents”</w:t>
        </w:r>
        <w:r w:rsidR="00164CB3">
          <w:rPr>
            <w:noProof/>
            <w:webHidden/>
          </w:rPr>
          <w:tab/>
        </w:r>
        <w:r w:rsidR="00164CB3">
          <w:rPr>
            <w:noProof/>
            <w:webHidden/>
          </w:rPr>
          <w:fldChar w:fldCharType="begin"/>
        </w:r>
        <w:r w:rsidR="00164CB3">
          <w:rPr>
            <w:noProof/>
            <w:webHidden/>
          </w:rPr>
          <w:instrText xml:space="preserve"> PAGEREF _Toc159851553 \h </w:instrText>
        </w:r>
        <w:r w:rsidR="00164CB3">
          <w:rPr>
            <w:noProof/>
            <w:webHidden/>
          </w:rPr>
        </w:r>
        <w:r w:rsidR="00164CB3">
          <w:rPr>
            <w:noProof/>
            <w:webHidden/>
          </w:rPr>
          <w:fldChar w:fldCharType="separate"/>
        </w:r>
        <w:r w:rsidR="00DE7A7E">
          <w:rPr>
            <w:noProof/>
            <w:webHidden/>
          </w:rPr>
          <w:t>66</w:t>
        </w:r>
        <w:r w:rsidR="00164CB3">
          <w:rPr>
            <w:noProof/>
            <w:webHidden/>
          </w:rPr>
          <w:fldChar w:fldCharType="end"/>
        </w:r>
      </w:hyperlink>
    </w:p>
    <w:p w14:paraId="4BC0326F" w14:textId="7BB82A0E" w:rsidR="00164CB3" w:rsidRDefault="00000000" w:rsidP="002B08D3">
      <w:pPr>
        <w:pStyle w:val="TOC4"/>
        <w:rPr>
          <w:rFonts w:eastAsiaTheme="minorEastAsia" w:cstheme="minorBidi"/>
          <w:noProof/>
          <w:kern w:val="2"/>
          <w:sz w:val="24"/>
          <w:szCs w:val="24"/>
          <w14:ligatures w14:val="standardContextual"/>
        </w:rPr>
      </w:pPr>
      <w:hyperlink w:anchor="_Toc159851554"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Case documents</w:t>
        </w:r>
        <w:r w:rsidR="00164CB3">
          <w:rPr>
            <w:noProof/>
            <w:webHidden/>
          </w:rPr>
          <w:tab/>
        </w:r>
        <w:r w:rsidR="00164CB3">
          <w:rPr>
            <w:noProof/>
            <w:webHidden/>
          </w:rPr>
          <w:fldChar w:fldCharType="begin"/>
        </w:r>
        <w:r w:rsidR="00164CB3">
          <w:rPr>
            <w:noProof/>
            <w:webHidden/>
          </w:rPr>
          <w:instrText xml:space="preserve"> PAGEREF _Toc159851554 \h </w:instrText>
        </w:r>
        <w:r w:rsidR="00164CB3">
          <w:rPr>
            <w:noProof/>
            <w:webHidden/>
          </w:rPr>
        </w:r>
        <w:r w:rsidR="00164CB3">
          <w:rPr>
            <w:noProof/>
            <w:webHidden/>
          </w:rPr>
          <w:fldChar w:fldCharType="separate"/>
        </w:r>
        <w:r w:rsidR="00DE7A7E">
          <w:rPr>
            <w:noProof/>
            <w:webHidden/>
          </w:rPr>
          <w:t>66</w:t>
        </w:r>
        <w:r w:rsidR="00164CB3">
          <w:rPr>
            <w:noProof/>
            <w:webHidden/>
          </w:rPr>
          <w:fldChar w:fldCharType="end"/>
        </w:r>
      </w:hyperlink>
    </w:p>
    <w:p w14:paraId="275BA112" w14:textId="06619A4A" w:rsidR="00164CB3" w:rsidRDefault="00000000" w:rsidP="002B08D3">
      <w:pPr>
        <w:pStyle w:val="TOC4"/>
        <w:rPr>
          <w:rFonts w:eastAsiaTheme="minorEastAsia" w:cstheme="minorBidi"/>
          <w:noProof/>
          <w:kern w:val="2"/>
          <w:sz w:val="24"/>
          <w:szCs w:val="24"/>
          <w14:ligatures w14:val="standardContextual"/>
        </w:rPr>
      </w:pPr>
      <w:hyperlink w:anchor="_Toc159851555"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Obligations of public offices and public officials</w:t>
        </w:r>
        <w:r w:rsidR="00164CB3">
          <w:rPr>
            <w:noProof/>
            <w:webHidden/>
          </w:rPr>
          <w:tab/>
        </w:r>
        <w:r w:rsidR="00164CB3">
          <w:rPr>
            <w:noProof/>
            <w:webHidden/>
          </w:rPr>
          <w:fldChar w:fldCharType="begin"/>
        </w:r>
        <w:r w:rsidR="00164CB3">
          <w:rPr>
            <w:noProof/>
            <w:webHidden/>
          </w:rPr>
          <w:instrText xml:space="preserve"> PAGEREF _Toc159851555 \h </w:instrText>
        </w:r>
        <w:r w:rsidR="00164CB3">
          <w:rPr>
            <w:noProof/>
            <w:webHidden/>
          </w:rPr>
        </w:r>
        <w:r w:rsidR="00164CB3">
          <w:rPr>
            <w:noProof/>
            <w:webHidden/>
          </w:rPr>
          <w:fldChar w:fldCharType="separate"/>
        </w:r>
        <w:r w:rsidR="00DE7A7E">
          <w:rPr>
            <w:noProof/>
            <w:webHidden/>
          </w:rPr>
          <w:t>66</w:t>
        </w:r>
        <w:r w:rsidR="00164CB3">
          <w:rPr>
            <w:noProof/>
            <w:webHidden/>
          </w:rPr>
          <w:fldChar w:fldCharType="end"/>
        </w:r>
      </w:hyperlink>
    </w:p>
    <w:p w14:paraId="013EF3BA" w14:textId="3A381804"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56" w:history="1">
        <w:r w:rsidR="00164CB3" w:rsidRPr="00311922">
          <w:rPr>
            <w:rStyle w:val="Hyperlink"/>
            <w:noProof/>
          </w:rPr>
          <w:t>F.</w:t>
        </w:r>
        <w:r w:rsidR="00164CB3">
          <w:rPr>
            <w:rFonts w:eastAsiaTheme="minorEastAsia" w:cstheme="minorBidi"/>
            <w:b w:val="0"/>
            <w:bCs w:val="0"/>
            <w:noProof/>
            <w:kern w:val="2"/>
            <w:sz w:val="24"/>
            <w:szCs w:val="24"/>
            <w14:ligatures w14:val="standardContextual"/>
          </w:rPr>
          <w:tab/>
        </w:r>
        <w:r w:rsidR="00164CB3" w:rsidRPr="00311922">
          <w:rPr>
            <w:rStyle w:val="Hyperlink"/>
            <w:noProof/>
          </w:rPr>
          <w:t>Modified Access to Records for Prison Inmates</w:t>
        </w:r>
        <w:r w:rsidR="00164CB3">
          <w:rPr>
            <w:noProof/>
            <w:webHidden/>
          </w:rPr>
          <w:tab/>
        </w:r>
        <w:r w:rsidR="00164CB3">
          <w:rPr>
            <w:noProof/>
            <w:webHidden/>
          </w:rPr>
          <w:fldChar w:fldCharType="begin"/>
        </w:r>
        <w:r w:rsidR="00164CB3">
          <w:rPr>
            <w:noProof/>
            <w:webHidden/>
          </w:rPr>
          <w:instrText xml:space="preserve"> PAGEREF _Toc159851556 \h </w:instrText>
        </w:r>
        <w:r w:rsidR="00164CB3">
          <w:rPr>
            <w:noProof/>
            <w:webHidden/>
          </w:rPr>
        </w:r>
        <w:r w:rsidR="00164CB3">
          <w:rPr>
            <w:noProof/>
            <w:webHidden/>
          </w:rPr>
          <w:fldChar w:fldCharType="separate"/>
        </w:r>
        <w:r w:rsidR="00DE7A7E">
          <w:rPr>
            <w:noProof/>
            <w:webHidden/>
          </w:rPr>
          <w:t>67</w:t>
        </w:r>
        <w:r w:rsidR="00164CB3">
          <w:rPr>
            <w:noProof/>
            <w:webHidden/>
          </w:rPr>
          <w:fldChar w:fldCharType="end"/>
        </w:r>
      </w:hyperlink>
    </w:p>
    <w:p w14:paraId="6718E549" w14:textId="01E70458"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557" w:history="1">
        <w:r w:rsidR="00164CB3" w:rsidRPr="00311922">
          <w:rPr>
            <w:rStyle w:val="Hyperlink"/>
            <w:noProof/>
          </w:rPr>
          <w:t>V.</w:t>
        </w:r>
        <w:r w:rsidR="00164CB3">
          <w:rPr>
            <w:rFonts w:eastAsiaTheme="minorEastAsia" w:cstheme="minorBidi"/>
            <w:bCs w:val="0"/>
            <w:noProof/>
            <w:kern w:val="2"/>
            <w14:ligatures w14:val="standardContextual"/>
          </w:rPr>
          <w:tab/>
        </w:r>
        <w:r w:rsidR="00164CB3" w:rsidRPr="00311922">
          <w:rPr>
            <w:rStyle w:val="Hyperlink"/>
            <w:noProof/>
          </w:rPr>
          <w:t>Chapter Five:  Other Categories of Records</w:t>
        </w:r>
        <w:r w:rsidR="00164CB3">
          <w:rPr>
            <w:noProof/>
            <w:webHidden/>
          </w:rPr>
          <w:tab/>
        </w:r>
        <w:r w:rsidR="00164CB3">
          <w:rPr>
            <w:noProof/>
            <w:webHidden/>
          </w:rPr>
          <w:fldChar w:fldCharType="begin"/>
        </w:r>
        <w:r w:rsidR="00164CB3">
          <w:rPr>
            <w:noProof/>
            <w:webHidden/>
          </w:rPr>
          <w:instrText xml:space="preserve"> PAGEREF _Toc159851557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4120FCA2" w14:textId="5FEE4FDA"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58"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Employment Records</w:t>
        </w:r>
        <w:r w:rsidR="00164CB3">
          <w:rPr>
            <w:noProof/>
            <w:webHidden/>
          </w:rPr>
          <w:tab/>
        </w:r>
        <w:r w:rsidR="00164CB3">
          <w:rPr>
            <w:noProof/>
            <w:webHidden/>
          </w:rPr>
          <w:fldChar w:fldCharType="begin"/>
        </w:r>
        <w:r w:rsidR="00164CB3">
          <w:rPr>
            <w:noProof/>
            <w:webHidden/>
          </w:rPr>
          <w:instrText xml:space="preserve"> PAGEREF _Toc159851558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2988B35C" w14:textId="603DC86C" w:rsidR="00164CB3" w:rsidRDefault="00000000" w:rsidP="002B08D3">
      <w:pPr>
        <w:pStyle w:val="TOC3"/>
        <w:rPr>
          <w:rFonts w:eastAsiaTheme="minorEastAsia" w:cstheme="minorBidi"/>
          <w:noProof/>
          <w:kern w:val="2"/>
          <w:sz w:val="24"/>
          <w:szCs w:val="24"/>
          <w14:ligatures w14:val="standardContextual"/>
        </w:rPr>
      </w:pPr>
      <w:hyperlink w:anchor="_Toc159851559"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Non-records</w:t>
        </w:r>
        <w:r w:rsidR="00164CB3">
          <w:rPr>
            <w:noProof/>
            <w:webHidden/>
          </w:rPr>
          <w:tab/>
        </w:r>
        <w:r w:rsidR="00164CB3">
          <w:rPr>
            <w:noProof/>
            <w:webHidden/>
          </w:rPr>
          <w:fldChar w:fldCharType="begin"/>
        </w:r>
        <w:r w:rsidR="00164CB3">
          <w:rPr>
            <w:noProof/>
            <w:webHidden/>
          </w:rPr>
          <w:instrText xml:space="preserve"> PAGEREF _Toc159851559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7C55A876" w14:textId="292E45BF" w:rsidR="00164CB3" w:rsidRDefault="00000000" w:rsidP="002B08D3">
      <w:pPr>
        <w:pStyle w:val="TOC3"/>
        <w:rPr>
          <w:rFonts w:eastAsiaTheme="minorEastAsia" w:cstheme="minorBidi"/>
          <w:noProof/>
          <w:kern w:val="2"/>
          <w:sz w:val="24"/>
          <w:szCs w:val="24"/>
          <w14:ligatures w14:val="standardContextual"/>
        </w:rPr>
      </w:pPr>
      <w:hyperlink w:anchor="_Toc159851560"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Names of public officials and employees</w:t>
        </w:r>
        <w:r w:rsidR="00164CB3">
          <w:rPr>
            <w:noProof/>
            <w:webHidden/>
          </w:rPr>
          <w:tab/>
        </w:r>
        <w:r w:rsidR="00164CB3">
          <w:rPr>
            <w:noProof/>
            <w:webHidden/>
          </w:rPr>
          <w:fldChar w:fldCharType="begin"/>
        </w:r>
        <w:r w:rsidR="00164CB3">
          <w:rPr>
            <w:noProof/>
            <w:webHidden/>
          </w:rPr>
          <w:instrText xml:space="preserve"> PAGEREF _Toc159851560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7D2CA11D" w14:textId="4617FEFE" w:rsidR="00164CB3" w:rsidRDefault="00000000" w:rsidP="002B08D3">
      <w:pPr>
        <w:pStyle w:val="TOC3"/>
        <w:rPr>
          <w:rFonts w:eastAsiaTheme="minorEastAsia" w:cstheme="minorBidi"/>
          <w:noProof/>
          <w:kern w:val="2"/>
          <w:sz w:val="24"/>
          <w:szCs w:val="24"/>
          <w14:ligatures w14:val="standardContextual"/>
        </w:rPr>
      </w:pPr>
      <w:hyperlink w:anchor="_Toc159851561"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Resumes and application materials</w:t>
        </w:r>
        <w:r w:rsidR="00164CB3">
          <w:rPr>
            <w:noProof/>
            <w:webHidden/>
          </w:rPr>
          <w:tab/>
        </w:r>
        <w:r w:rsidR="00164CB3">
          <w:rPr>
            <w:noProof/>
            <w:webHidden/>
          </w:rPr>
          <w:fldChar w:fldCharType="begin"/>
        </w:r>
        <w:r w:rsidR="00164CB3">
          <w:rPr>
            <w:noProof/>
            <w:webHidden/>
          </w:rPr>
          <w:instrText xml:space="preserve"> PAGEREF _Toc159851561 \h </w:instrText>
        </w:r>
        <w:r w:rsidR="00164CB3">
          <w:rPr>
            <w:noProof/>
            <w:webHidden/>
          </w:rPr>
        </w:r>
        <w:r w:rsidR="00164CB3">
          <w:rPr>
            <w:noProof/>
            <w:webHidden/>
          </w:rPr>
          <w:fldChar w:fldCharType="separate"/>
        </w:r>
        <w:r w:rsidR="00DE7A7E">
          <w:rPr>
            <w:noProof/>
            <w:webHidden/>
          </w:rPr>
          <w:t>72</w:t>
        </w:r>
        <w:r w:rsidR="00164CB3">
          <w:rPr>
            <w:noProof/>
            <w:webHidden/>
          </w:rPr>
          <w:fldChar w:fldCharType="end"/>
        </w:r>
      </w:hyperlink>
    </w:p>
    <w:p w14:paraId="342DC541" w14:textId="69C0A9FD" w:rsidR="00164CB3" w:rsidRDefault="00000000" w:rsidP="002B08D3">
      <w:pPr>
        <w:pStyle w:val="TOC3"/>
        <w:rPr>
          <w:rFonts w:eastAsiaTheme="minorEastAsia" w:cstheme="minorBidi"/>
          <w:noProof/>
          <w:kern w:val="2"/>
          <w:sz w:val="24"/>
          <w:szCs w:val="24"/>
          <w14:ligatures w14:val="standardContextual"/>
        </w:rPr>
      </w:pPr>
      <w:hyperlink w:anchor="_Toc159851562"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Background investigations</w:t>
        </w:r>
        <w:r w:rsidR="00164CB3">
          <w:rPr>
            <w:noProof/>
            <w:webHidden/>
          </w:rPr>
          <w:tab/>
        </w:r>
        <w:r w:rsidR="00164CB3">
          <w:rPr>
            <w:noProof/>
            <w:webHidden/>
          </w:rPr>
          <w:fldChar w:fldCharType="begin"/>
        </w:r>
        <w:r w:rsidR="00164CB3">
          <w:rPr>
            <w:noProof/>
            <w:webHidden/>
          </w:rPr>
          <w:instrText xml:space="preserve"> PAGEREF _Toc159851562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5AF521DB" w14:textId="238692C8" w:rsidR="00164CB3" w:rsidRDefault="00000000" w:rsidP="002B08D3">
      <w:pPr>
        <w:pStyle w:val="TOC3"/>
        <w:rPr>
          <w:rFonts w:eastAsiaTheme="minorEastAsia" w:cstheme="minorBidi"/>
          <w:noProof/>
          <w:kern w:val="2"/>
          <w:sz w:val="24"/>
          <w:szCs w:val="24"/>
          <w14:ligatures w14:val="standardContextual"/>
        </w:rPr>
      </w:pPr>
      <w:hyperlink w:anchor="_Toc159851563"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Evaluations and disciplinary records</w:t>
        </w:r>
        <w:r w:rsidR="00164CB3">
          <w:rPr>
            <w:noProof/>
            <w:webHidden/>
          </w:rPr>
          <w:tab/>
        </w:r>
        <w:r w:rsidR="00164CB3">
          <w:rPr>
            <w:noProof/>
            <w:webHidden/>
          </w:rPr>
          <w:fldChar w:fldCharType="begin"/>
        </w:r>
        <w:r w:rsidR="00164CB3">
          <w:rPr>
            <w:noProof/>
            <w:webHidden/>
          </w:rPr>
          <w:instrText xml:space="preserve"> PAGEREF _Toc159851563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0920C732" w14:textId="4411CC5E" w:rsidR="00164CB3" w:rsidRDefault="00000000" w:rsidP="002B08D3">
      <w:pPr>
        <w:pStyle w:val="TOC3"/>
        <w:rPr>
          <w:rFonts w:eastAsiaTheme="minorEastAsia" w:cstheme="minorBidi"/>
          <w:noProof/>
          <w:kern w:val="2"/>
          <w:sz w:val="24"/>
          <w:szCs w:val="24"/>
          <w14:ligatures w14:val="standardContextual"/>
        </w:rPr>
      </w:pPr>
      <w:hyperlink w:anchor="_Toc159851564"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Employee assistance program (EAP) records</w:t>
        </w:r>
        <w:r w:rsidR="00164CB3">
          <w:rPr>
            <w:noProof/>
            <w:webHidden/>
          </w:rPr>
          <w:tab/>
        </w:r>
        <w:r w:rsidR="00164CB3">
          <w:rPr>
            <w:noProof/>
            <w:webHidden/>
          </w:rPr>
          <w:fldChar w:fldCharType="begin"/>
        </w:r>
        <w:r w:rsidR="00164CB3">
          <w:rPr>
            <w:noProof/>
            <w:webHidden/>
          </w:rPr>
          <w:instrText xml:space="preserve"> PAGEREF _Toc159851564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49868D93" w14:textId="36005E2E" w:rsidR="00164CB3" w:rsidRDefault="00000000" w:rsidP="002B08D3">
      <w:pPr>
        <w:pStyle w:val="TOC3"/>
        <w:rPr>
          <w:rFonts w:eastAsiaTheme="minorEastAsia" w:cstheme="minorBidi"/>
          <w:noProof/>
          <w:kern w:val="2"/>
          <w:sz w:val="24"/>
          <w:szCs w:val="24"/>
          <w14:ligatures w14:val="standardContextual"/>
        </w:rPr>
      </w:pPr>
      <w:hyperlink w:anchor="_Toc159851565"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Physical fitness, psychiatric, and polygraph examinations</w:t>
        </w:r>
        <w:r w:rsidR="00164CB3">
          <w:rPr>
            <w:noProof/>
            <w:webHidden/>
          </w:rPr>
          <w:tab/>
        </w:r>
        <w:r w:rsidR="00164CB3">
          <w:rPr>
            <w:noProof/>
            <w:webHidden/>
          </w:rPr>
          <w:fldChar w:fldCharType="begin"/>
        </w:r>
        <w:r w:rsidR="00164CB3">
          <w:rPr>
            <w:noProof/>
            <w:webHidden/>
          </w:rPr>
          <w:instrText xml:space="preserve"> PAGEREF _Toc159851565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49F21406" w14:textId="0238149B" w:rsidR="00164CB3" w:rsidRDefault="00000000" w:rsidP="002B08D3">
      <w:pPr>
        <w:pStyle w:val="TOC3"/>
        <w:rPr>
          <w:rFonts w:eastAsiaTheme="minorEastAsia" w:cstheme="minorBidi"/>
          <w:noProof/>
          <w:kern w:val="2"/>
          <w:sz w:val="24"/>
          <w:szCs w:val="24"/>
          <w14:ligatures w14:val="standardContextual"/>
        </w:rPr>
      </w:pPr>
      <w:hyperlink w:anchor="_Toc159851566" w:history="1">
        <w:r w:rsidR="00164CB3" w:rsidRPr="00311922">
          <w:rPr>
            <w:rStyle w:val="Hyperlink"/>
            <w:noProof/>
          </w:rPr>
          <w:t>8.</w:t>
        </w:r>
        <w:r w:rsidR="00164CB3">
          <w:rPr>
            <w:rFonts w:eastAsiaTheme="minorEastAsia" w:cstheme="minorBidi"/>
            <w:noProof/>
            <w:kern w:val="2"/>
            <w:sz w:val="24"/>
            <w:szCs w:val="24"/>
            <w14:ligatures w14:val="standardContextual"/>
          </w:rPr>
          <w:tab/>
        </w:r>
        <w:r w:rsidR="00164CB3" w:rsidRPr="00311922">
          <w:rPr>
            <w:rStyle w:val="Hyperlink"/>
            <w:noProof/>
          </w:rPr>
          <w:t>Medical records</w:t>
        </w:r>
        <w:r w:rsidR="00164CB3">
          <w:rPr>
            <w:noProof/>
            <w:webHidden/>
          </w:rPr>
          <w:tab/>
        </w:r>
        <w:r w:rsidR="00164CB3">
          <w:rPr>
            <w:noProof/>
            <w:webHidden/>
          </w:rPr>
          <w:fldChar w:fldCharType="begin"/>
        </w:r>
        <w:r w:rsidR="00164CB3">
          <w:rPr>
            <w:noProof/>
            <w:webHidden/>
          </w:rPr>
          <w:instrText xml:space="preserve"> PAGEREF _Toc159851566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66F6F8ED" w14:textId="1FC98AB9" w:rsidR="00164CB3" w:rsidRDefault="00000000" w:rsidP="002B08D3">
      <w:pPr>
        <w:pStyle w:val="TOC3"/>
        <w:rPr>
          <w:rFonts w:eastAsiaTheme="minorEastAsia" w:cstheme="minorBidi"/>
          <w:noProof/>
          <w:kern w:val="2"/>
          <w:sz w:val="24"/>
          <w:szCs w:val="24"/>
          <w14:ligatures w14:val="standardContextual"/>
        </w:rPr>
      </w:pPr>
      <w:hyperlink w:anchor="_Toc159851567" w:history="1">
        <w:r w:rsidR="00164CB3" w:rsidRPr="00311922">
          <w:rPr>
            <w:rStyle w:val="Hyperlink"/>
            <w:noProof/>
          </w:rPr>
          <w:t>9.</w:t>
        </w:r>
        <w:r w:rsidR="00164CB3">
          <w:rPr>
            <w:rFonts w:eastAsiaTheme="minorEastAsia" w:cstheme="minorBidi"/>
            <w:noProof/>
            <w:kern w:val="2"/>
            <w:sz w:val="24"/>
            <w:szCs w:val="24"/>
            <w14:ligatures w14:val="standardContextual"/>
          </w:rPr>
          <w:tab/>
        </w:r>
        <w:r w:rsidR="00164CB3" w:rsidRPr="00311922">
          <w:rPr>
            <w:rStyle w:val="Hyperlink"/>
            <w:noProof/>
          </w:rPr>
          <w:t>School records</w:t>
        </w:r>
        <w:r w:rsidR="00164CB3">
          <w:rPr>
            <w:noProof/>
            <w:webHidden/>
          </w:rPr>
          <w:tab/>
        </w:r>
        <w:r w:rsidR="00164CB3">
          <w:rPr>
            <w:noProof/>
            <w:webHidden/>
          </w:rPr>
          <w:fldChar w:fldCharType="begin"/>
        </w:r>
        <w:r w:rsidR="00164CB3">
          <w:rPr>
            <w:noProof/>
            <w:webHidden/>
          </w:rPr>
          <w:instrText xml:space="preserve"> PAGEREF _Toc159851567 \h </w:instrText>
        </w:r>
        <w:r w:rsidR="00164CB3">
          <w:rPr>
            <w:noProof/>
            <w:webHidden/>
          </w:rPr>
        </w:r>
        <w:r w:rsidR="00164CB3">
          <w:rPr>
            <w:noProof/>
            <w:webHidden/>
          </w:rPr>
          <w:fldChar w:fldCharType="separate"/>
        </w:r>
        <w:r w:rsidR="00DE7A7E">
          <w:rPr>
            <w:noProof/>
            <w:webHidden/>
          </w:rPr>
          <w:t>73</w:t>
        </w:r>
        <w:r w:rsidR="00164CB3">
          <w:rPr>
            <w:noProof/>
            <w:webHidden/>
          </w:rPr>
          <w:fldChar w:fldCharType="end"/>
        </w:r>
      </w:hyperlink>
    </w:p>
    <w:p w14:paraId="2BB898A1" w14:textId="672779DD" w:rsidR="00164CB3" w:rsidRDefault="00000000" w:rsidP="002B08D3">
      <w:pPr>
        <w:pStyle w:val="TOC3"/>
        <w:rPr>
          <w:rFonts w:eastAsiaTheme="minorEastAsia" w:cstheme="minorBidi"/>
          <w:noProof/>
          <w:kern w:val="2"/>
          <w:sz w:val="24"/>
          <w:szCs w:val="24"/>
          <w14:ligatures w14:val="standardContextual"/>
        </w:rPr>
      </w:pPr>
      <w:hyperlink w:anchor="_Toc159851568" w:history="1">
        <w:r w:rsidR="00164CB3" w:rsidRPr="00311922">
          <w:rPr>
            <w:rStyle w:val="Hyperlink"/>
            <w:noProof/>
          </w:rPr>
          <w:t>10.</w:t>
        </w:r>
        <w:r w:rsidR="00164CB3">
          <w:rPr>
            <w:rFonts w:eastAsiaTheme="minorEastAsia" w:cstheme="minorBidi"/>
            <w:noProof/>
            <w:kern w:val="2"/>
            <w:sz w:val="24"/>
            <w:szCs w:val="24"/>
            <w14:ligatures w14:val="standardContextual"/>
          </w:rPr>
          <w:tab/>
        </w:r>
        <w:r w:rsidR="00164CB3" w:rsidRPr="00311922">
          <w:rPr>
            <w:rStyle w:val="Hyperlink"/>
            <w:noProof/>
          </w:rPr>
          <w:t>Social security numbers and taxpayer records</w:t>
        </w:r>
        <w:r w:rsidR="00164CB3">
          <w:rPr>
            <w:noProof/>
            <w:webHidden/>
          </w:rPr>
          <w:tab/>
        </w:r>
        <w:r w:rsidR="00164CB3">
          <w:rPr>
            <w:noProof/>
            <w:webHidden/>
          </w:rPr>
          <w:fldChar w:fldCharType="begin"/>
        </w:r>
        <w:r w:rsidR="00164CB3">
          <w:rPr>
            <w:noProof/>
            <w:webHidden/>
          </w:rPr>
          <w:instrText xml:space="preserve"> PAGEREF _Toc159851568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63C42DFB" w14:textId="10B2C47E" w:rsidR="00164CB3" w:rsidRDefault="00000000" w:rsidP="002B08D3">
      <w:pPr>
        <w:pStyle w:val="TOC3"/>
        <w:rPr>
          <w:rFonts w:eastAsiaTheme="minorEastAsia" w:cstheme="minorBidi"/>
          <w:noProof/>
          <w:kern w:val="2"/>
          <w:sz w:val="24"/>
          <w:szCs w:val="24"/>
          <w14:ligatures w14:val="standardContextual"/>
        </w:rPr>
      </w:pPr>
      <w:hyperlink w:anchor="_Toc159851569" w:history="1">
        <w:r w:rsidR="00164CB3" w:rsidRPr="00311922">
          <w:rPr>
            <w:rStyle w:val="Hyperlink"/>
            <w:noProof/>
          </w:rPr>
          <w:t>11.</w:t>
        </w:r>
        <w:r w:rsidR="00164CB3">
          <w:rPr>
            <w:rFonts w:eastAsiaTheme="minorEastAsia" w:cstheme="minorBidi"/>
            <w:noProof/>
            <w:kern w:val="2"/>
            <w:sz w:val="24"/>
            <w:szCs w:val="24"/>
            <w14:ligatures w14:val="standardContextual"/>
          </w:rPr>
          <w:tab/>
        </w:r>
        <w:r w:rsidR="00164CB3" w:rsidRPr="00311922">
          <w:rPr>
            <w:rStyle w:val="Hyperlink"/>
            <w:noProof/>
          </w:rPr>
          <w:t>Residential and familial information of designated public service workers</w:t>
        </w:r>
        <w:r w:rsidR="00164CB3">
          <w:rPr>
            <w:noProof/>
            <w:webHidden/>
          </w:rPr>
          <w:tab/>
        </w:r>
        <w:r w:rsidR="00164CB3">
          <w:rPr>
            <w:noProof/>
            <w:webHidden/>
          </w:rPr>
          <w:fldChar w:fldCharType="begin"/>
        </w:r>
        <w:r w:rsidR="00164CB3">
          <w:rPr>
            <w:noProof/>
            <w:webHidden/>
          </w:rPr>
          <w:instrText xml:space="preserve"> PAGEREF _Toc159851569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7824D9AF" w14:textId="5AFCE5DE" w:rsidR="00164CB3" w:rsidRDefault="00000000" w:rsidP="002B08D3">
      <w:pPr>
        <w:pStyle w:val="TOC3"/>
        <w:rPr>
          <w:rFonts w:eastAsiaTheme="minorEastAsia" w:cstheme="minorBidi"/>
          <w:noProof/>
          <w:kern w:val="2"/>
          <w:sz w:val="24"/>
          <w:szCs w:val="24"/>
          <w14:ligatures w14:val="standardContextual"/>
        </w:rPr>
      </w:pPr>
      <w:hyperlink w:anchor="_Toc159851570" w:history="1">
        <w:r w:rsidR="00164CB3" w:rsidRPr="00311922">
          <w:rPr>
            <w:rStyle w:val="Hyperlink"/>
            <w:noProof/>
          </w:rPr>
          <w:t>12.</w:t>
        </w:r>
        <w:r w:rsidR="00164CB3">
          <w:rPr>
            <w:rFonts w:eastAsiaTheme="minorEastAsia" w:cstheme="minorBidi"/>
            <w:noProof/>
            <w:kern w:val="2"/>
            <w:sz w:val="24"/>
            <w:szCs w:val="24"/>
            <w14:ligatures w14:val="standardContextual"/>
          </w:rPr>
          <w:tab/>
        </w:r>
        <w:r w:rsidR="00164CB3" w:rsidRPr="00311922">
          <w:rPr>
            <w:rStyle w:val="Hyperlink"/>
            <w:noProof/>
          </w:rPr>
          <w:t>Bargaining agreement provisions</w:t>
        </w:r>
        <w:r w:rsidR="00164CB3">
          <w:rPr>
            <w:noProof/>
            <w:webHidden/>
          </w:rPr>
          <w:tab/>
        </w:r>
        <w:r w:rsidR="00164CB3">
          <w:rPr>
            <w:noProof/>
            <w:webHidden/>
          </w:rPr>
          <w:fldChar w:fldCharType="begin"/>
        </w:r>
        <w:r w:rsidR="00164CB3">
          <w:rPr>
            <w:noProof/>
            <w:webHidden/>
          </w:rPr>
          <w:instrText xml:space="preserve"> PAGEREF _Toc159851570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38C0172B" w14:textId="591714C4" w:rsidR="00164CB3" w:rsidRDefault="00000000" w:rsidP="002B08D3">
      <w:pPr>
        <w:pStyle w:val="TOC3"/>
        <w:rPr>
          <w:rFonts w:eastAsiaTheme="minorEastAsia" w:cstheme="minorBidi"/>
          <w:noProof/>
          <w:kern w:val="2"/>
          <w:sz w:val="24"/>
          <w:szCs w:val="24"/>
          <w14:ligatures w14:val="standardContextual"/>
        </w:rPr>
      </w:pPr>
      <w:hyperlink w:anchor="_Toc159851571" w:history="1">
        <w:r w:rsidR="00164CB3" w:rsidRPr="00311922">
          <w:rPr>
            <w:rStyle w:val="Hyperlink"/>
            <w:noProof/>
          </w:rPr>
          <w:t>13.</w:t>
        </w:r>
        <w:r w:rsidR="00164CB3">
          <w:rPr>
            <w:rFonts w:eastAsiaTheme="minorEastAsia" w:cstheme="minorBidi"/>
            <w:noProof/>
            <w:kern w:val="2"/>
            <w:sz w:val="24"/>
            <w:szCs w:val="24"/>
            <w14:ligatures w14:val="standardContextual"/>
          </w:rPr>
          <w:tab/>
        </w:r>
        <w:r w:rsidR="00164CB3" w:rsidRPr="00311922">
          <w:rPr>
            <w:rStyle w:val="Hyperlink"/>
            <w:noProof/>
          </w:rPr>
          <w:t>Statutes specific to a particular agency’s employees</w:t>
        </w:r>
        <w:r w:rsidR="00164CB3">
          <w:rPr>
            <w:noProof/>
            <w:webHidden/>
          </w:rPr>
          <w:tab/>
        </w:r>
        <w:r w:rsidR="00164CB3">
          <w:rPr>
            <w:noProof/>
            <w:webHidden/>
          </w:rPr>
          <w:fldChar w:fldCharType="begin"/>
        </w:r>
        <w:r w:rsidR="00164CB3">
          <w:rPr>
            <w:noProof/>
            <w:webHidden/>
          </w:rPr>
          <w:instrText xml:space="preserve"> PAGEREF _Toc159851571 \h </w:instrText>
        </w:r>
        <w:r w:rsidR="00164CB3">
          <w:rPr>
            <w:noProof/>
            <w:webHidden/>
          </w:rPr>
        </w:r>
        <w:r w:rsidR="00164CB3">
          <w:rPr>
            <w:noProof/>
            <w:webHidden/>
          </w:rPr>
          <w:fldChar w:fldCharType="separate"/>
        </w:r>
        <w:r w:rsidR="00DE7A7E">
          <w:rPr>
            <w:noProof/>
            <w:webHidden/>
          </w:rPr>
          <w:t>74</w:t>
        </w:r>
        <w:r w:rsidR="00164CB3">
          <w:rPr>
            <w:noProof/>
            <w:webHidden/>
          </w:rPr>
          <w:fldChar w:fldCharType="end"/>
        </w:r>
      </w:hyperlink>
    </w:p>
    <w:p w14:paraId="3C45AB8E" w14:textId="3958E1FA" w:rsidR="00164CB3" w:rsidRDefault="00000000" w:rsidP="002B08D3">
      <w:pPr>
        <w:pStyle w:val="TOC3"/>
        <w:rPr>
          <w:rFonts w:eastAsiaTheme="minorEastAsia" w:cstheme="minorBidi"/>
          <w:noProof/>
          <w:kern w:val="2"/>
          <w:sz w:val="24"/>
          <w:szCs w:val="24"/>
          <w14:ligatures w14:val="standardContextual"/>
        </w:rPr>
      </w:pPr>
      <w:hyperlink w:anchor="_Toc159851572" w:history="1">
        <w:r w:rsidR="00164CB3" w:rsidRPr="00311922">
          <w:rPr>
            <w:rStyle w:val="Hyperlink"/>
            <w:noProof/>
          </w:rPr>
          <w:t>Personnel Files</w:t>
        </w:r>
        <w:r w:rsidR="00164CB3">
          <w:rPr>
            <w:noProof/>
            <w:webHidden/>
          </w:rPr>
          <w:tab/>
        </w:r>
        <w:r w:rsidR="00164CB3">
          <w:rPr>
            <w:noProof/>
            <w:webHidden/>
          </w:rPr>
          <w:fldChar w:fldCharType="begin"/>
        </w:r>
        <w:r w:rsidR="00164CB3">
          <w:rPr>
            <w:noProof/>
            <w:webHidden/>
          </w:rPr>
          <w:instrText xml:space="preserve"> PAGEREF _Toc159851572 \h </w:instrText>
        </w:r>
        <w:r w:rsidR="00164CB3">
          <w:rPr>
            <w:noProof/>
            <w:webHidden/>
          </w:rPr>
        </w:r>
        <w:r w:rsidR="00164CB3">
          <w:rPr>
            <w:noProof/>
            <w:webHidden/>
          </w:rPr>
          <w:fldChar w:fldCharType="separate"/>
        </w:r>
        <w:r w:rsidR="00DE7A7E">
          <w:rPr>
            <w:noProof/>
            <w:webHidden/>
          </w:rPr>
          <w:t>75</w:t>
        </w:r>
        <w:r w:rsidR="00164CB3">
          <w:rPr>
            <w:noProof/>
            <w:webHidden/>
          </w:rPr>
          <w:fldChar w:fldCharType="end"/>
        </w:r>
      </w:hyperlink>
    </w:p>
    <w:p w14:paraId="57D345BE" w14:textId="3E095F7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73"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Court Records</w:t>
        </w:r>
        <w:r w:rsidR="00164CB3">
          <w:rPr>
            <w:noProof/>
            <w:webHidden/>
          </w:rPr>
          <w:tab/>
        </w:r>
        <w:r w:rsidR="00164CB3">
          <w:rPr>
            <w:noProof/>
            <w:webHidden/>
          </w:rPr>
          <w:fldChar w:fldCharType="begin"/>
        </w:r>
        <w:r w:rsidR="00164CB3">
          <w:rPr>
            <w:noProof/>
            <w:webHidden/>
          </w:rPr>
          <w:instrText xml:space="preserve"> PAGEREF _Toc159851573 \h </w:instrText>
        </w:r>
        <w:r w:rsidR="00164CB3">
          <w:rPr>
            <w:noProof/>
            <w:webHidden/>
          </w:rPr>
        </w:r>
        <w:r w:rsidR="00164CB3">
          <w:rPr>
            <w:noProof/>
            <w:webHidden/>
          </w:rPr>
          <w:fldChar w:fldCharType="separate"/>
        </w:r>
        <w:r w:rsidR="00DE7A7E">
          <w:rPr>
            <w:noProof/>
            <w:webHidden/>
          </w:rPr>
          <w:t>76</w:t>
        </w:r>
        <w:r w:rsidR="00164CB3">
          <w:rPr>
            <w:noProof/>
            <w:webHidden/>
          </w:rPr>
          <w:fldChar w:fldCharType="end"/>
        </w:r>
      </w:hyperlink>
    </w:p>
    <w:p w14:paraId="5F277E16" w14:textId="7F40EBDD" w:rsidR="00164CB3" w:rsidRDefault="00000000" w:rsidP="002B08D3">
      <w:pPr>
        <w:pStyle w:val="TOC3"/>
        <w:rPr>
          <w:rFonts w:eastAsiaTheme="minorEastAsia" w:cstheme="minorBidi"/>
          <w:noProof/>
          <w:kern w:val="2"/>
          <w:sz w:val="24"/>
          <w:szCs w:val="24"/>
          <w14:ligatures w14:val="standardContextual"/>
        </w:rPr>
      </w:pPr>
      <w:hyperlink w:anchor="_Toc15985157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Courts’ supervisory power over their own records</w:t>
        </w:r>
        <w:r w:rsidR="00164CB3">
          <w:rPr>
            <w:noProof/>
            <w:webHidden/>
          </w:rPr>
          <w:tab/>
        </w:r>
        <w:r w:rsidR="00164CB3">
          <w:rPr>
            <w:noProof/>
            <w:webHidden/>
          </w:rPr>
          <w:fldChar w:fldCharType="begin"/>
        </w:r>
        <w:r w:rsidR="00164CB3">
          <w:rPr>
            <w:noProof/>
            <w:webHidden/>
          </w:rPr>
          <w:instrText xml:space="preserve"> PAGEREF _Toc159851574 \h </w:instrText>
        </w:r>
        <w:r w:rsidR="00164CB3">
          <w:rPr>
            <w:noProof/>
            <w:webHidden/>
          </w:rPr>
        </w:r>
        <w:r w:rsidR="00164CB3">
          <w:rPr>
            <w:noProof/>
            <w:webHidden/>
          </w:rPr>
          <w:fldChar w:fldCharType="separate"/>
        </w:r>
        <w:r w:rsidR="00DE7A7E">
          <w:rPr>
            <w:noProof/>
            <w:webHidden/>
          </w:rPr>
          <w:t>76</w:t>
        </w:r>
        <w:r w:rsidR="00164CB3">
          <w:rPr>
            <w:noProof/>
            <w:webHidden/>
          </w:rPr>
          <w:fldChar w:fldCharType="end"/>
        </w:r>
      </w:hyperlink>
    </w:p>
    <w:p w14:paraId="091CF9B2" w14:textId="196489E8" w:rsidR="00164CB3" w:rsidRDefault="00000000" w:rsidP="002B08D3">
      <w:pPr>
        <w:pStyle w:val="TOC3"/>
        <w:rPr>
          <w:rFonts w:eastAsiaTheme="minorEastAsia" w:cstheme="minorBidi"/>
          <w:noProof/>
          <w:kern w:val="2"/>
          <w:sz w:val="24"/>
          <w:szCs w:val="24"/>
          <w14:ligatures w14:val="standardContextual"/>
        </w:rPr>
      </w:pPr>
      <w:hyperlink w:anchor="_Toc159851575"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Application of Rules of Superintendence and Public Records Act to Court Records</w:t>
        </w:r>
        <w:r w:rsidR="00164CB3">
          <w:rPr>
            <w:noProof/>
            <w:webHidden/>
          </w:rPr>
          <w:tab/>
        </w:r>
        <w:r w:rsidR="00164CB3">
          <w:rPr>
            <w:noProof/>
            <w:webHidden/>
          </w:rPr>
          <w:fldChar w:fldCharType="begin"/>
        </w:r>
        <w:r w:rsidR="00164CB3">
          <w:rPr>
            <w:noProof/>
            <w:webHidden/>
          </w:rPr>
          <w:instrText xml:space="preserve"> PAGEREF _Toc159851575 \h </w:instrText>
        </w:r>
        <w:r w:rsidR="00164CB3">
          <w:rPr>
            <w:noProof/>
            <w:webHidden/>
          </w:rPr>
        </w:r>
        <w:r w:rsidR="00164CB3">
          <w:rPr>
            <w:noProof/>
            <w:webHidden/>
          </w:rPr>
          <w:fldChar w:fldCharType="separate"/>
        </w:r>
        <w:r w:rsidR="00DE7A7E">
          <w:rPr>
            <w:noProof/>
            <w:webHidden/>
          </w:rPr>
          <w:t>77</w:t>
        </w:r>
        <w:r w:rsidR="00164CB3">
          <w:rPr>
            <w:noProof/>
            <w:webHidden/>
          </w:rPr>
          <w:fldChar w:fldCharType="end"/>
        </w:r>
      </w:hyperlink>
    </w:p>
    <w:p w14:paraId="37A3E420" w14:textId="0B251F4D" w:rsidR="00164CB3" w:rsidRDefault="00000000" w:rsidP="002B08D3">
      <w:pPr>
        <w:pStyle w:val="TOC3"/>
        <w:rPr>
          <w:rFonts w:eastAsiaTheme="minorEastAsia" w:cstheme="minorBidi"/>
          <w:noProof/>
          <w:kern w:val="2"/>
          <w:sz w:val="24"/>
          <w:szCs w:val="24"/>
          <w14:ligatures w14:val="standardContextual"/>
        </w:rPr>
      </w:pPr>
      <w:hyperlink w:anchor="_Toc159851576"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Rules of court procedure</w:t>
        </w:r>
        <w:r w:rsidR="00164CB3">
          <w:rPr>
            <w:noProof/>
            <w:webHidden/>
          </w:rPr>
          <w:tab/>
        </w:r>
        <w:r w:rsidR="00164CB3">
          <w:rPr>
            <w:noProof/>
            <w:webHidden/>
          </w:rPr>
          <w:fldChar w:fldCharType="begin"/>
        </w:r>
        <w:r w:rsidR="00164CB3">
          <w:rPr>
            <w:noProof/>
            <w:webHidden/>
          </w:rPr>
          <w:instrText xml:space="preserve"> PAGEREF _Toc159851576 \h </w:instrText>
        </w:r>
        <w:r w:rsidR="00164CB3">
          <w:rPr>
            <w:noProof/>
            <w:webHidden/>
          </w:rPr>
        </w:r>
        <w:r w:rsidR="00164CB3">
          <w:rPr>
            <w:noProof/>
            <w:webHidden/>
          </w:rPr>
          <w:fldChar w:fldCharType="separate"/>
        </w:r>
        <w:r w:rsidR="00DE7A7E">
          <w:rPr>
            <w:noProof/>
            <w:webHidden/>
          </w:rPr>
          <w:t>77</w:t>
        </w:r>
        <w:r w:rsidR="00164CB3">
          <w:rPr>
            <w:noProof/>
            <w:webHidden/>
          </w:rPr>
          <w:fldChar w:fldCharType="end"/>
        </w:r>
      </w:hyperlink>
    </w:p>
    <w:p w14:paraId="25737DE3" w14:textId="36F3DD26" w:rsidR="00164CB3" w:rsidRDefault="00000000" w:rsidP="002B08D3">
      <w:pPr>
        <w:pStyle w:val="TOC3"/>
        <w:rPr>
          <w:rFonts w:eastAsiaTheme="minorEastAsia" w:cstheme="minorBidi"/>
          <w:noProof/>
          <w:kern w:val="2"/>
          <w:sz w:val="24"/>
          <w:szCs w:val="24"/>
          <w14:ligatures w14:val="standardContextual"/>
        </w:rPr>
      </w:pPr>
      <w:hyperlink w:anchor="_Toc159851577"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Sealing statutes</w:t>
        </w:r>
        <w:r w:rsidR="00164CB3">
          <w:rPr>
            <w:noProof/>
            <w:webHidden/>
          </w:rPr>
          <w:tab/>
        </w:r>
        <w:r w:rsidR="00164CB3">
          <w:rPr>
            <w:noProof/>
            <w:webHidden/>
          </w:rPr>
          <w:fldChar w:fldCharType="begin"/>
        </w:r>
        <w:r w:rsidR="00164CB3">
          <w:rPr>
            <w:noProof/>
            <w:webHidden/>
          </w:rPr>
          <w:instrText xml:space="preserve"> PAGEREF _Toc159851577 \h </w:instrText>
        </w:r>
        <w:r w:rsidR="00164CB3">
          <w:rPr>
            <w:noProof/>
            <w:webHidden/>
          </w:rPr>
        </w:r>
        <w:r w:rsidR="00164CB3">
          <w:rPr>
            <w:noProof/>
            <w:webHidden/>
          </w:rPr>
          <w:fldChar w:fldCharType="separate"/>
        </w:r>
        <w:r w:rsidR="00DE7A7E">
          <w:rPr>
            <w:noProof/>
            <w:webHidden/>
          </w:rPr>
          <w:t>77</w:t>
        </w:r>
        <w:r w:rsidR="00164CB3">
          <w:rPr>
            <w:noProof/>
            <w:webHidden/>
          </w:rPr>
          <w:fldChar w:fldCharType="end"/>
        </w:r>
      </w:hyperlink>
    </w:p>
    <w:p w14:paraId="5AB13445" w14:textId="5C188512" w:rsidR="00164CB3" w:rsidRDefault="00000000" w:rsidP="002B08D3">
      <w:pPr>
        <w:pStyle w:val="TOC3"/>
        <w:rPr>
          <w:rFonts w:eastAsiaTheme="minorEastAsia" w:cstheme="minorBidi"/>
          <w:noProof/>
          <w:kern w:val="2"/>
          <w:sz w:val="24"/>
          <w:szCs w:val="24"/>
          <w14:ligatures w14:val="standardContextual"/>
        </w:rPr>
      </w:pPr>
      <w:hyperlink w:anchor="_Toc159851578"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Restricting public access to a case document</w:t>
        </w:r>
        <w:r w:rsidR="00164CB3">
          <w:rPr>
            <w:noProof/>
            <w:webHidden/>
          </w:rPr>
          <w:tab/>
        </w:r>
        <w:r w:rsidR="00164CB3">
          <w:rPr>
            <w:noProof/>
            <w:webHidden/>
          </w:rPr>
          <w:fldChar w:fldCharType="begin"/>
        </w:r>
        <w:r w:rsidR="00164CB3">
          <w:rPr>
            <w:noProof/>
            <w:webHidden/>
          </w:rPr>
          <w:instrText xml:space="preserve"> PAGEREF _Toc159851578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5B2F2DDB" w14:textId="54D32C64" w:rsidR="00164CB3" w:rsidRDefault="00000000" w:rsidP="002B08D3">
      <w:pPr>
        <w:pStyle w:val="TOC3"/>
        <w:rPr>
          <w:rFonts w:eastAsiaTheme="minorEastAsia" w:cstheme="minorBidi"/>
          <w:noProof/>
          <w:kern w:val="2"/>
          <w:sz w:val="24"/>
          <w:szCs w:val="24"/>
          <w14:ligatures w14:val="standardContextual"/>
        </w:rPr>
      </w:pPr>
      <w:hyperlink w:anchor="_Toc159851579"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General court records retention</w:t>
        </w:r>
        <w:r w:rsidR="00164CB3">
          <w:rPr>
            <w:noProof/>
            <w:webHidden/>
          </w:rPr>
          <w:tab/>
        </w:r>
        <w:r w:rsidR="00164CB3">
          <w:rPr>
            <w:noProof/>
            <w:webHidden/>
          </w:rPr>
          <w:fldChar w:fldCharType="begin"/>
        </w:r>
        <w:r w:rsidR="00164CB3">
          <w:rPr>
            <w:noProof/>
            <w:webHidden/>
          </w:rPr>
          <w:instrText xml:space="preserve"> PAGEREF _Toc159851579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3BFF0EE3" w14:textId="1B493923"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80"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HIPAA and HITECH</w:t>
        </w:r>
        <w:r w:rsidR="00164CB3">
          <w:rPr>
            <w:noProof/>
            <w:webHidden/>
          </w:rPr>
          <w:tab/>
        </w:r>
        <w:r w:rsidR="00164CB3">
          <w:rPr>
            <w:noProof/>
            <w:webHidden/>
          </w:rPr>
          <w:fldChar w:fldCharType="begin"/>
        </w:r>
        <w:r w:rsidR="00164CB3">
          <w:rPr>
            <w:noProof/>
            <w:webHidden/>
          </w:rPr>
          <w:instrText xml:space="preserve"> PAGEREF _Toc159851580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42EAFC9F" w14:textId="61E81B01" w:rsidR="00164CB3" w:rsidRDefault="00000000" w:rsidP="002B08D3">
      <w:pPr>
        <w:pStyle w:val="TOC3"/>
        <w:rPr>
          <w:rFonts w:eastAsiaTheme="minorEastAsia" w:cstheme="minorBidi"/>
          <w:noProof/>
          <w:kern w:val="2"/>
          <w:sz w:val="24"/>
          <w:szCs w:val="24"/>
          <w14:ligatures w14:val="standardContextual"/>
        </w:rPr>
      </w:pPr>
      <w:hyperlink w:anchor="_Toc159851581"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HIPAA definitions</w:t>
        </w:r>
        <w:r w:rsidR="00164CB3">
          <w:rPr>
            <w:noProof/>
            <w:webHidden/>
          </w:rPr>
          <w:tab/>
        </w:r>
        <w:r w:rsidR="00164CB3">
          <w:rPr>
            <w:noProof/>
            <w:webHidden/>
          </w:rPr>
          <w:fldChar w:fldCharType="begin"/>
        </w:r>
        <w:r w:rsidR="00164CB3">
          <w:rPr>
            <w:noProof/>
            <w:webHidden/>
          </w:rPr>
          <w:instrText xml:space="preserve"> PAGEREF _Toc159851581 \h </w:instrText>
        </w:r>
        <w:r w:rsidR="00164CB3">
          <w:rPr>
            <w:noProof/>
            <w:webHidden/>
          </w:rPr>
        </w:r>
        <w:r w:rsidR="00164CB3">
          <w:rPr>
            <w:noProof/>
            <w:webHidden/>
          </w:rPr>
          <w:fldChar w:fldCharType="separate"/>
        </w:r>
        <w:r w:rsidR="00DE7A7E">
          <w:rPr>
            <w:noProof/>
            <w:webHidden/>
          </w:rPr>
          <w:t>78</w:t>
        </w:r>
        <w:r w:rsidR="00164CB3">
          <w:rPr>
            <w:noProof/>
            <w:webHidden/>
          </w:rPr>
          <w:fldChar w:fldCharType="end"/>
        </w:r>
      </w:hyperlink>
    </w:p>
    <w:p w14:paraId="4BEA37A7" w14:textId="4BD57F1E" w:rsidR="00164CB3" w:rsidRDefault="00000000" w:rsidP="002B08D3">
      <w:pPr>
        <w:pStyle w:val="TOC3"/>
        <w:rPr>
          <w:rFonts w:eastAsiaTheme="minorEastAsia" w:cstheme="minorBidi"/>
          <w:noProof/>
          <w:kern w:val="2"/>
          <w:sz w:val="24"/>
          <w:szCs w:val="24"/>
          <w14:ligatures w14:val="standardContextual"/>
        </w:rPr>
      </w:pPr>
      <w:hyperlink w:anchor="_Toc159851582"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HIPAA does not apply when Ohio Public Records Act requires release</w:t>
        </w:r>
        <w:r w:rsidR="00164CB3">
          <w:rPr>
            <w:noProof/>
            <w:webHidden/>
          </w:rPr>
          <w:tab/>
        </w:r>
        <w:r w:rsidR="00164CB3">
          <w:rPr>
            <w:noProof/>
            <w:webHidden/>
          </w:rPr>
          <w:fldChar w:fldCharType="begin"/>
        </w:r>
        <w:r w:rsidR="00164CB3">
          <w:rPr>
            <w:noProof/>
            <w:webHidden/>
          </w:rPr>
          <w:instrText xml:space="preserve"> PAGEREF _Toc159851582 \h </w:instrText>
        </w:r>
        <w:r w:rsidR="00164CB3">
          <w:rPr>
            <w:noProof/>
            <w:webHidden/>
          </w:rPr>
        </w:r>
        <w:r w:rsidR="00164CB3">
          <w:rPr>
            <w:noProof/>
            <w:webHidden/>
          </w:rPr>
          <w:fldChar w:fldCharType="separate"/>
        </w:r>
        <w:r w:rsidR="00DE7A7E">
          <w:rPr>
            <w:noProof/>
            <w:webHidden/>
          </w:rPr>
          <w:t>79</w:t>
        </w:r>
        <w:r w:rsidR="00164CB3">
          <w:rPr>
            <w:noProof/>
            <w:webHidden/>
          </w:rPr>
          <w:fldChar w:fldCharType="end"/>
        </w:r>
      </w:hyperlink>
    </w:p>
    <w:p w14:paraId="7365DDFA" w14:textId="291636FA"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83"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Ohio Personal Information Systems Act</w:t>
        </w:r>
        <w:r w:rsidR="00164CB3">
          <w:rPr>
            <w:noProof/>
            <w:webHidden/>
          </w:rPr>
          <w:tab/>
        </w:r>
        <w:r w:rsidR="00164CB3">
          <w:rPr>
            <w:noProof/>
            <w:webHidden/>
          </w:rPr>
          <w:fldChar w:fldCharType="begin"/>
        </w:r>
        <w:r w:rsidR="00164CB3">
          <w:rPr>
            <w:noProof/>
            <w:webHidden/>
          </w:rPr>
          <w:instrText xml:space="preserve"> PAGEREF _Toc159851583 \h </w:instrText>
        </w:r>
        <w:r w:rsidR="00164CB3">
          <w:rPr>
            <w:noProof/>
            <w:webHidden/>
          </w:rPr>
        </w:r>
        <w:r w:rsidR="00164CB3">
          <w:rPr>
            <w:noProof/>
            <w:webHidden/>
          </w:rPr>
          <w:fldChar w:fldCharType="separate"/>
        </w:r>
        <w:r w:rsidR="00DE7A7E">
          <w:rPr>
            <w:noProof/>
            <w:webHidden/>
          </w:rPr>
          <w:t>79</w:t>
        </w:r>
        <w:r w:rsidR="00164CB3">
          <w:rPr>
            <w:noProof/>
            <w:webHidden/>
          </w:rPr>
          <w:fldChar w:fldCharType="end"/>
        </w:r>
      </w:hyperlink>
    </w:p>
    <w:p w14:paraId="2601B7A2" w14:textId="13561159" w:rsidR="00164CB3" w:rsidRDefault="00000000" w:rsidP="002B08D3">
      <w:pPr>
        <w:pStyle w:val="TOC3"/>
        <w:rPr>
          <w:rFonts w:eastAsiaTheme="minorEastAsia" w:cstheme="minorBidi"/>
          <w:noProof/>
          <w:kern w:val="2"/>
          <w:sz w:val="24"/>
          <w:szCs w:val="24"/>
          <w14:ligatures w14:val="standardContextual"/>
        </w:rPr>
      </w:pPr>
      <w:hyperlink w:anchor="_Toc15985158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Definitions that apply to the information covered by PISA</w:t>
        </w:r>
        <w:r w:rsidR="00164CB3">
          <w:rPr>
            <w:noProof/>
            <w:webHidden/>
          </w:rPr>
          <w:tab/>
        </w:r>
        <w:r w:rsidR="00164CB3">
          <w:rPr>
            <w:noProof/>
            <w:webHidden/>
          </w:rPr>
          <w:fldChar w:fldCharType="begin"/>
        </w:r>
        <w:r w:rsidR="00164CB3">
          <w:rPr>
            <w:noProof/>
            <w:webHidden/>
          </w:rPr>
          <w:instrText xml:space="preserve"> PAGEREF _Toc159851584 \h </w:instrText>
        </w:r>
        <w:r w:rsidR="00164CB3">
          <w:rPr>
            <w:noProof/>
            <w:webHidden/>
          </w:rPr>
        </w:r>
        <w:r w:rsidR="00164CB3">
          <w:rPr>
            <w:noProof/>
            <w:webHidden/>
          </w:rPr>
          <w:fldChar w:fldCharType="separate"/>
        </w:r>
        <w:r w:rsidR="00DE7A7E">
          <w:rPr>
            <w:noProof/>
            <w:webHidden/>
          </w:rPr>
          <w:t>80</w:t>
        </w:r>
        <w:r w:rsidR="00164CB3">
          <w:rPr>
            <w:noProof/>
            <w:webHidden/>
          </w:rPr>
          <w:fldChar w:fldCharType="end"/>
        </w:r>
      </w:hyperlink>
    </w:p>
    <w:p w14:paraId="2AEE866A" w14:textId="28CBB7DB" w:rsidR="00164CB3" w:rsidRDefault="00000000" w:rsidP="002B08D3">
      <w:pPr>
        <w:pStyle w:val="TOC3"/>
        <w:rPr>
          <w:rFonts w:eastAsiaTheme="minorEastAsia" w:cstheme="minorBidi"/>
          <w:noProof/>
          <w:kern w:val="2"/>
          <w:sz w:val="24"/>
          <w:szCs w:val="24"/>
          <w14:ligatures w14:val="standardContextual"/>
        </w:rPr>
      </w:pPr>
      <w:hyperlink w:anchor="_Toc159851585"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Sanctions for violations of PISA</w:t>
        </w:r>
        <w:r w:rsidR="00164CB3">
          <w:rPr>
            <w:noProof/>
            <w:webHidden/>
          </w:rPr>
          <w:tab/>
        </w:r>
        <w:r w:rsidR="00164CB3">
          <w:rPr>
            <w:noProof/>
            <w:webHidden/>
          </w:rPr>
          <w:fldChar w:fldCharType="begin"/>
        </w:r>
        <w:r w:rsidR="00164CB3">
          <w:rPr>
            <w:noProof/>
            <w:webHidden/>
          </w:rPr>
          <w:instrText xml:space="preserve"> PAGEREF _Toc159851585 \h </w:instrText>
        </w:r>
        <w:r w:rsidR="00164CB3">
          <w:rPr>
            <w:noProof/>
            <w:webHidden/>
          </w:rPr>
        </w:r>
        <w:r w:rsidR="00164CB3">
          <w:rPr>
            <w:noProof/>
            <w:webHidden/>
          </w:rPr>
          <w:fldChar w:fldCharType="separate"/>
        </w:r>
        <w:r w:rsidR="00DE7A7E">
          <w:rPr>
            <w:noProof/>
            <w:webHidden/>
          </w:rPr>
          <w:t>81</w:t>
        </w:r>
        <w:r w:rsidR="00164CB3">
          <w:rPr>
            <w:noProof/>
            <w:webHidden/>
          </w:rPr>
          <w:fldChar w:fldCharType="end"/>
        </w:r>
      </w:hyperlink>
    </w:p>
    <w:p w14:paraId="1BA74BB4" w14:textId="6AE89E9D"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586" w:history="1">
        <w:r w:rsidR="00164CB3" w:rsidRPr="00311922">
          <w:rPr>
            <w:rStyle w:val="Hyperlink"/>
            <w:noProof/>
          </w:rPr>
          <w:t>VI.</w:t>
        </w:r>
        <w:r w:rsidR="00164CB3">
          <w:rPr>
            <w:rFonts w:eastAsiaTheme="minorEastAsia" w:cstheme="minorBidi"/>
            <w:bCs w:val="0"/>
            <w:noProof/>
            <w:kern w:val="2"/>
            <w14:ligatures w14:val="standardContextual"/>
          </w:rPr>
          <w:tab/>
        </w:r>
        <w:r w:rsidR="00164CB3" w:rsidRPr="00311922">
          <w:rPr>
            <w:rStyle w:val="Hyperlink"/>
            <w:noProof/>
          </w:rPr>
          <w:t>Chapter Six: Enforcement and Liabilities</w:t>
        </w:r>
        <w:r w:rsidR="00164CB3">
          <w:rPr>
            <w:noProof/>
            <w:webHidden/>
          </w:rPr>
          <w:tab/>
        </w:r>
        <w:r w:rsidR="00164CB3">
          <w:rPr>
            <w:noProof/>
            <w:webHidden/>
          </w:rPr>
          <w:fldChar w:fldCharType="begin"/>
        </w:r>
        <w:r w:rsidR="00164CB3">
          <w:rPr>
            <w:noProof/>
            <w:webHidden/>
          </w:rPr>
          <w:instrText xml:space="preserve"> PAGEREF _Toc159851586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7C0FFEE5" w14:textId="0977DC89"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587"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Mandamus Lawsuit</w:t>
        </w:r>
        <w:r w:rsidR="00164CB3">
          <w:rPr>
            <w:noProof/>
            <w:webHidden/>
          </w:rPr>
          <w:tab/>
        </w:r>
        <w:r w:rsidR="00164CB3">
          <w:rPr>
            <w:noProof/>
            <w:webHidden/>
          </w:rPr>
          <w:fldChar w:fldCharType="begin"/>
        </w:r>
        <w:r w:rsidR="00164CB3">
          <w:rPr>
            <w:noProof/>
            <w:webHidden/>
          </w:rPr>
          <w:instrText xml:space="preserve"> PAGEREF _Toc159851587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0CB2947A" w14:textId="13741838" w:rsidR="00164CB3" w:rsidRDefault="00000000" w:rsidP="002B08D3">
      <w:pPr>
        <w:pStyle w:val="TOC3"/>
        <w:rPr>
          <w:rFonts w:eastAsiaTheme="minorEastAsia" w:cstheme="minorBidi"/>
          <w:noProof/>
          <w:kern w:val="2"/>
          <w:sz w:val="24"/>
          <w:szCs w:val="24"/>
          <w14:ligatures w14:val="standardContextual"/>
        </w:rPr>
      </w:pPr>
      <w:hyperlink w:anchor="_Toc15985158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Parties</w:t>
        </w:r>
        <w:r w:rsidR="00164CB3">
          <w:rPr>
            <w:noProof/>
            <w:webHidden/>
          </w:rPr>
          <w:tab/>
        </w:r>
        <w:r w:rsidR="00164CB3">
          <w:rPr>
            <w:noProof/>
            <w:webHidden/>
          </w:rPr>
          <w:fldChar w:fldCharType="begin"/>
        </w:r>
        <w:r w:rsidR="00164CB3">
          <w:rPr>
            <w:noProof/>
            <w:webHidden/>
          </w:rPr>
          <w:instrText xml:space="preserve"> PAGEREF _Toc159851588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39F6B468" w14:textId="09BCD380" w:rsidR="00164CB3" w:rsidRDefault="00000000" w:rsidP="002B08D3">
      <w:pPr>
        <w:pStyle w:val="TOC3"/>
        <w:rPr>
          <w:rFonts w:eastAsiaTheme="minorEastAsia" w:cstheme="minorBidi"/>
          <w:noProof/>
          <w:kern w:val="2"/>
          <w:sz w:val="24"/>
          <w:szCs w:val="24"/>
          <w14:ligatures w14:val="standardContextual"/>
        </w:rPr>
      </w:pPr>
      <w:hyperlink w:anchor="_Toc15985158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Where to file</w:t>
        </w:r>
        <w:r w:rsidR="00164CB3">
          <w:rPr>
            <w:noProof/>
            <w:webHidden/>
          </w:rPr>
          <w:tab/>
        </w:r>
        <w:r w:rsidR="00164CB3">
          <w:rPr>
            <w:noProof/>
            <w:webHidden/>
          </w:rPr>
          <w:fldChar w:fldCharType="begin"/>
        </w:r>
        <w:r w:rsidR="00164CB3">
          <w:rPr>
            <w:noProof/>
            <w:webHidden/>
          </w:rPr>
          <w:instrText xml:space="preserve"> PAGEREF _Toc159851589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4873DA70" w14:textId="6B438706" w:rsidR="00164CB3" w:rsidRDefault="00000000" w:rsidP="002B08D3">
      <w:pPr>
        <w:pStyle w:val="TOC3"/>
        <w:rPr>
          <w:rFonts w:eastAsiaTheme="minorEastAsia" w:cstheme="minorBidi"/>
          <w:noProof/>
          <w:kern w:val="2"/>
          <w:sz w:val="24"/>
          <w:szCs w:val="24"/>
          <w14:ligatures w14:val="standardContextual"/>
        </w:rPr>
      </w:pPr>
      <w:hyperlink w:anchor="_Toc15985159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When to file</w:t>
        </w:r>
        <w:r w:rsidR="00164CB3">
          <w:rPr>
            <w:noProof/>
            <w:webHidden/>
          </w:rPr>
          <w:tab/>
        </w:r>
        <w:r w:rsidR="00164CB3">
          <w:rPr>
            <w:noProof/>
            <w:webHidden/>
          </w:rPr>
          <w:fldChar w:fldCharType="begin"/>
        </w:r>
        <w:r w:rsidR="00164CB3">
          <w:rPr>
            <w:noProof/>
            <w:webHidden/>
          </w:rPr>
          <w:instrText xml:space="preserve"> PAGEREF _Toc159851590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1F8FE0AB" w14:textId="3984EF62" w:rsidR="00164CB3" w:rsidRDefault="00000000" w:rsidP="002B08D3">
      <w:pPr>
        <w:pStyle w:val="TOC3"/>
        <w:rPr>
          <w:rFonts w:eastAsiaTheme="minorEastAsia" w:cstheme="minorBidi"/>
          <w:noProof/>
          <w:kern w:val="2"/>
          <w:sz w:val="24"/>
          <w:szCs w:val="24"/>
          <w14:ligatures w14:val="standardContextual"/>
        </w:rPr>
      </w:pPr>
      <w:hyperlink w:anchor="_Toc15985159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Discovery</w:t>
        </w:r>
        <w:r w:rsidR="00164CB3">
          <w:rPr>
            <w:noProof/>
            <w:webHidden/>
          </w:rPr>
          <w:tab/>
        </w:r>
        <w:r w:rsidR="00164CB3">
          <w:rPr>
            <w:noProof/>
            <w:webHidden/>
          </w:rPr>
          <w:fldChar w:fldCharType="begin"/>
        </w:r>
        <w:r w:rsidR="00164CB3">
          <w:rPr>
            <w:noProof/>
            <w:webHidden/>
          </w:rPr>
          <w:instrText xml:space="preserve"> PAGEREF _Toc159851591 \h </w:instrText>
        </w:r>
        <w:r w:rsidR="00164CB3">
          <w:rPr>
            <w:noProof/>
            <w:webHidden/>
          </w:rPr>
        </w:r>
        <w:r w:rsidR="00164CB3">
          <w:rPr>
            <w:noProof/>
            <w:webHidden/>
          </w:rPr>
          <w:fldChar w:fldCharType="separate"/>
        </w:r>
        <w:r w:rsidR="00DE7A7E">
          <w:rPr>
            <w:noProof/>
            <w:webHidden/>
          </w:rPr>
          <w:t>85</w:t>
        </w:r>
        <w:r w:rsidR="00164CB3">
          <w:rPr>
            <w:noProof/>
            <w:webHidden/>
          </w:rPr>
          <w:fldChar w:fldCharType="end"/>
        </w:r>
      </w:hyperlink>
    </w:p>
    <w:p w14:paraId="6DAABBC3" w14:textId="71CA6471" w:rsidR="00164CB3" w:rsidRDefault="00000000" w:rsidP="002B08D3">
      <w:pPr>
        <w:pStyle w:val="TOC3"/>
        <w:rPr>
          <w:rFonts w:eastAsiaTheme="minorEastAsia" w:cstheme="minorBidi"/>
          <w:noProof/>
          <w:kern w:val="2"/>
          <w:sz w:val="24"/>
          <w:szCs w:val="24"/>
          <w14:ligatures w14:val="standardContextual"/>
        </w:rPr>
      </w:pPr>
      <w:hyperlink w:anchor="_Toc159851592"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Requirements to prevail</w:t>
        </w:r>
        <w:r w:rsidR="00164CB3">
          <w:rPr>
            <w:noProof/>
            <w:webHidden/>
          </w:rPr>
          <w:tab/>
        </w:r>
        <w:r w:rsidR="00164CB3">
          <w:rPr>
            <w:noProof/>
            <w:webHidden/>
          </w:rPr>
          <w:fldChar w:fldCharType="begin"/>
        </w:r>
        <w:r w:rsidR="00164CB3">
          <w:rPr>
            <w:noProof/>
            <w:webHidden/>
          </w:rPr>
          <w:instrText xml:space="preserve"> PAGEREF _Toc159851592 \h </w:instrText>
        </w:r>
        <w:r w:rsidR="00164CB3">
          <w:rPr>
            <w:noProof/>
            <w:webHidden/>
          </w:rPr>
        </w:r>
        <w:r w:rsidR="00164CB3">
          <w:rPr>
            <w:noProof/>
            <w:webHidden/>
          </w:rPr>
          <w:fldChar w:fldCharType="separate"/>
        </w:r>
        <w:r w:rsidR="00DE7A7E">
          <w:rPr>
            <w:noProof/>
            <w:webHidden/>
          </w:rPr>
          <w:t>86</w:t>
        </w:r>
        <w:r w:rsidR="00164CB3">
          <w:rPr>
            <w:noProof/>
            <w:webHidden/>
          </w:rPr>
          <w:fldChar w:fldCharType="end"/>
        </w:r>
      </w:hyperlink>
    </w:p>
    <w:p w14:paraId="49F21828" w14:textId="212D498C" w:rsidR="00164CB3" w:rsidRDefault="00000000" w:rsidP="002B08D3">
      <w:pPr>
        <w:pStyle w:val="TOC3"/>
        <w:rPr>
          <w:rFonts w:eastAsiaTheme="minorEastAsia" w:cstheme="minorBidi"/>
          <w:noProof/>
          <w:kern w:val="2"/>
          <w:sz w:val="24"/>
          <w:szCs w:val="24"/>
          <w14:ligatures w14:val="standardContextual"/>
        </w:rPr>
      </w:pPr>
      <w:hyperlink w:anchor="_Toc159851593"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Liabilities of the public office under the Public Records Act</w:t>
        </w:r>
        <w:r w:rsidR="00164CB3">
          <w:rPr>
            <w:noProof/>
            <w:webHidden/>
          </w:rPr>
          <w:tab/>
        </w:r>
        <w:r w:rsidR="00164CB3">
          <w:rPr>
            <w:noProof/>
            <w:webHidden/>
          </w:rPr>
          <w:fldChar w:fldCharType="begin"/>
        </w:r>
        <w:r w:rsidR="00164CB3">
          <w:rPr>
            <w:noProof/>
            <w:webHidden/>
          </w:rPr>
          <w:instrText xml:space="preserve"> PAGEREF _Toc159851593 \h </w:instrText>
        </w:r>
        <w:r w:rsidR="00164CB3">
          <w:rPr>
            <w:noProof/>
            <w:webHidden/>
          </w:rPr>
        </w:r>
        <w:r w:rsidR="00164CB3">
          <w:rPr>
            <w:noProof/>
            <w:webHidden/>
          </w:rPr>
          <w:fldChar w:fldCharType="separate"/>
        </w:r>
        <w:r w:rsidR="00DE7A7E">
          <w:rPr>
            <w:noProof/>
            <w:webHidden/>
          </w:rPr>
          <w:t>86</w:t>
        </w:r>
        <w:r w:rsidR="00164CB3">
          <w:rPr>
            <w:noProof/>
            <w:webHidden/>
          </w:rPr>
          <w:fldChar w:fldCharType="end"/>
        </w:r>
      </w:hyperlink>
    </w:p>
    <w:p w14:paraId="67959B28" w14:textId="143626CB" w:rsidR="00164CB3" w:rsidRDefault="00000000" w:rsidP="002B08D3">
      <w:pPr>
        <w:pStyle w:val="TOC4"/>
        <w:rPr>
          <w:rFonts w:eastAsiaTheme="minorEastAsia" w:cstheme="minorBidi"/>
          <w:noProof/>
          <w:kern w:val="2"/>
          <w:sz w:val="24"/>
          <w:szCs w:val="24"/>
          <w14:ligatures w14:val="standardContextual"/>
        </w:rPr>
      </w:pPr>
      <w:hyperlink w:anchor="_Toc15985159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Attorney fees</w:t>
        </w:r>
        <w:r w:rsidR="00164CB3">
          <w:rPr>
            <w:noProof/>
            <w:webHidden/>
          </w:rPr>
          <w:tab/>
        </w:r>
        <w:r w:rsidR="00164CB3">
          <w:rPr>
            <w:noProof/>
            <w:webHidden/>
          </w:rPr>
          <w:fldChar w:fldCharType="begin"/>
        </w:r>
        <w:r w:rsidR="00164CB3">
          <w:rPr>
            <w:noProof/>
            <w:webHidden/>
          </w:rPr>
          <w:instrText xml:space="preserve"> PAGEREF _Toc159851594 \h </w:instrText>
        </w:r>
        <w:r w:rsidR="00164CB3">
          <w:rPr>
            <w:noProof/>
            <w:webHidden/>
          </w:rPr>
        </w:r>
        <w:r w:rsidR="00164CB3">
          <w:rPr>
            <w:noProof/>
            <w:webHidden/>
          </w:rPr>
          <w:fldChar w:fldCharType="separate"/>
        </w:r>
        <w:r w:rsidR="00DE7A7E">
          <w:rPr>
            <w:noProof/>
            <w:webHidden/>
          </w:rPr>
          <w:t>86</w:t>
        </w:r>
        <w:r w:rsidR="00164CB3">
          <w:rPr>
            <w:noProof/>
            <w:webHidden/>
          </w:rPr>
          <w:fldChar w:fldCharType="end"/>
        </w:r>
      </w:hyperlink>
    </w:p>
    <w:p w14:paraId="716E4B8F" w14:textId="2985E868" w:rsidR="00164CB3" w:rsidRDefault="00000000" w:rsidP="002B08D3">
      <w:pPr>
        <w:pStyle w:val="TOC4"/>
        <w:rPr>
          <w:rFonts w:eastAsiaTheme="minorEastAsia" w:cstheme="minorBidi"/>
          <w:noProof/>
          <w:kern w:val="2"/>
          <w:sz w:val="24"/>
          <w:szCs w:val="24"/>
          <w14:ligatures w14:val="standardContextual"/>
        </w:rPr>
      </w:pPr>
      <w:hyperlink w:anchor="_Toc15985159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Statutory damages</w:t>
        </w:r>
        <w:r w:rsidR="00164CB3">
          <w:rPr>
            <w:noProof/>
            <w:webHidden/>
          </w:rPr>
          <w:tab/>
        </w:r>
        <w:r w:rsidR="00164CB3">
          <w:rPr>
            <w:noProof/>
            <w:webHidden/>
          </w:rPr>
          <w:fldChar w:fldCharType="begin"/>
        </w:r>
        <w:r w:rsidR="00164CB3">
          <w:rPr>
            <w:noProof/>
            <w:webHidden/>
          </w:rPr>
          <w:instrText xml:space="preserve"> PAGEREF _Toc159851595 \h </w:instrText>
        </w:r>
        <w:r w:rsidR="00164CB3">
          <w:rPr>
            <w:noProof/>
            <w:webHidden/>
          </w:rPr>
        </w:r>
        <w:r w:rsidR="00164CB3">
          <w:rPr>
            <w:noProof/>
            <w:webHidden/>
          </w:rPr>
          <w:fldChar w:fldCharType="separate"/>
        </w:r>
        <w:r w:rsidR="00DE7A7E">
          <w:rPr>
            <w:noProof/>
            <w:webHidden/>
          </w:rPr>
          <w:t>87</w:t>
        </w:r>
        <w:r w:rsidR="00164CB3">
          <w:rPr>
            <w:noProof/>
            <w:webHidden/>
          </w:rPr>
          <w:fldChar w:fldCharType="end"/>
        </w:r>
      </w:hyperlink>
    </w:p>
    <w:p w14:paraId="2F559AB8" w14:textId="762594FC" w:rsidR="00164CB3" w:rsidRDefault="00000000" w:rsidP="002B08D3">
      <w:pPr>
        <w:pStyle w:val="TOC4"/>
        <w:rPr>
          <w:rFonts w:eastAsiaTheme="minorEastAsia" w:cstheme="minorBidi"/>
          <w:noProof/>
          <w:kern w:val="2"/>
          <w:sz w:val="24"/>
          <w:szCs w:val="24"/>
          <w14:ligatures w14:val="standardContextual"/>
        </w:rPr>
      </w:pPr>
      <w:hyperlink w:anchor="_Toc15985159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Court costs</w:t>
        </w:r>
        <w:r w:rsidR="00164CB3">
          <w:rPr>
            <w:noProof/>
            <w:webHidden/>
          </w:rPr>
          <w:tab/>
        </w:r>
        <w:r w:rsidR="00164CB3">
          <w:rPr>
            <w:noProof/>
            <w:webHidden/>
          </w:rPr>
          <w:fldChar w:fldCharType="begin"/>
        </w:r>
        <w:r w:rsidR="00164CB3">
          <w:rPr>
            <w:noProof/>
            <w:webHidden/>
          </w:rPr>
          <w:instrText xml:space="preserve"> PAGEREF _Toc159851596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021D62BC" w14:textId="1389187C" w:rsidR="00164CB3" w:rsidRDefault="00000000" w:rsidP="002B08D3">
      <w:pPr>
        <w:pStyle w:val="TOC4"/>
        <w:rPr>
          <w:rFonts w:eastAsiaTheme="minorEastAsia" w:cstheme="minorBidi"/>
          <w:noProof/>
          <w:kern w:val="2"/>
          <w:sz w:val="24"/>
          <w:szCs w:val="24"/>
          <w14:ligatures w14:val="standardContextual"/>
        </w:rPr>
      </w:pPr>
      <w:hyperlink w:anchor="_Toc159851597"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Recovery of deleted email records</w:t>
        </w:r>
        <w:r w:rsidR="00164CB3">
          <w:rPr>
            <w:noProof/>
            <w:webHidden/>
          </w:rPr>
          <w:tab/>
        </w:r>
        <w:r w:rsidR="00164CB3">
          <w:rPr>
            <w:noProof/>
            <w:webHidden/>
          </w:rPr>
          <w:fldChar w:fldCharType="begin"/>
        </w:r>
        <w:r w:rsidR="00164CB3">
          <w:rPr>
            <w:noProof/>
            <w:webHidden/>
          </w:rPr>
          <w:instrText xml:space="preserve"> PAGEREF _Toc159851597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3C616A43" w14:textId="4EAE12BC" w:rsidR="00164CB3" w:rsidRDefault="00000000" w:rsidP="002B08D3">
      <w:pPr>
        <w:pStyle w:val="TOC3"/>
        <w:rPr>
          <w:rFonts w:eastAsiaTheme="minorEastAsia" w:cstheme="minorBidi"/>
          <w:noProof/>
          <w:kern w:val="2"/>
          <w:sz w:val="24"/>
          <w:szCs w:val="24"/>
          <w14:ligatures w14:val="standardContextual"/>
        </w:rPr>
      </w:pPr>
      <w:hyperlink w:anchor="_Toc159851598"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Liabilities applicable to either party</w:t>
        </w:r>
        <w:r w:rsidR="00164CB3">
          <w:rPr>
            <w:noProof/>
            <w:webHidden/>
          </w:rPr>
          <w:tab/>
        </w:r>
        <w:r w:rsidR="00164CB3">
          <w:rPr>
            <w:noProof/>
            <w:webHidden/>
          </w:rPr>
          <w:fldChar w:fldCharType="begin"/>
        </w:r>
        <w:r w:rsidR="00164CB3">
          <w:rPr>
            <w:noProof/>
            <w:webHidden/>
          </w:rPr>
          <w:instrText xml:space="preserve"> PAGEREF _Toc159851598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00366D61" w14:textId="3236857C" w:rsidR="00164CB3" w:rsidRDefault="00000000" w:rsidP="002B08D3">
      <w:pPr>
        <w:pStyle w:val="TOC4"/>
        <w:rPr>
          <w:rFonts w:eastAsiaTheme="minorEastAsia" w:cstheme="minorBidi"/>
          <w:noProof/>
          <w:kern w:val="2"/>
          <w:sz w:val="24"/>
          <w:szCs w:val="24"/>
          <w14:ligatures w14:val="standardContextual"/>
        </w:rPr>
      </w:pPr>
      <w:hyperlink w:anchor="_Toc159851599"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Frivolous conduct</w:t>
        </w:r>
        <w:r w:rsidR="00164CB3">
          <w:rPr>
            <w:noProof/>
            <w:webHidden/>
          </w:rPr>
          <w:tab/>
        </w:r>
        <w:r w:rsidR="00164CB3">
          <w:rPr>
            <w:noProof/>
            <w:webHidden/>
          </w:rPr>
          <w:fldChar w:fldCharType="begin"/>
        </w:r>
        <w:r w:rsidR="00164CB3">
          <w:rPr>
            <w:noProof/>
            <w:webHidden/>
          </w:rPr>
          <w:instrText xml:space="preserve"> PAGEREF _Toc159851599 \h </w:instrText>
        </w:r>
        <w:r w:rsidR="00164CB3">
          <w:rPr>
            <w:noProof/>
            <w:webHidden/>
          </w:rPr>
        </w:r>
        <w:r w:rsidR="00164CB3">
          <w:rPr>
            <w:noProof/>
            <w:webHidden/>
          </w:rPr>
          <w:fldChar w:fldCharType="separate"/>
        </w:r>
        <w:r w:rsidR="00DE7A7E">
          <w:rPr>
            <w:noProof/>
            <w:webHidden/>
          </w:rPr>
          <w:t>88</w:t>
        </w:r>
        <w:r w:rsidR="00164CB3">
          <w:rPr>
            <w:noProof/>
            <w:webHidden/>
          </w:rPr>
          <w:fldChar w:fldCharType="end"/>
        </w:r>
      </w:hyperlink>
    </w:p>
    <w:p w14:paraId="430ECEF8" w14:textId="1EE65DC3" w:rsidR="00164CB3" w:rsidRDefault="00000000" w:rsidP="002B08D3">
      <w:pPr>
        <w:pStyle w:val="TOC4"/>
        <w:rPr>
          <w:rFonts w:eastAsiaTheme="minorEastAsia" w:cstheme="minorBidi"/>
          <w:noProof/>
          <w:kern w:val="2"/>
          <w:sz w:val="24"/>
          <w:szCs w:val="24"/>
          <w14:ligatures w14:val="standardContextual"/>
        </w:rPr>
      </w:pPr>
      <w:hyperlink w:anchor="_Toc159851600"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Civil Rule 11</w:t>
        </w:r>
        <w:r w:rsidR="00164CB3">
          <w:rPr>
            <w:noProof/>
            <w:webHidden/>
          </w:rPr>
          <w:tab/>
        </w:r>
        <w:r w:rsidR="00164CB3">
          <w:rPr>
            <w:noProof/>
            <w:webHidden/>
          </w:rPr>
          <w:fldChar w:fldCharType="begin"/>
        </w:r>
        <w:r w:rsidR="00164CB3">
          <w:rPr>
            <w:noProof/>
            <w:webHidden/>
          </w:rPr>
          <w:instrText xml:space="preserve"> PAGEREF _Toc159851600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2A26EACB" w14:textId="3142E43B"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01"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Court of Claims Procedure</w:t>
        </w:r>
        <w:r w:rsidR="00164CB3">
          <w:rPr>
            <w:noProof/>
            <w:webHidden/>
          </w:rPr>
          <w:tab/>
        </w:r>
        <w:r w:rsidR="00164CB3">
          <w:rPr>
            <w:noProof/>
            <w:webHidden/>
          </w:rPr>
          <w:fldChar w:fldCharType="begin"/>
        </w:r>
        <w:r w:rsidR="00164CB3">
          <w:rPr>
            <w:noProof/>
            <w:webHidden/>
          </w:rPr>
          <w:instrText xml:space="preserve"> PAGEREF _Toc159851601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320A48C9" w14:textId="20C02AB0" w:rsidR="00164CB3" w:rsidRDefault="00000000" w:rsidP="002B08D3">
      <w:pPr>
        <w:pStyle w:val="TOC3"/>
        <w:rPr>
          <w:rFonts w:eastAsiaTheme="minorEastAsia" w:cstheme="minorBidi"/>
          <w:noProof/>
          <w:kern w:val="2"/>
          <w:sz w:val="24"/>
          <w:szCs w:val="24"/>
          <w14:ligatures w14:val="standardContextual"/>
        </w:rPr>
      </w:pPr>
      <w:hyperlink w:anchor="_Toc15985160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Filing procedure and initial review</w:t>
        </w:r>
        <w:r w:rsidR="00164CB3">
          <w:rPr>
            <w:noProof/>
            <w:webHidden/>
          </w:rPr>
          <w:tab/>
        </w:r>
        <w:r w:rsidR="00164CB3">
          <w:rPr>
            <w:noProof/>
            <w:webHidden/>
          </w:rPr>
          <w:fldChar w:fldCharType="begin"/>
        </w:r>
        <w:r w:rsidR="00164CB3">
          <w:rPr>
            <w:noProof/>
            <w:webHidden/>
          </w:rPr>
          <w:instrText xml:space="preserve"> PAGEREF _Toc159851602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4F971518" w14:textId="74E5D248" w:rsidR="00164CB3" w:rsidRDefault="00000000" w:rsidP="002B08D3">
      <w:pPr>
        <w:pStyle w:val="TOC3"/>
        <w:rPr>
          <w:rFonts w:eastAsiaTheme="minorEastAsia" w:cstheme="minorBidi"/>
          <w:noProof/>
          <w:kern w:val="2"/>
          <w:sz w:val="24"/>
          <w:szCs w:val="24"/>
          <w14:ligatures w14:val="standardContextual"/>
        </w:rPr>
      </w:pPr>
      <w:hyperlink w:anchor="_Toc15985160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Mediation</w:t>
        </w:r>
        <w:r w:rsidR="00164CB3">
          <w:rPr>
            <w:noProof/>
            <w:webHidden/>
          </w:rPr>
          <w:tab/>
        </w:r>
        <w:r w:rsidR="00164CB3">
          <w:rPr>
            <w:noProof/>
            <w:webHidden/>
          </w:rPr>
          <w:fldChar w:fldCharType="begin"/>
        </w:r>
        <w:r w:rsidR="00164CB3">
          <w:rPr>
            <w:noProof/>
            <w:webHidden/>
          </w:rPr>
          <w:instrText xml:space="preserve"> PAGEREF _Toc159851603 \h </w:instrText>
        </w:r>
        <w:r w:rsidR="00164CB3">
          <w:rPr>
            <w:noProof/>
            <w:webHidden/>
          </w:rPr>
        </w:r>
        <w:r w:rsidR="00164CB3">
          <w:rPr>
            <w:noProof/>
            <w:webHidden/>
          </w:rPr>
          <w:fldChar w:fldCharType="separate"/>
        </w:r>
        <w:r w:rsidR="00DE7A7E">
          <w:rPr>
            <w:noProof/>
            <w:webHidden/>
          </w:rPr>
          <w:t>89</w:t>
        </w:r>
        <w:r w:rsidR="00164CB3">
          <w:rPr>
            <w:noProof/>
            <w:webHidden/>
          </w:rPr>
          <w:fldChar w:fldCharType="end"/>
        </w:r>
      </w:hyperlink>
    </w:p>
    <w:p w14:paraId="72111DE5" w14:textId="4AB3E662" w:rsidR="00164CB3" w:rsidRDefault="00000000" w:rsidP="002B08D3">
      <w:pPr>
        <w:pStyle w:val="TOC3"/>
        <w:rPr>
          <w:rFonts w:eastAsiaTheme="minorEastAsia" w:cstheme="minorBidi"/>
          <w:noProof/>
          <w:kern w:val="2"/>
          <w:sz w:val="24"/>
          <w:szCs w:val="24"/>
          <w14:ligatures w14:val="standardContextual"/>
        </w:rPr>
      </w:pPr>
      <w:hyperlink w:anchor="_Toc159851604"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Expedited briefing</w:t>
        </w:r>
        <w:r w:rsidR="00164CB3">
          <w:rPr>
            <w:noProof/>
            <w:webHidden/>
          </w:rPr>
          <w:tab/>
        </w:r>
        <w:r w:rsidR="00164CB3">
          <w:rPr>
            <w:noProof/>
            <w:webHidden/>
          </w:rPr>
          <w:fldChar w:fldCharType="begin"/>
        </w:r>
        <w:r w:rsidR="00164CB3">
          <w:rPr>
            <w:noProof/>
            <w:webHidden/>
          </w:rPr>
          <w:instrText xml:space="preserve"> PAGEREF _Toc159851604 \h </w:instrText>
        </w:r>
        <w:r w:rsidR="00164CB3">
          <w:rPr>
            <w:noProof/>
            <w:webHidden/>
          </w:rPr>
        </w:r>
        <w:r w:rsidR="00164CB3">
          <w:rPr>
            <w:noProof/>
            <w:webHidden/>
          </w:rPr>
          <w:fldChar w:fldCharType="separate"/>
        </w:r>
        <w:r w:rsidR="00DE7A7E">
          <w:rPr>
            <w:noProof/>
            <w:webHidden/>
          </w:rPr>
          <w:t>90</w:t>
        </w:r>
        <w:r w:rsidR="00164CB3">
          <w:rPr>
            <w:noProof/>
            <w:webHidden/>
          </w:rPr>
          <w:fldChar w:fldCharType="end"/>
        </w:r>
      </w:hyperlink>
    </w:p>
    <w:p w14:paraId="15B4D4C7" w14:textId="65511D0B" w:rsidR="00164CB3" w:rsidRDefault="00000000" w:rsidP="002B08D3">
      <w:pPr>
        <w:pStyle w:val="TOC3"/>
        <w:rPr>
          <w:rFonts w:eastAsiaTheme="minorEastAsia" w:cstheme="minorBidi"/>
          <w:noProof/>
          <w:kern w:val="2"/>
          <w:sz w:val="24"/>
          <w:szCs w:val="24"/>
          <w14:ligatures w14:val="standardContextual"/>
        </w:rPr>
      </w:pPr>
      <w:hyperlink w:anchor="_Toc159851605"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Requirements to prevail</w:t>
        </w:r>
        <w:r w:rsidR="00164CB3">
          <w:rPr>
            <w:noProof/>
            <w:webHidden/>
          </w:rPr>
          <w:tab/>
        </w:r>
        <w:r w:rsidR="00164CB3">
          <w:rPr>
            <w:noProof/>
            <w:webHidden/>
          </w:rPr>
          <w:fldChar w:fldCharType="begin"/>
        </w:r>
        <w:r w:rsidR="00164CB3">
          <w:rPr>
            <w:noProof/>
            <w:webHidden/>
          </w:rPr>
          <w:instrText xml:space="preserve"> PAGEREF _Toc159851605 \h </w:instrText>
        </w:r>
        <w:r w:rsidR="00164CB3">
          <w:rPr>
            <w:noProof/>
            <w:webHidden/>
          </w:rPr>
        </w:r>
        <w:r w:rsidR="00164CB3">
          <w:rPr>
            <w:noProof/>
            <w:webHidden/>
          </w:rPr>
          <w:fldChar w:fldCharType="separate"/>
        </w:r>
        <w:r w:rsidR="00DE7A7E">
          <w:rPr>
            <w:noProof/>
            <w:webHidden/>
          </w:rPr>
          <w:t>90</w:t>
        </w:r>
        <w:r w:rsidR="00164CB3">
          <w:rPr>
            <w:noProof/>
            <w:webHidden/>
          </w:rPr>
          <w:fldChar w:fldCharType="end"/>
        </w:r>
      </w:hyperlink>
    </w:p>
    <w:p w14:paraId="55539010" w14:textId="772214A5" w:rsidR="00164CB3" w:rsidRDefault="00000000" w:rsidP="002B08D3">
      <w:pPr>
        <w:pStyle w:val="TOC3"/>
        <w:rPr>
          <w:rFonts w:eastAsiaTheme="minorEastAsia" w:cstheme="minorBidi"/>
          <w:noProof/>
          <w:kern w:val="2"/>
          <w:sz w:val="24"/>
          <w:szCs w:val="24"/>
          <w14:ligatures w14:val="standardContextual"/>
        </w:rPr>
      </w:pPr>
      <w:hyperlink w:anchor="_Toc159851606"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Appeals from the Court of Claims</w:t>
        </w:r>
        <w:r w:rsidR="00164CB3">
          <w:rPr>
            <w:noProof/>
            <w:webHidden/>
          </w:rPr>
          <w:tab/>
        </w:r>
        <w:r w:rsidR="00164CB3">
          <w:rPr>
            <w:noProof/>
            <w:webHidden/>
          </w:rPr>
          <w:fldChar w:fldCharType="begin"/>
        </w:r>
        <w:r w:rsidR="00164CB3">
          <w:rPr>
            <w:noProof/>
            <w:webHidden/>
          </w:rPr>
          <w:instrText xml:space="preserve"> PAGEREF _Toc159851606 \h </w:instrText>
        </w:r>
        <w:r w:rsidR="00164CB3">
          <w:rPr>
            <w:noProof/>
            <w:webHidden/>
          </w:rPr>
        </w:r>
        <w:r w:rsidR="00164CB3">
          <w:rPr>
            <w:noProof/>
            <w:webHidden/>
          </w:rPr>
          <w:fldChar w:fldCharType="separate"/>
        </w:r>
        <w:r w:rsidR="00DE7A7E">
          <w:rPr>
            <w:noProof/>
            <w:webHidden/>
          </w:rPr>
          <w:t>90</w:t>
        </w:r>
        <w:r w:rsidR="00164CB3">
          <w:rPr>
            <w:noProof/>
            <w:webHidden/>
          </w:rPr>
          <w:fldChar w:fldCharType="end"/>
        </w:r>
      </w:hyperlink>
    </w:p>
    <w:p w14:paraId="01CA9161" w14:textId="32639981"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07" w:history="1">
        <w:r w:rsidR="00164CB3" w:rsidRPr="00311922">
          <w:rPr>
            <w:rStyle w:val="Hyperlink"/>
            <w:noProof/>
          </w:rPr>
          <w:t>VII.</w:t>
        </w:r>
        <w:r w:rsidR="00164CB3">
          <w:rPr>
            <w:rFonts w:eastAsiaTheme="minorEastAsia" w:cstheme="minorBidi"/>
            <w:bCs w:val="0"/>
            <w:noProof/>
            <w:kern w:val="2"/>
            <w14:ligatures w14:val="standardContextual"/>
          </w:rPr>
          <w:tab/>
        </w:r>
        <w:r w:rsidR="00164CB3" w:rsidRPr="00311922">
          <w:rPr>
            <w:rStyle w:val="Hyperlink"/>
            <w:noProof/>
          </w:rPr>
          <w:t>Chapter Seven:  Other Obligations of a Public Office</w:t>
        </w:r>
        <w:r w:rsidR="00164CB3">
          <w:rPr>
            <w:noProof/>
            <w:webHidden/>
          </w:rPr>
          <w:tab/>
        </w:r>
        <w:r w:rsidR="00164CB3">
          <w:rPr>
            <w:noProof/>
            <w:webHidden/>
          </w:rPr>
          <w:fldChar w:fldCharType="begin"/>
        </w:r>
        <w:r w:rsidR="00164CB3">
          <w:rPr>
            <w:noProof/>
            <w:webHidden/>
          </w:rPr>
          <w:instrText xml:space="preserve"> PAGEREF _Toc159851607 \h </w:instrText>
        </w:r>
        <w:r w:rsidR="00164CB3">
          <w:rPr>
            <w:noProof/>
            <w:webHidden/>
          </w:rPr>
        </w:r>
        <w:r w:rsidR="00164CB3">
          <w:rPr>
            <w:noProof/>
            <w:webHidden/>
          </w:rPr>
          <w:fldChar w:fldCharType="separate"/>
        </w:r>
        <w:r w:rsidR="00DE7A7E">
          <w:rPr>
            <w:noProof/>
            <w:webHidden/>
          </w:rPr>
          <w:t>95</w:t>
        </w:r>
        <w:r w:rsidR="00164CB3">
          <w:rPr>
            <w:noProof/>
            <w:webHidden/>
          </w:rPr>
          <w:fldChar w:fldCharType="end"/>
        </w:r>
      </w:hyperlink>
    </w:p>
    <w:p w14:paraId="5337E85D" w14:textId="09E79ABB"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08"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Records Management</w:t>
        </w:r>
        <w:r w:rsidR="00164CB3">
          <w:rPr>
            <w:noProof/>
            <w:webHidden/>
          </w:rPr>
          <w:tab/>
        </w:r>
        <w:r w:rsidR="00164CB3">
          <w:rPr>
            <w:noProof/>
            <w:webHidden/>
          </w:rPr>
          <w:fldChar w:fldCharType="begin"/>
        </w:r>
        <w:r w:rsidR="00164CB3">
          <w:rPr>
            <w:noProof/>
            <w:webHidden/>
          </w:rPr>
          <w:instrText xml:space="preserve"> PAGEREF _Toc159851608 \h </w:instrText>
        </w:r>
        <w:r w:rsidR="00164CB3">
          <w:rPr>
            <w:noProof/>
            <w:webHidden/>
          </w:rPr>
        </w:r>
        <w:r w:rsidR="00164CB3">
          <w:rPr>
            <w:noProof/>
            <w:webHidden/>
          </w:rPr>
          <w:fldChar w:fldCharType="separate"/>
        </w:r>
        <w:r w:rsidR="00DE7A7E">
          <w:rPr>
            <w:noProof/>
            <w:webHidden/>
          </w:rPr>
          <w:t>95</w:t>
        </w:r>
        <w:r w:rsidR="00164CB3">
          <w:rPr>
            <w:noProof/>
            <w:webHidden/>
          </w:rPr>
          <w:fldChar w:fldCharType="end"/>
        </w:r>
      </w:hyperlink>
    </w:p>
    <w:p w14:paraId="22DA257C" w14:textId="7B78C5EB" w:rsidR="00164CB3" w:rsidRDefault="00000000" w:rsidP="002B08D3">
      <w:pPr>
        <w:pStyle w:val="TOC3"/>
        <w:rPr>
          <w:rFonts w:eastAsiaTheme="minorEastAsia" w:cstheme="minorBidi"/>
          <w:noProof/>
          <w:kern w:val="2"/>
          <w:sz w:val="24"/>
          <w:szCs w:val="24"/>
          <w14:ligatures w14:val="standardContextual"/>
        </w:rPr>
      </w:pPr>
      <w:hyperlink w:anchor="_Toc159851609"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Records management programs</w:t>
        </w:r>
        <w:r w:rsidR="00164CB3">
          <w:rPr>
            <w:noProof/>
            <w:webHidden/>
          </w:rPr>
          <w:tab/>
        </w:r>
        <w:r w:rsidR="00164CB3">
          <w:rPr>
            <w:noProof/>
            <w:webHidden/>
          </w:rPr>
          <w:fldChar w:fldCharType="begin"/>
        </w:r>
        <w:r w:rsidR="00164CB3">
          <w:rPr>
            <w:noProof/>
            <w:webHidden/>
          </w:rPr>
          <w:instrText xml:space="preserve"> PAGEREF _Toc159851609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25DCCD88" w14:textId="58E49FB5" w:rsidR="00164CB3" w:rsidRDefault="00000000" w:rsidP="002B08D3">
      <w:pPr>
        <w:pStyle w:val="TOC4"/>
        <w:rPr>
          <w:rFonts w:eastAsiaTheme="minorEastAsia" w:cstheme="minorBidi"/>
          <w:noProof/>
          <w:kern w:val="2"/>
          <w:sz w:val="24"/>
          <w:szCs w:val="24"/>
          <w14:ligatures w14:val="standardContextual"/>
        </w:rPr>
      </w:pPr>
      <w:hyperlink w:anchor="_Toc159851610"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Local government records commissions</w:t>
        </w:r>
        <w:r w:rsidR="00164CB3">
          <w:rPr>
            <w:noProof/>
            <w:webHidden/>
          </w:rPr>
          <w:tab/>
        </w:r>
        <w:r w:rsidR="00164CB3">
          <w:rPr>
            <w:noProof/>
            <w:webHidden/>
          </w:rPr>
          <w:fldChar w:fldCharType="begin"/>
        </w:r>
        <w:r w:rsidR="00164CB3">
          <w:rPr>
            <w:noProof/>
            <w:webHidden/>
          </w:rPr>
          <w:instrText xml:space="preserve"> PAGEREF _Toc159851610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22C598D3" w14:textId="40EB68EE" w:rsidR="00164CB3" w:rsidRDefault="00000000" w:rsidP="002B08D3">
      <w:pPr>
        <w:pStyle w:val="TOC4"/>
        <w:rPr>
          <w:rFonts w:eastAsiaTheme="minorEastAsia" w:cstheme="minorBidi"/>
          <w:noProof/>
          <w:kern w:val="2"/>
          <w:sz w:val="24"/>
          <w:szCs w:val="24"/>
          <w14:ligatures w14:val="standardContextual"/>
        </w:rPr>
      </w:pPr>
      <w:hyperlink w:anchor="_Toc159851611"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State records program</w:t>
        </w:r>
        <w:r w:rsidR="00164CB3">
          <w:rPr>
            <w:noProof/>
            <w:webHidden/>
          </w:rPr>
          <w:tab/>
        </w:r>
        <w:r w:rsidR="00164CB3">
          <w:rPr>
            <w:noProof/>
            <w:webHidden/>
          </w:rPr>
          <w:fldChar w:fldCharType="begin"/>
        </w:r>
        <w:r w:rsidR="00164CB3">
          <w:rPr>
            <w:noProof/>
            <w:webHidden/>
          </w:rPr>
          <w:instrText xml:space="preserve"> PAGEREF _Toc159851611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118495E5" w14:textId="20D9C991" w:rsidR="00164CB3" w:rsidRDefault="00000000" w:rsidP="002B08D3">
      <w:pPr>
        <w:pStyle w:val="TOC4"/>
        <w:rPr>
          <w:rFonts w:eastAsiaTheme="minorEastAsia" w:cstheme="minorBidi"/>
          <w:noProof/>
          <w:kern w:val="2"/>
          <w:sz w:val="24"/>
          <w:szCs w:val="24"/>
          <w14:ligatures w14:val="standardContextual"/>
        </w:rPr>
      </w:pPr>
      <w:hyperlink w:anchor="_Toc159851612"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Records program for state-supported colleges and universities</w:t>
        </w:r>
        <w:r w:rsidR="00164CB3">
          <w:rPr>
            <w:noProof/>
            <w:webHidden/>
          </w:rPr>
          <w:tab/>
        </w:r>
        <w:r w:rsidR="00164CB3">
          <w:rPr>
            <w:noProof/>
            <w:webHidden/>
          </w:rPr>
          <w:fldChar w:fldCharType="begin"/>
        </w:r>
        <w:r w:rsidR="00164CB3">
          <w:rPr>
            <w:noProof/>
            <w:webHidden/>
          </w:rPr>
          <w:instrText xml:space="preserve"> PAGEREF _Toc159851612 \h </w:instrText>
        </w:r>
        <w:r w:rsidR="00164CB3">
          <w:rPr>
            <w:noProof/>
            <w:webHidden/>
          </w:rPr>
        </w:r>
        <w:r w:rsidR="00164CB3">
          <w:rPr>
            <w:noProof/>
            <w:webHidden/>
          </w:rPr>
          <w:fldChar w:fldCharType="separate"/>
        </w:r>
        <w:r w:rsidR="00DE7A7E">
          <w:rPr>
            <w:noProof/>
            <w:webHidden/>
          </w:rPr>
          <w:t>96</w:t>
        </w:r>
        <w:r w:rsidR="00164CB3">
          <w:rPr>
            <w:noProof/>
            <w:webHidden/>
          </w:rPr>
          <w:fldChar w:fldCharType="end"/>
        </w:r>
      </w:hyperlink>
    </w:p>
    <w:p w14:paraId="2677315C" w14:textId="781A7AB7" w:rsidR="00164CB3" w:rsidRDefault="00000000" w:rsidP="002B08D3">
      <w:pPr>
        <w:pStyle w:val="TOC3"/>
        <w:rPr>
          <w:rFonts w:eastAsiaTheme="minorEastAsia" w:cstheme="minorBidi"/>
          <w:noProof/>
          <w:kern w:val="2"/>
          <w:sz w:val="24"/>
          <w:szCs w:val="24"/>
          <w14:ligatures w14:val="standardContextual"/>
        </w:rPr>
      </w:pPr>
      <w:hyperlink w:anchor="_Toc159851613"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Records retention and disposition</w:t>
        </w:r>
        <w:r w:rsidR="00164CB3">
          <w:rPr>
            <w:noProof/>
            <w:webHidden/>
          </w:rPr>
          <w:tab/>
        </w:r>
        <w:r w:rsidR="00164CB3">
          <w:rPr>
            <w:noProof/>
            <w:webHidden/>
          </w:rPr>
          <w:fldChar w:fldCharType="begin"/>
        </w:r>
        <w:r w:rsidR="00164CB3">
          <w:rPr>
            <w:noProof/>
            <w:webHidden/>
          </w:rPr>
          <w:instrText xml:space="preserve"> PAGEREF _Toc159851613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45AD4E9E" w14:textId="5D88109C" w:rsidR="00164CB3" w:rsidRDefault="00000000" w:rsidP="002B08D3">
      <w:pPr>
        <w:pStyle w:val="TOC4"/>
        <w:rPr>
          <w:rFonts w:eastAsiaTheme="minorEastAsia" w:cstheme="minorBidi"/>
          <w:noProof/>
          <w:kern w:val="2"/>
          <w:sz w:val="24"/>
          <w:szCs w:val="24"/>
          <w14:ligatures w14:val="standardContextual"/>
        </w:rPr>
      </w:pPr>
      <w:hyperlink w:anchor="_Toc15985161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Retention schedules</w:t>
        </w:r>
        <w:r w:rsidR="00164CB3">
          <w:rPr>
            <w:noProof/>
            <w:webHidden/>
          </w:rPr>
          <w:tab/>
        </w:r>
        <w:r w:rsidR="00164CB3">
          <w:rPr>
            <w:noProof/>
            <w:webHidden/>
          </w:rPr>
          <w:fldChar w:fldCharType="begin"/>
        </w:r>
        <w:r w:rsidR="00164CB3">
          <w:rPr>
            <w:noProof/>
            <w:webHidden/>
          </w:rPr>
          <w:instrText xml:space="preserve"> PAGEREF _Toc159851614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24ADE615" w14:textId="7F78E499" w:rsidR="00164CB3" w:rsidRDefault="00000000" w:rsidP="002B08D3">
      <w:pPr>
        <w:pStyle w:val="TOC4"/>
        <w:rPr>
          <w:rFonts w:eastAsiaTheme="minorEastAsia" w:cstheme="minorBidi"/>
          <w:noProof/>
          <w:kern w:val="2"/>
          <w:sz w:val="24"/>
          <w:szCs w:val="24"/>
          <w14:ligatures w14:val="standardContextual"/>
        </w:rPr>
      </w:pPr>
      <w:hyperlink w:anchor="_Toc15985161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Transient records</w:t>
        </w:r>
        <w:r w:rsidR="00164CB3">
          <w:rPr>
            <w:noProof/>
            <w:webHidden/>
          </w:rPr>
          <w:tab/>
        </w:r>
        <w:r w:rsidR="00164CB3">
          <w:rPr>
            <w:noProof/>
            <w:webHidden/>
          </w:rPr>
          <w:fldChar w:fldCharType="begin"/>
        </w:r>
        <w:r w:rsidR="00164CB3">
          <w:rPr>
            <w:noProof/>
            <w:webHidden/>
          </w:rPr>
          <w:instrText xml:space="preserve"> PAGEREF _Toc159851615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3E606F92" w14:textId="389F1F2A" w:rsidR="00164CB3" w:rsidRDefault="00000000" w:rsidP="002B08D3">
      <w:pPr>
        <w:pStyle w:val="TOC4"/>
        <w:rPr>
          <w:rFonts w:eastAsiaTheme="minorEastAsia" w:cstheme="minorBidi"/>
          <w:noProof/>
          <w:kern w:val="2"/>
          <w:sz w:val="24"/>
          <w:szCs w:val="24"/>
          <w14:ligatures w14:val="standardContextual"/>
        </w:rPr>
      </w:pPr>
      <w:hyperlink w:anchor="_Toc15985161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Records disposition</w:t>
        </w:r>
        <w:r w:rsidR="00164CB3">
          <w:rPr>
            <w:noProof/>
            <w:webHidden/>
          </w:rPr>
          <w:tab/>
        </w:r>
        <w:r w:rsidR="00164CB3">
          <w:rPr>
            <w:noProof/>
            <w:webHidden/>
          </w:rPr>
          <w:fldChar w:fldCharType="begin"/>
        </w:r>
        <w:r w:rsidR="00164CB3">
          <w:rPr>
            <w:noProof/>
            <w:webHidden/>
          </w:rPr>
          <w:instrText xml:space="preserve"> PAGEREF _Toc159851616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14A519DF" w14:textId="0243321A" w:rsidR="00164CB3" w:rsidRDefault="00000000" w:rsidP="002B08D3">
      <w:pPr>
        <w:pStyle w:val="TOC3"/>
        <w:rPr>
          <w:rFonts w:eastAsiaTheme="minorEastAsia" w:cstheme="minorBidi"/>
          <w:noProof/>
          <w:kern w:val="2"/>
          <w:sz w:val="24"/>
          <w:szCs w:val="24"/>
          <w14:ligatures w14:val="standardContextual"/>
        </w:rPr>
      </w:pPr>
      <w:hyperlink w:anchor="_Toc159851617"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Liability for unauthorized destruction, damage, or disposal of records</w:t>
        </w:r>
        <w:r w:rsidR="00164CB3">
          <w:rPr>
            <w:noProof/>
            <w:webHidden/>
          </w:rPr>
          <w:tab/>
        </w:r>
        <w:r w:rsidR="00164CB3">
          <w:rPr>
            <w:noProof/>
            <w:webHidden/>
          </w:rPr>
          <w:fldChar w:fldCharType="begin"/>
        </w:r>
        <w:r w:rsidR="00164CB3">
          <w:rPr>
            <w:noProof/>
            <w:webHidden/>
          </w:rPr>
          <w:instrText xml:space="preserve"> PAGEREF _Toc159851617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1CDE2DB8" w14:textId="559EB6BF" w:rsidR="00164CB3" w:rsidRDefault="00000000" w:rsidP="002B08D3">
      <w:pPr>
        <w:pStyle w:val="TOC4"/>
        <w:rPr>
          <w:rFonts w:eastAsiaTheme="minorEastAsia" w:cstheme="minorBidi"/>
          <w:noProof/>
          <w:kern w:val="2"/>
          <w:sz w:val="24"/>
          <w:szCs w:val="24"/>
          <w14:ligatures w14:val="standardContextual"/>
        </w:rPr>
      </w:pPr>
      <w:hyperlink w:anchor="_Toc159851618"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Injunction and civil forfeiture</w:t>
        </w:r>
        <w:r w:rsidR="00164CB3">
          <w:rPr>
            <w:noProof/>
            <w:webHidden/>
          </w:rPr>
          <w:tab/>
        </w:r>
        <w:r w:rsidR="00164CB3">
          <w:rPr>
            <w:noProof/>
            <w:webHidden/>
          </w:rPr>
          <w:fldChar w:fldCharType="begin"/>
        </w:r>
        <w:r w:rsidR="00164CB3">
          <w:rPr>
            <w:noProof/>
            <w:webHidden/>
          </w:rPr>
          <w:instrText xml:space="preserve"> PAGEREF _Toc159851618 \h </w:instrText>
        </w:r>
        <w:r w:rsidR="00164CB3">
          <w:rPr>
            <w:noProof/>
            <w:webHidden/>
          </w:rPr>
        </w:r>
        <w:r w:rsidR="00164CB3">
          <w:rPr>
            <w:noProof/>
            <w:webHidden/>
          </w:rPr>
          <w:fldChar w:fldCharType="separate"/>
        </w:r>
        <w:r w:rsidR="00DE7A7E">
          <w:rPr>
            <w:noProof/>
            <w:webHidden/>
          </w:rPr>
          <w:t>97</w:t>
        </w:r>
        <w:r w:rsidR="00164CB3">
          <w:rPr>
            <w:noProof/>
            <w:webHidden/>
          </w:rPr>
          <w:fldChar w:fldCharType="end"/>
        </w:r>
      </w:hyperlink>
    </w:p>
    <w:p w14:paraId="128CBE0B" w14:textId="45050D81" w:rsidR="00164CB3" w:rsidRDefault="00000000" w:rsidP="002B08D3">
      <w:pPr>
        <w:pStyle w:val="TOC4"/>
        <w:rPr>
          <w:rFonts w:eastAsiaTheme="minorEastAsia" w:cstheme="minorBidi"/>
          <w:noProof/>
          <w:kern w:val="2"/>
          <w:sz w:val="24"/>
          <w:szCs w:val="24"/>
          <w14:ligatures w14:val="standardContextual"/>
        </w:rPr>
      </w:pPr>
      <w:hyperlink w:anchor="_Toc159851619"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Limits on filing action for unauthorized destruction, damage, or disposal</w:t>
        </w:r>
        <w:r w:rsidR="00164CB3">
          <w:rPr>
            <w:noProof/>
            <w:webHidden/>
          </w:rPr>
          <w:tab/>
        </w:r>
        <w:r w:rsidR="00164CB3">
          <w:rPr>
            <w:noProof/>
            <w:webHidden/>
          </w:rPr>
          <w:fldChar w:fldCharType="begin"/>
        </w:r>
        <w:r w:rsidR="00164CB3">
          <w:rPr>
            <w:noProof/>
            <w:webHidden/>
          </w:rPr>
          <w:instrText xml:space="preserve"> PAGEREF _Toc159851619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3C636970" w14:textId="1676ECE2" w:rsidR="00164CB3" w:rsidRDefault="00000000" w:rsidP="002B08D3">
      <w:pPr>
        <w:pStyle w:val="TOC4"/>
        <w:rPr>
          <w:rFonts w:eastAsiaTheme="minorEastAsia" w:cstheme="minorBidi"/>
          <w:noProof/>
          <w:kern w:val="2"/>
          <w:sz w:val="24"/>
          <w:szCs w:val="24"/>
          <w14:ligatures w14:val="standardContextual"/>
        </w:rPr>
      </w:pPr>
      <w:hyperlink w:anchor="_Toc159851620"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Attorney fees</w:t>
        </w:r>
        <w:r w:rsidR="00164CB3">
          <w:rPr>
            <w:noProof/>
            <w:webHidden/>
          </w:rPr>
          <w:tab/>
        </w:r>
        <w:r w:rsidR="00164CB3">
          <w:rPr>
            <w:noProof/>
            <w:webHidden/>
          </w:rPr>
          <w:fldChar w:fldCharType="begin"/>
        </w:r>
        <w:r w:rsidR="00164CB3">
          <w:rPr>
            <w:noProof/>
            <w:webHidden/>
          </w:rPr>
          <w:instrText xml:space="preserve"> PAGEREF _Toc159851620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4CD0C56E" w14:textId="06F2C14D" w:rsidR="00164CB3" w:rsidRDefault="00000000" w:rsidP="002B08D3">
      <w:pPr>
        <w:pStyle w:val="TOC3"/>
        <w:rPr>
          <w:rFonts w:eastAsiaTheme="minorEastAsia" w:cstheme="minorBidi"/>
          <w:noProof/>
          <w:kern w:val="2"/>
          <w:sz w:val="24"/>
          <w:szCs w:val="24"/>
          <w14:ligatures w14:val="standardContextual"/>
        </w:rPr>
      </w:pPr>
      <w:hyperlink w:anchor="_Toc15985162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Availability of records retention schedules</w:t>
        </w:r>
        <w:r w:rsidR="00164CB3">
          <w:rPr>
            <w:noProof/>
            <w:webHidden/>
          </w:rPr>
          <w:tab/>
        </w:r>
        <w:r w:rsidR="00164CB3">
          <w:rPr>
            <w:noProof/>
            <w:webHidden/>
          </w:rPr>
          <w:fldChar w:fldCharType="begin"/>
        </w:r>
        <w:r w:rsidR="00164CB3">
          <w:rPr>
            <w:noProof/>
            <w:webHidden/>
          </w:rPr>
          <w:instrText xml:space="preserve"> PAGEREF _Toc159851621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0032DB57" w14:textId="48AF3771" w:rsidR="00164CB3" w:rsidRDefault="00000000" w:rsidP="002B08D3">
      <w:pPr>
        <w:pStyle w:val="TOC2"/>
        <w:keepNext/>
        <w:keepLines/>
        <w:tabs>
          <w:tab w:val="left" w:pos="1540"/>
          <w:tab w:val="right" w:leader="dot" w:pos="9350"/>
        </w:tabs>
        <w:rPr>
          <w:rFonts w:eastAsiaTheme="minorEastAsia" w:cstheme="minorBidi"/>
          <w:b w:val="0"/>
          <w:bCs w:val="0"/>
          <w:noProof/>
          <w:kern w:val="2"/>
          <w:sz w:val="24"/>
          <w:szCs w:val="24"/>
          <w14:ligatures w14:val="standardContextual"/>
        </w:rPr>
      </w:pPr>
      <w:hyperlink w:anchor="_Toc159851622"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Records Management – Practical Pointers</w:t>
        </w:r>
        <w:r w:rsidR="00164CB3">
          <w:rPr>
            <w:noProof/>
            <w:webHidden/>
          </w:rPr>
          <w:tab/>
        </w:r>
        <w:r w:rsidR="00164CB3">
          <w:rPr>
            <w:noProof/>
            <w:webHidden/>
          </w:rPr>
          <w:fldChar w:fldCharType="begin"/>
        </w:r>
        <w:r w:rsidR="00164CB3">
          <w:rPr>
            <w:noProof/>
            <w:webHidden/>
          </w:rPr>
          <w:instrText xml:space="preserve"> PAGEREF _Toc159851622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3A154BEF" w14:textId="66C7BBFE" w:rsidR="00164CB3" w:rsidRDefault="00000000" w:rsidP="002B08D3">
      <w:pPr>
        <w:pStyle w:val="TOC3"/>
        <w:keepNext/>
        <w:keepLines/>
        <w:rPr>
          <w:rFonts w:eastAsiaTheme="minorEastAsia" w:cstheme="minorBidi"/>
          <w:noProof/>
          <w:kern w:val="2"/>
          <w:sz w:val="24"/>
          <w:szCs w:val="24"/>
          <w14:ligatures w14:val="standardContextual"/>
        </w:rPr>
      </w:pPr>
      <w:hyperlink w:anchor="_Toc159851623"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Fundamentals</w:t>
        </w:r>
        <w:r w:rsidR="00164CB3">
          <w:rPr>
            <w:noProof/>
            <w:webHidden/>
          </w:rPr>
          <w:tab/>
        </w:r>
        <w:r w:rsidR="00164CB3">
          <w:rPr>
            <w:noProof/>
            <w:webHidden/>
          </w:rPr>
          <w:fldChar w:fldCharType="begin"/>
        </w:r>
        <w:r w:rsidR="00164CB3">
          <w:rPr>
            <w:noProof/>
            <w:webHidden/>
          </w:rPr>
          <w:instrText xml:space="preserve"> PAGEREF _Toc159851623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5E0ED38F" w14:textId="56381C56" w:rsidR="00164CB3" w:rsidRDefault="00000000" w:rsidP="002B08D3">
      <w:pPr>
        <w:pStyle w:val="TOC4"/>
        <w:keepNext/>
        <w:keepLines/>
        <w:rPr>
          <w:rFonts w:eastAsiaTheme="minorEastAsia" w:cstheme="minorBidi"/>
          <w:noProof/>
          <w:kern w:val="2"/>
          <w:sz w:val="24"/>
          <w:szCs w:val="24"/>
          <w14:ligatures w14:val="standardContextual"/>
        </w:rPr>
      </w:pPr>
      <w:hyperlink w:anchor="_Toc159851624"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Create records retention schedules and follow them</w:t>
        </w:r>
        <w:r w:rsidR="00164CB3">
          <w:rPr>
            <w:noProof/>
            <w:webHidden/>
          </w:rPr>
          <w:tab/>
        </w:r>
        <w:r w:rsidR="00164CB3">
          <w:rPr>
            <w:noProof/>
            <w:webHidden/>
          </w:rPr>
          <w:fldChar w:fldCharType="begin"/>
        </w:r>
        <w:r w:rsidR="00164CB3">
          <w:rPr>
            <w:noProof/>
            <w:webHidden/>
          </w:rPr>
          <w:instrText xml:space="preserve"> PAGEREF _Toc159851624 \h </w:instrText>
        </w:r>
        <w:r w:rsidR="00164CB3">
          <w:rPr>
            <w:noProof/>
            <w:webHidden/>
          </w:rPr>
        </w:r>
        <w:r w:rsidR="00164CB3">
          <w:rPr>
            <w:noProof/>
            <w:webHidden/>
          </w:rPr>
          <w:fldChar w:fldCharType="separate"/>
        </w:r>
        <w:r w:rsidR="00DE7A7E">
          <w:rPr>
            <w:noProof/>
            <w:webHidden/>
          </w:rPr>
          <w:t>98</w:t>
        </w:r>
        <w:r w:rsidR="00164CB3">
          <w:rPr>
            <w:noProof/>
            <w:webHidden/>
          </w:rPr>
          <w:fldChar w:fldCharType="end"/>
        </w:r>
      </w:hyperlink>
    </w:p>
    <w:p w14:paraId="79D704F7" w14:textId="7575737A" w:rsidR="00164CB3" w:rsidRDefault="00000000" w:rsidP="002B08D3">
      <w:pPr>
        <w:pStyle w:val="TOC4"/>
        <w:keepNext/>
        <w:keepLines/>
        <w:rPr>
          <w:rFonts w:eastAsiaTheme="minorEastAsia" w:cstheme="minorBidi"/>
          <w:noProof/>
          <w:kern w:val="2"/>
          <w:sz w:val="24"/>
          <w:szCs w:val="24"/>
          <w14:ligatures w14:val="standardContextual"/>
        </w:rPr>
      </w:pPr>
      <w:hyperlink w:anchor="_Toc159851625"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Content—not medium—determines how long to keep a record</w:t>
        </w:r>
        <w:r w:rsidR="00164CB3">
          <w:rPr>
            <w:noProof/>
            <w:webHidden/>
          </w:rPr>
          <w:tab/>
        </w:r>
        <w:r w:rsidR="00164CB3">
          <w:rPr>
            <w:noProof/>
            <w:webHidden/>
          </w:rPr>
          <w:fldChar w:fldCharType="begin"/>
        </w:r>
        <w:r w:rsidR="00164CB3">
          <w:rPr>
            <w:noProof/>
            <w:webHidden/>
          </w:rPr>
          <w:instrText xml:space="preserve"> PAGEREF _Toc159851625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48E666C6" w14:textId="0617A65B" w:rsidR="00164CB3" w:rsidRDefault="00000000" w:rsidP="002B08D3">
      <w:pPr>
        <w:pStyle w:val="TOC4"/>
        <w:rPr>
          <w:rFonts w:eastAsiaTheme="minorEastAsia" w:cstheme="minorBidi"/>
          <w:noProof/>
          <w:kern w:val="2"/>
          <w:sz w:val="24"/>
          <w:szCs w:val="24"/>
          <w14:ligatures w14:val="standardContextual"/>
        </w:rPr>
      </w:pPr>
      <w:hyperlink w:anchor="_Toc159851626"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Practical application</w:t>
        </w:r>
        <w:r w:rsidR="00164CB3">
          <w:rPr>
            <w:noProof/>
            <w:webHidden/>
          </w:rPr>
          <w:tab/>
        </w:r>
        <w:r w:rsidR="00164CB3">
          <w:rPr>
            <w:noProof/>
            <w:webHidden/>
          </w:rPr>
          <w:fldChar w:fldCharType="begin"/>
        </w:r>
        <w:r w:rsidR="00164CB3">
          <w:rPr>
            <w:noProof/>
            <w:webHidden/>
          </w:rPr>
          <w:instrText xml:space="preserve"> PAGEREF _Toc159851626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4A019B43" w14:textId="12D75C7A" w:rsidR="00164CB3" w:rsidRDefault="00000000" w:rsidP="002B08D3">
      <w:pPr>
        <w:pStyle w:val="TOC3"/>
        <w:rPr>
          <w:rFonts w:eastAsiaTheme="minorEastAsia" w:cstheme="minorBidi"/>
          <w:noProof/>
          <w:kern w:val="2"/>
          <w:sz w:val="24"/>
          <w:szCs w:val="24"/>
          <w14:ligatures w14:val="standardContextual"/>
        </w:rPr>
      </w:pPr>
      <w:hyperlink w:anchor="_Toc159851627"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Managing records</w:t>
        </w:r>
        <w:r w:rsidR="00164CB3">
          <w:rPr>
            <w:noProof/>
            <w:webHidden/>
          </w:rPr>
          <w:tab/>
        </w:r>
        <w:r w:rsidR="00164CB3">
          <w:rPr>
            <w:noProof/>
            <w:webHidden/>
          </w:rPr>
          <w:fldChar w:fldCharType="begin"/>
        </w:r>
        <w:r w:rsidR="00164CB3">
          <w:rPr>
            <w:noProof/>
            <w:webHidden/>
          </w:rPr>
          <w:instrText xml:space="preserve"> PAGEREF _Toc159851627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3AAE314E" w14:textId="0DF4A07D" w:rsidR="00164CB3" w:rsidRDefault="00000000" w:rsidP="002B08D3">
      <w:pPr>
        <w:pStyle w:val="TOC4"/>
        <w:rPr>
          <w:rFonts w:eastAsiaTheme="minorEastAsia" w:cstheme="minorBidi"/>
          <w:noProof/>
          <w:kern w:val="2"/>
          <w:sz w:val="24"/>
          <w:szCs w:val="24"/>
          <w14:ligatures w14:val="standardContextual"/>
        </w:rPr>
      </w:pPr>
      <w:hyperlink w:anchor="_Toc159851628"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Conduct a records inventory</w:t>
        </w:r>
        <w:r w:rsidR="00164CB3">
          <w:rPr>
            <w:noProof/>
            <w:webHidden/>
          </w:rPr>
          <w:tab/>
        </w:r>
        <w:r w:rsidR="00164CB3">
          <w:rPr>
            <w:noProof/>
            <w:webHidden/>
          </w:rPr>
          <w:fldChar w:fldCharType="begin"/>
        </w:r>
        <w:r w:rsidR="00164CB3">
          <w:rPr>
            <w:noProof/>
            <w:webHidden/>
          </w:rPr>
          <w:instrText xml:space="preserve"> PAGEREF _Toc159851628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47A6609E" w14:textId="7A1FF176" w:rsidR="00164CB3" w:rsidRDefault="00000000" w:rsidP="002B08D3">
      <w:pPr>
        <w:pStyle w:val="TOC4"/>
        <w:rPr>
          <w:rFonts w:eastAsiaTheme="minorEastAsia" w:cstheme="minorBidi"/>
          <w:noProof/>
          <w:kern w:val="2"/>
          <w:sz w:val="24"/>
          <w:szCs w:val="24"/>
          <w14:ligatures w14:val="standardContextual"/>
        </w:rPr>
      </w:pPr>
      <w:hyperlink w:anchor="_Toc159851629"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Categorize records by record series</w:t>
        </w:r>
        <w:r w:rsidR="00164CB3">
          <w:rPr>
            <w:noProof/>
            <w:webHidden/>
          </w:rPr>
          <w:tab/>
        </w:r>
        <w:r w:rsidR="00164CB3">
          <w:rPr>
            <w:noProof/>
            <w:webHidden/>
          </w:rPr>
          <w:fldChar w:fldCharType="begin"/>
        </w:r>
        <w:r w:rsidR="00164CB3">
          <w:rPr>
            <w:noProof/>
            <w:webHidden/>
          </w:rPr>
          <w:instrText xml:space="preserve"> PAGEREF _Toc159851629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54D55AB9" w14:textId="218F7BB0" w:rsidR="00164CB3" w:rsidRDefault="00000000" w:rsidP="002B08D3">
      <w:pPr>
        <w:pStyle w:val="TOC4"/>
        <w:rPr>
          <w:rFonts w:eastAsiaTheme="minorEastAsia" w:cstheme="minorBidi"/>
          <w:noProof/>
          <w:kern w:val="2"/>
          <w:sz w:val="24"/>
          <w:szCs w:val="24"/>
          <w14:ligatures w14:val="standardContextual"/>
        </w:rPr>
      </w:pPr>
      <w:hyperlink w:anchor="_Toc159851630"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Decide how long to keep each records series</w:t>
        </w:r>
        <w:r w:rsidR="00164CB3">
          <w:rPr>
            <w:noProof/>
            <w:webHidden/>
          </w:rPr>
          <w:tab/>
        </w:r>
        <w:r w:rsidR="00164CB3">
          <w:rPr>
            <w:noProof/>
            <w:webHidden/>
          </w:rPr>
          <w:fldChar w:fldCharType="begin"/>
        </w:r>
        <w:r w:rsidR="00164CB3">
          <w:rPr>
            <w:noProof/>
            <w:webHidden/>
          </w:rPr>
          <w:instrText xml:space="preserve"> PAGEREF _Toc159851630 \h </w:instrText>
        </w:r>
        <w:r w:rsidR="00164CB3">
          <w:rPr>
            <w:noProof/>
            <w:webHidden/>
          </w:rPr>
        </w:r>
        <w:r w:rsidR="00164CB3">
          <w:rPr>
            <w:noProof/>
            <w:webHidden/>
          </w:rPr>
          <w:fldChar w:fldCharType="separate"/>
        </w:r>
        <w:r w:rsidR="00DE7A7E">
          <w:rPr>
            <w:noProof/>
            <w:webHidden/>
          </w:rPr>
          <w:t>99</w:t>
        </w:r>
        <w:r w:rsidR="00164CB3">
          <w:rPr>
            <w:noProof/>
            <w:webHidden/>
          </w:rPr>
          <w:fldChar w:fldCharType="end"/>
        </w:r>
      </w:hyperlink>
    </w:p>
    <w:p w14:paraId="1806566F" w14:textId="08CEB1A6" w:rsidR="00164CB3" w:rsidRDefault="00000000" w:rsidP="002B08D3">
      <w:pPr>
        <w:pStyle w:val="TOC4"/>
        <w:rPr>
          <w:rFonts w:eastAsiaTheme="minorEastAsia" w:cstheme="minorBidi"/>
          <w:noProof/>
          <w:kern w:val="2"/>
          <w:sz w:val="24"/>
          <w:szCs w:val="24"/>
          <w14:ligatures w14:val="standardContextual"/>
        </w:rPr>
      </w:pPr>
      <w:hyperlink w:anchor="_Toc159851631"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Dispose of records on schedule</w:t>
        </w:r>
        <w:r w:rsidR="00164CB3">
          <w:rPr>
            <w:noProof/>
            <w:webHidden/>
          </w:rPr>
          <w:tab/>
        </w:r>
        <w:r w:rsidR="00164CB3">
          <w:rPr>
            <w:noProof/>
            <w:webHidden/>
          </w:rPr>
          <w:fldChar w:fldCharType="begin"/>
        </w:r>
        <w:r w:rsidR="00164CB3">
          <w:rPr>
            <w:noProof/>
            <w:webHidden/>
          </w:rPr>
          <w:instrText xml:space="preserve"> PAGEREF _Toc159851631 \h </w:instrText>
        </w:r>
        <w:r w:rsidR="00164CB3">
          <w:rPr>
            <w:noProof/>
            <w:webHidden/>
          </w:rPr>
        </w:r>
        <w:r w:rsidR="00164CB3">
          <w:rPr>
            <w:noProof/>
            <w:webHidden/>
          </w:rPr>
          <w:fldChar w:fldCharType="separate"/>
        </w:r>
        <w:r w:rsidR="00DE7A7E">
          <w:rPr>
            <w:noProof/>
            <w:webHidden/>
          </w:rPr>
          <w:t>100</w:t>
        </w:r>
        <w:r w:rsidR="00164CB3">
          <w:rPr>
            <w:noProof/>
            <w:webHidden/>
          </w:rPr>
          <w:fldChar w:fldCharType="end"/>
        </w:r>
      </w:hyperlink>
    </w:p>
    <w:p w14:paraId="462E9107" w14:textId="71D6890D" w:rsidR="00164CB3" w:rsidRDefault="00000000" w:rsidP="002B08D3">
      <w:pPr>
        <w:pStyle w:val="TOC4"/>
        <w:rPr>
          <w:rFonts w:eastAsiaTheme="minorEastAsia" w:cstheme="minorBidi"/>
          <w:noProof/>
          <w:kern w:val="2"/>
          <w:sz w:val="24"/>
          <w:szCs w:val="24"/>
          <w14:ligatures w14:val="standardContextual"/>
        </w:rPr>
      </w:pPr>
      <w:hyperlink w:anchor="_Toc159851632" w:history="1">
        <w:r w:rsidR="00164CB3" w:rsidRPr="00311922">
          <w:rPr>
            <w:rStyle w:val="Hyperlink"/>
            <w:noProof/>
          </w:rPr>
          <w:t>e.</w:t>
        </w:r>
        <w:r w:rsidR="00164CB3">
          <w:rPr>
            <w:rFonts w:eastAsiaTheme="minorEastAsia" w:cstheme="minorBidi"/>
            <w:noProof/>
            <w:kern w:val="2"/>
            <w:sz w:val="24"/>
            <w:szCs w:val="24"/>
            <w14:ligatures w14:val="standardContextual"/>
          </w:rPr>
          <w:tab/>
        </w:r>
        <w:r w:rsidR="00164CB3" w:rsidRPr="00311922">
          <w:rPr>
            <w:rStyle w:val="Hyperlink"/>
            <w:noProof/>
          </w:rPr>
          <w:t xml:space="preserve"> Review schedules regularly and revise, delete, or create new schedules as the law and the office’s operations change</w:t>
        </w:r>
        <w:r w:rsidR="00164CB3">
          <w:rPr>
            <w:noProof/>
            <w:webHidden/>
          </w:rPr>
          <w:tab/>
        </w:r>
        <w:r w:rsidR="00164CB3">
          <w:rPr>
            <w:noProof/>
            <w:webHidden/>
          </w:rPr>
          <w:fldChar w:fldCharType="begin"/>
        </w:r>
        <w:r w:rsidR="00164CB3">
          <w:rPr>
            <w:noProof/>
            <w:webHidden/>
          </w:rPr>
          <w:instrText xml:space="preserve"> PAGEREF _Toc159851632 \h </w:instrText>
        </w:r>
        <w:r w:rsidR="00164CB3">
          <w:rPr>
            <w:noProof/>
            <w:webHidden/>
          </w:rPr>
        </w:r>
        <w:r w:rsidR="00164CB3">
          <w:rPr>
            <w:noProof/>
            <w:webHidden/>
          </w:rPr>
          <w:fldChar w:fldCharType="separate"/>
        </w:r>
        <w:r w:rsidR="00DE7A7E">
          <w:rPr>
            <w:noProof/>
            <w:webHidden/>
          </w:rPr>
          <w:t>100</w:t>
        </w:r>
        <w:r w:rsidR="00164CB3">
          <w:rPr>
            <w:noProof/>
            <w:webHidden/>
          </w:rPr>
          <w:fldChar w:fldCharType="end"/>
        </w:r>
      </w:hyperlink>
    </w:p>
    <w:p w14:paraId="037E95EF" w14:textId="5D0F5824" w:rsidR="00164CB3" w:rsidRDefault="00000000" w:rsidP="00197E46">
      <w:pPr>
        <w:pStyle w:val="TOC2"/>
        <w:tabs>
          <w:tab w:val="left" w:pos="1540"/>
          <w:tab w:val="right" w:leader="dot" w:pos="9350"/>
        </w:tabs>
        <w:ind w:left="1440" w:hanging="504"/>
        <w:rPr>
          <w:rFonts w:eastAsiaTheme="minorEastAsia" w:cstheme="minorBidi"/>
          <w:b w:val="0"/>
          <w:bCs w:val="0"/>
          <w:noProof/>
          <w:kern w:val="2"/>
          <w:sz w:val="24"/>
          <w:szCs w:val="24"/>
          <w14:ligatures w14:val="standardContextual"/>
        </w:rPr>
      </w:pPr>
      <w:hyperlink w:anchor="_Toc159851633"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Helpful Resources for Local Government Offices: Ohio History Connection/State Archives – Local Government Records Program</w:t>
        </w:r>
        <w:r w:rsidR="00164CB3">
          <w:rPr>
            <w:noProof/>
            <w:webHidden/>
          </w:rPr>
          <w:tab/>
        </w:r>
        <w:r w:rsidR="00164CB3">
          <w:rPr>
            <w:noProof/>
            <w:webHidden/>
          </w:rPr>
          <w:fldChar w:fldCharType="begin"/>
        </w:r>
        <w:r w:rsidR="00164CB3">
          <w:rPr>
            <w:noProof/>
            <w:webHidden/>
          </w:rPr>
          <w:instrText xml:space="preserve"> PAGEREF _Toc159851633 \h </w:instrText>
        </w:r>
        <w:r w:rsidR="00164CB3">
          <w:rPr>
            <w:noProof/>
            <w:webHidden/>
          </w:rPr>
        </w:r>
        <w:r w:rsidR="00164CB3">
          <w:rPr>
            <w:noProof/>
            <w:webHidden/>
          </w:rPr>
          <w:fldChar w:fldCharType="separate"/>
        </w:r>
        <w:r w:rsidR="00DE7A7E">
          <w:rPr>
            <w:noProof/>
            <w:webHidden/>
          </w:rPr>
          <w:t>100</w:t>
        </w:r>
        <w:r w:rsidR="00164CB3">
          <w:rPr>
            <w:noProof/>
            <w:webHidden/>
          </w:rPr>
          <w:fldChar w:fldCharType="end"/>
        </w:r>
      </w:hyperlink>
    </w:p>
    <w:p w14:paraId="2A4AA3E1" w14:textId="0E4EEBE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34"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Helpful Resources for State Government Offices</w:t>
        </w:r>
        <w:r w:rsidR="00164CB3">
          <w:rPr>
            <w:noProof/>
            <w:webHidden/>
          </w:rPr>
          <w:tab/>
        </w:r>
        <w:r w:rsidR="00164CB3">
          <w:rPr>
            <w:noProof/>
            <w:webHidden/>
          </w:rPr>
          <w:fldChar w:fldCharType="begin"/>
        </w:r>
        <w:r w:rsidR="00164CB3">
          <w:rPr>
            <w:noProof/>
            <w:webHidden/>
          </w:rPr>
          <w:instrText xml:space="preserve"> PAGEREF _Toc159851634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0C7DAF1B" w14:textId="107A3475" w:rsidR="00164CB3" w:rsidRDefault="00000000" w:rsidP="002B08D3">
      <w:pPr>
        <w:pStyle w:val="TOC3"/>
        <w:rPr>
          <w:rFonts w:eastAsiaTheme="minorEastAsia" w:cstheme="minorBidi"/>
          <w:noProof/>
          <w:kern w:val="2"/>
          <w:sz w:val="24"/>
          <w:szCs w:val="24"/>
          <w14:ligatures w14:val="standardContextual"/>
        </w:rPr>
      </w:pPr>
      <w:hyperlink w:anchor="_Toc159851635"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Ohio Department of Administrative Services records management program</w:t>
        </w:r>
        <w:r w:rsidR="00164CB3">
          <w:rPr>
            <w:noProof/>
            <w:webHidden/>
          </w:rPr>
          <w:tab/>
        </w:r>
        <w:r w:rsidR="00164CB3">
          <w:rPr>
            <w:noProof/>
            <w:webHidden/>
          </w:rPr>
          <w:fldChar w:fldCharType="begin"/>
        </w:r>
        <w:r w:rsidR="00164CB3">
          <w:rPr>
            <w:noProof/>
            <w:webHidden/>
          </w:rPr>
          <w:instrText xml:space="preserve"> PAGEREF _Toc159851635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4CB35368" w14:textId="2953A022" w:rsidR="00164CB3" w:rsidRDefault="00000000" w:rsidP="002B08D3">
      <w:pPr>
        <w:pStyle w:val="TOC3"/>
        <w:rPr>
          <w:rFonts w:eastAsiaTheme="minorEastAsia" w:cstheme="minorBidi"/>
          <w:noProof/>
          <w:kern w:val="2"/>
          <w:sz w:val="24"/>
          <w:szCs w:val="24"/>
          <w14:ligatures w14:val="standardContextual"/>
        </w:rPr>
      </w:pPr>
      <w:hyperlink w:anchor="_Toc15985163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The Ohio History Connection, State Archives</w:t>
        </w:r>
        <w:r w:rsidR="00164CB3">
          <w:rPr>
            <w:noProof/>
            <w:webHidden/>
          </w:rPr>
          <w:tab/>
        </w:r>
        <w:r w:rsidR="00164CB3">
          <w:rPr>
            <w:noProof/>
            <w:webHidden/>
          </w:rPr>
          <w:fldChar w:fldCharType="begin"/>
        </w:r>
        <w:r w:rsidR="00164CB3">
          <w:rPr>
            <w:noProof/>
            <w:webHidden/>
          </w:rPr>
          <w:instrText xml:space="preserve"> PAGEREF _Toc159851636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1693AA41" w14:textId="50773A01"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37" w:history="1">
        <w:r w:rsidR="00164CB3" w:rsidRPr="00311922">
          <w:rPr>
            <w:rStyle w:val="Hyperlink"/>
            <w:noProof/>
          </w:rPr>
          <w:t>E.</w:t>
        </w:r>
        <w:r w:rsidR="00164CB3">
          <w:rPr>
            <w:rFonts w:eastAsiaTheme="minorEastAsia" w:cstheme="minorBidi"/>
            <w:b w:val="0"/>
            <w:bCs w:val="0"/>
            <w:noProof/>
            <w:kern w:val="2"/>
            <w:sz w:val="24"/>
            <w:szCs w:val="24"/>
            <w14:ligatures w14:val="standardContextual"/>
          </w:rPr>
          <w:tab/>
        </w:r>
        <w:r w:rsidR="00164CB3" w:rsidRPr="00311922">
          <w:rPr>
            <w:rStyle w:val="Hyperlink"/>
            <w:noProof/>
          </w:rPr>
          <w:t>Helpful Resources for All Government Offices</w:t>
        </w:r>
        <w:r w:rsidR="00164CB3">
          <w:rPr>
            <w:noProof/>
            <w:webHidden/>
          </w:rPr>
          <w:tab/>
        </w:r>
        <w:r w:rsidR="00164CB3">
          <w:rPr>
            <w:noProof/>
            <w:webHidden/>
          </w:rPr>
          <w:fldChar w:fldCharType="begin"/>
        </w:r>
        <w:r w:rsidR="00164CB3">
          <w:rPr>
            <w:noProof/>
            <w:webHidden/>
          </w:rPr>
          <w:instrText xml:space="preserve"> PAGEREF _Toc159851637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39F7418D" w14:textId="75B51D7D" w:rsidR="00164CB3" w:rsidRDefault="00000000" w:rsidP="002B08D3">
      <w:pPr>
        <w:pStyle w:val="TOC3"/>
        <w:rPr>
          <w:rFonts w:eastAsiaTheme="minorEastAsia" w:cstheme="minorBidi"/>
          <w:noProof/>
          <w:kern w:val="2"/>
          <w:sz w:val="24"/>
          <w:szCs w:val="24"/>
          <w14:ligatures w14:val="standardContextual"/>
        </w:rPr>
      </w:pPr>
      <w:hyperlink w:anchor="_Toc15985163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Ohio Electronic Records Committee</w:t>
        </w:r>
        <w:r w:rsidR="00164CB3">
          <w:rPr>
            <w:noProof/>
            <w:webHidden/>
          </w:rPr>
          <w:tab/>
        </w:r>
        <w:r w:rsidR="00164CB3">
          <w:rPr>
            <w:noProof/>
            <w:webHidden/>
          </w:rPr>
          <w:fldChar w:fldCharType="begin"/>
        </w:r>
        <w:r w:rsidR="00164CB3">
          <w:rPr>
            <w:noProof/>
            <w:webHidden/>
          </w:rPr>
          <w:instrText xml:space="preserve"> PAGEREF _Toc159851638 \h </w:instrText>
        </w:r>
        <w:r w:rsidR="00164CB3">
          <w:rPr>
            <w:noProof/>
            <w:webHidden/>
          </w:rPr>
        </w:r>
        <w:r w:rsidR="00164CB3">
          <w:rPr>
            <w:noProof/>
            <w:webHidden/>
          </w:rPr>
          <w:fldChar w:fldCharType="separate"/>
        </w:r>
        <w:r w:rsidR="00DE7A7E">
          <w:rPr>
            <w:noProof/>
            <w:webHidden/>
          </w:rPr>
          <w:t>101</w:t>
        </w:r>
        <w:r w:rsidR="00164CB3">
          <w:rPr>
            <w:noProof/>
            <w:webHidden/>
          </w:rPr>
          <w:fldChar w:fldCharType="end"/>
        </w:r>
      </w:hyperlink>
    </w:p>
    <w:p w14:paraId="5D9A9211" w14:textId="20CE0C61" w:rsidR="00164CB3" w:rsidRDefault="00000000" w:rsidP="002B08D3">
      <w:pPr>
        <w:pStyle w:val="TOC3"/>
        <w:rPr>
          <w:rFonts w:eastAsiaTheme="minorEastAsia" w:cstheme="minorBidi"/>
          <w:noProof/>
          <w:kern w:val="2"/>
          <w:sz w:val="24"/>
          <w:szCs w:val="24"/>
          <w14:ligatures w14:val="standardContextual"/>
        </w:rPr>
      </w:pPr>
      <w:hyperlink w:anchor="_Toc15985163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Statements on Maintaining Digitally Imaged Records Permanently</w:t>
        </w:r>
        <w:r w:rsidR="00164CB3">
          <w:rPr>
            <w:noProof/>
            <w:webHidden/>
          </w:rPr>
          <w:tab/>
        </w:r>
        <w:r w:rsidR="00164CB3">
          <w:rPr>
            <w:noProof/>
            <w:webHidden/>
          </w:rPr>
          <w:fldChar w:fldCharType="begin"/>
        </w:r>
        <w:r w:rsidR="00164CB3">
          <w:rPr>
            <w:noProof/>
            <w:webHidden/>
          </w:rPr>
          <w:instrText xml:space="preserve"> PAGEREF _Toc159851639 \h </w:instrText>
        </w:r>
        <w:r w:rsidR="00164CB3">
          <w:rPr>
            <w:noProof/>
            <w:webHidden/>
          </w:rPr>
        </w:r>
        <w:r w:rsidR="00164CB3">
          <w:rPr>
            <w:noProof/>
            <w:webHidden/>
          </w:rPr>
          <w:fldChar w:fldCharType="separate"/>
        </w:r>
        <w:r w:rsidR="00DE7A7E">
          <w:rPr>
            <w:noProof/>
            <w:webHidden/>
          </w:rPr>
          <w:t>102</w:t>
        </w:r>
        <w:r w:rsidR="00164CB3">
          <w:rPr>
            <w:noProof/>
            <w:webHidden/>
          </w:rPr>
          <w:fldChar w:fldCharType="end"/>
        </w:r>
      </w:hyperlink>
    </w:p>
    <w:p w14:paraId="0DE279D5" w14:textId="174CA168"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40" w:history="1">
        <w:r w:rsidR="00164CB3" w:rsidRPr="00311922">
          <w:rPr>
            <w:rStyle w:val="Hyperlink"/>
            <w:noProof/>
          </w:rPr>
          <w:t>F.</w:t>
        </w:r>
        <w:r w:rsidR="00164CB3">
          <w:rPr>
            <w:rFonts w:eastAsiaTheme="minorEastAsia" w:cstheme="minorBidi"/>
            <w:b w:val="0"/>
            <w:bCs w:val="0"/>
            <w:noProof/>
            <w:kern w:val="2"/>
            <w:sz w:val="24"/>
            <w:szCs w:val="24"/>
            <w14:ligatures w14:val="standardContextual"/>
          </w:rPr>
          <w:tab/>
        </w:r>
        <w:r w:rsidR="00164CB3" w:rsidRPr="00311922">
          <w:rPr>
            <w:rStyle w:val="Hyperlink"/>
            <w:noProof/>
          </w:rPr>
          <w:t>Public Records Policy</w:t>
        </w:r>
        <w:r w:rsidR="00164CB3">
          <w:rPr>
            <w:noProof/>
            <w:webHidden/>
          </w:rPr>
          <w:tab/>
        </w:r>
        <w:r w:rsidR="00164CB3">
          <w:rPr>
            <w:noProof/>
            <w:webHidden/>
          </w:rPr>
          <w:fldChar w:fldCharType="begin"/>
        </w:r>
        <w:r w:rsidR="00164CB3">
          <w:rPr>
            <w:noProof/>
            <w:webHidden/>
          </w:rPr>
          <w:instrText xml:space="preserve"> PAGEREF _Toc159851640 \h </w:instrText>
        </w:r>
        <w:r w:rsidR="00164CB3">
          <w:rPr>
            <w:noProof/>
            <w:webHidden/>
          </w:rPr>
        </w:r>
        <w:r w:rsidR="00164CB3">
          <w:rPr>
            <w:noProof/>
            <w:webHidden/>
          </w:rPr>
          <w:fldChar w:fldCharType="separate"/>
        </w:r>
        <w:r w:rsidR="00DE7A7E">
          <w:rPr>
            <w:noProof/>
            <w:webHidden/>
          </w:rPr>
          <w:t>102</w:t>
        </w:r>
        <w:r w:rsidR="00164CB3">
          <w:rPr>
            <w:noProof/>
            <w:webHidden/>
          </w:rPr>
          <w:fldChar w:fldCharType="end"/>
        </w:r>
      </w:hyperlink>
    </w:p>
    <w:p w14:paraId="4468AA2F" w14:textId="06CD7B7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41" w:history="1">
        <w:r w:rsidR="00164CB3" w:rsidRPr="00311922">
          <w:rPr>
            <w:rStyle w:val="Hyperlink"/>
            <w:noProof/>
          </w:rPr>
          <w:t>G.</w:t>
        </w:r>
        <w:r w:rsidR="00164CB3">
          <w:rPr>
            <w:rFonts w:eastAsiaTheme="minorEastAsia" w:cstheme="minorBidi"/>
            <w:b w:val="0"/>
            <w:bCs w:val="0"/>
            <w:noProof/>
            <w:kern w:val="2"/>
            <w:sz w:val="24"/>
            <w:szCs w:val="24"/>
            <w14:ligatures w14:val="standardContextual"/>
          </w:rPr>
          <w:tab/>
        </w:r>
        <w:r w:rsidR="00164CB3" w:rsidRPr="00311922">
          <w:rPr>
            <w:rStyle w:val="Hyperlink"/>
            <w:noProof/>
          </w:rPr>
          <w:t>Required Public Records Training for Elected Officials</w:t>
        </w:r>
        <w:r w:rsidR="00164CB3">
          <w:rPr>
            <w:noProof/>
            <w:webHidden/>
          </w:rPr>
          <w:tab/>
        </w:r>
        <w:r w:rsidR="00164CB3">
          <w:rPr>
            <w:noProof/>
            <w:webHidden/>
          </w:rPr>
          <w:fldChar w:fldCharType="begin"/>
        </w:r>
        <w:r w:rsidR="00164CB3">
          <w:rPr>
            <w:noProof/>
            <w:webHidden/>
          </w:rPr>
          <w:instrText xml:space="preserve"> PAGEREF _Toc159851641 \h </w:instrText>
        </w:r>
        <w:r w:rsidR="00164CB3">
          <w:rPr>
            <w:noProof/>
            <w:webHidden/>
          </w:rPr>
        </w:r>
        <w:r w:rsidR="00164CB3">
          <w:rPr>
            <w:noProof/>
            <w:webHidden/>
          </w:rPr>
          <w:fldChar w:fldCharType="separate"/>
        </w:r>
        <w:r w:rsidR="00DE7A7E">
          <w:rPr>
            <w:noProof/>
            <w:webHidden/>
          </w:rPr>
          <w:t>102</w:t>
        </w:r>
        <w:r w:rsidR="00164CB3">
          <w:rPr>
            <w:noProof/>
            <w:webHidden/>
          </w:rPr>
          <w:fldChar w:fldCharType="end"/>
        </w:r>
      </w:hyperlink>
    </w:p>
    <w:p w14:paraId="7E55A3B0" w14:textId="19D58C33" w:rsidR="00164CB3" w:rsidRDefault="00000000">
      <w:pPr>
        <w:pStyle w:val="TOC1"/>
        <w:tabs>
          <w:tab w:val="right" w:leader="dot" w:pos="9350"/>
        </w:tabs>
        <w:rPr>
          <w:rFonts w:eastAsiaTheme="minorEastAsia" w:cstheme="minorBidi"/>
          <w:bCs w:val="0"/>
          <w:noProof/>
          <w:kern w:val="2"/>
          <w14:ligatures w14:val="standardContextual"/>
        </w:rPr>
      </w:pPr>
      <w:hyperlink w:anchor="_Toc159851642" w:history="1">
        <w:r w:rsidR="00164CB3" w:rsidRPr="00311922">
          <w:rPr>
            <w:rStyle w:val="Hyperlink"/>
            <w:noProof/>
          </w:rPr>
          <w:t>Overview of the Ohio Open Meetings Act</w:t>
        </w:r>
        <w:r w:rsidR="00164CB3">
          <w:rPr>
            <w:noProof/>
            <w:webHidden/>
          </w:rPr>
          <w:tab/>
        </w:r>
        <w:r w:rsidR="00164CB3">
          <w:rPr>
            <w:noProof/>
            <w:webHidden/>
          </w:rPr>
          <w:fldChar w:fldCharType="begin"/>
        </w:r>
        <w:r w:rsidR="00164CB3">
          <w:rPr>
            <w:noProof/>
            <w:webHidden/>
          </w:rPr>
          <w:instrText xml:space="preserve"> PAGEREF _Toc159851642 \h </w:instrText>
        </w:r>
        <w:r w:rsidR="00164CB3">
          <w:rPr>
            <w:noProof/>
            <w:webHidden/>
          </w:rPr>
        </w:r>
        <w:r w:rsidR="00164CB3">
          <w:rPr>
            <w:noProof/>
            <w:webHidden/>
          </w:rPr>
          <w:fldChar w:fldCharType="separate"/>
        </w:r>
        <w:r w:rsidR="00DE7A7E">
          <w:rPr>
            <w:noProof/>
            <w:webHidden/>
          </w:rPr>
          <w:t>106</w:t>
        </w:r>
        <w:r w:rsidR="00164CB3">
          <w:rPr>
            <w:noProof/>
            <w:webHidden/>
          </w:rPr>
          <w:fldChar w:fldCharType="end"/>
        </w:r>
      </w:hyperlink>
    </w:p>
    <w:p w14:paraId="3675963E" w14:textId="7FFA2192" w:rsidR="00164CB3" w:rsidRDefault="00000000">
      <w:pPr>
        <w:pStyle w:val="TOC1"/>
        <w:tabs>
          <w:tab w:val="right" w:leader="dot" w:pos="9350"/>
        </w:tabs>
        <w:rPr>
          <w:rFonts w:eastAsiaTheme="minorEastAsia" w:cstheme="minorBidi"/>
          <w:bCs w:val="0"/>
          <w:noProof/>
          <w:kern w:val="2"/>
          <w14:ligatures w14:val="standardContextual"/>
        </w:rPr>
      </w:pPr>
      <w:hyperlink w:anchor="_Toc159851643" w:history="1">
        <w:r w:rsidR="00164CB3" w:rsidRPr="00311922">
          <w:rPr>
            <w:rStyle w:val="Hyperlink"/>
            <w:noProof/>
          </w:rPr>
          <w:t>The Ohio Open Meetings Act</w:t>
        </w:r>
        <w:r w:rsidR="00164CB3">
          <w:rPr>
            <w:noProof/>
            <w:webHidden/>
          </w:rPr>
          <w:tab/>
        </w:r>
        <w:r w:rsidR="00164CB3">
          <w:rPr>
            <w:noProof/>
            <w:webHidden/>
          </w:rPr>
          <w:fldChar w:fldCharType="begin"/>
        </w:r>
        <w:r w:rsidR="00164CB3">
          <w:rPr>
            <w:noProof/>
            <w:webHidden/>
          </w:rPr>
          <w:instrText xml:space="preserve"> PAGEREF _Toc159851643 \h </w:instrText>
        </w:r>
        <w:r w:rsidR="00164CB3">
          <w:rPr>
            <w:noProof/>
            <w:webHidden/>
          </w:rPr>
        </w:r>
        <w:r w:rsidR="00164CB3">
          <w:rPr>
            <w:noProof/>
            <w:webHidden/>
          </w:rPr>
          <w:fldChar w:fldCharType="separate"/>
        </w:r>
        <w:r w:rsidR="00DE7A7E">
          <w:rPr>
            <w:noProof/>
            <w:webHidden/>
          </w:rPr>
          <w:t>107</w:t>
        </w:r>
        <w:r w:rsidR="00164CB3">
          <w:rPr>
            <w:noProof/>
            <w:webHidden/>
          </w:rPr>
          <w:fldChar w:fldCharType="end"/>
        </w:r>
      </w:hyperlink>
    </w:p>
    <w:p w14:paraId="58119360" w14:textId="12CDA08A"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44" w:history="1">
        <w:r w:rsidR="00164CB3" w:rsidRPr="00311922">
          <w:rPr>
            <w:rStyle w:val="Hyperlink"/>
            <w:noProof/>
          </w:rPr>
          <w:t>VIII.</w:t>
        </w:r>
        <w:r w:rsidR="00164CB3">
          <w:rPr>
            <w:rFonts w:eastAsiaTheme="minorEastAsia" w:cstheme="minorBidi"/>
            <w:bCs w:val="0"/>
            <w:noProof/>
            <w:kern w:val="2"/>
            <w14:ligatures w14:val="standardContextual"/>
          </w:rPr>
          <w:tab/>
        </w:r>
        <w:r w:rsidR="00164CB3" w:rsidRPr="00311922">
          <w:rPr>
            <w:rStyle w:val="Hyperlink"/>
            <w:noProof/>
          </w:rPr>
          <w:t>Chapter Eight: “Public Body” and “Meeting” Defined</w:t>
        </w:r>
        <w:r w:rsidR="00164CB3">
          <w:rPr>
            <w:noProof/>
            <w:webHidden/>
          </w:rPr>
          <w:tab/>
        </w:r>
        <w:r w:rsidR="00164CB3">
          <w:rPr>
            <w:noProof/>
            <w:webHidden/>
          </w:rPr>
          <w:fldChar w:fldCharType="begin"/>
        </w:r>
        <w:r w:rsidR="00164CB3">
          <w:rPr>
            <w:noProof/>
            <w:webHidden/>
          </w:rPr>
          <w:instrText xml:space="preserve"> PAGEREF _Toc159851644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354FB553" w14:textId="4C2A137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45"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“Public Body”</w:t>
        </w:r>
        <w:r w:rsidR="00164CB3">
          <w:rPr>
            <w:noProof/>
            <w:webHidden/>
          </w:rPr>
          <w:tab/>
        </w:r>
        <w:r w:rsidR="00164CB3">
          <w:rPr>
            <w:noProof/>
            <w:webHidden/>
          </w:rPr>
          <w:fldChar w:fldCharType="begin"/>
        </w:r>
        <w:r w:rsidR="00164CB3">
          <w:rPr>
            <w:noProof/>
            <w:webHidden/>
          </w:rPr>
          <w:instrText xml:space="preserve"> PAGEREF _Toc159851645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4DEBF6C3" w14:textId="7BE4A334" w:rsidR="00164CB3" w:rsidRDefault="00000000" w:rsidP="002B08D3">
      <w:pPr>
        <w:pStyle w:val="TOC3"/>
        <w:rPr>
          <w:rFonts w:eastAsiaTheme="minorEastAsia" w:cstheme="minorBidi"/>
          <w:noProof/>
          <w:kern w:val="2"/>
          <w:sz w:val="24"/>
          <w:szCs w:val="24"/>
          <w14:ligatures w14:val="standardContextual"/>
        </w:rPr>
      </w:pPr>
      <w:hyperlink w:anchor="_Toc159851646"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Statutory definition – R.C. 121.22(B)(1)</w:t>
        </w:r>
        <w:r w:rsidR="00164CB3">
          <w:rPr>
            <w:noProof/>
            <w:webHidden/>
          </w:rPr>
          <w:tab/>
        </w:r>
        <w:r w:rsidR="00164CB3">
          <w:rPr>
            <w:noProof/>
            <w:webHidden/>
          </w:rPr>
          <w:fldChar w:fldCharType="begin"/>
        </w:r>
        <w:r w:rsidR="00164CB3">
          <w:rPr>
            <w:noProof/>
            <w:webHidden/>
          </w:rPr>
          <w:instrText xml:space="preserve"> PAGEREF _Toc159851646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706666DC" w14:textId="424FB3F1" w:rsidR="00164CB3" w:rsidRDefault="00000000" w:rsidP="002B08D3">
      <w:pPr>
        <w:pStyle w:val="TOC3"/>
        <w:rPr>
          <w:rFonts w:eastAsiaTheme="minorEastAsia" w:cstheme="minorBidi"/>
          <w:noProof/>
          <w:kern w:val="2"/>
          <w:sz w:val="24"/>
          <w:szCs w:val="24"/>
          <w14:ligatures w14:val="standardContextual"/>
        </w:rPr>
      </w:pPr>
      <w:hyperlink w:anchor="_Toc159851647"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Identifying public bodies</w:t>
        </w:r>
        <w:r w:rsidR="00164CB3">
          <w:rPr>
            <w:noProof/>
            <w:webHidden/>
          </w:rPr>
          <w:tab/>
        </w:r>
        <w:r w:rsidR="00164CB3">
          <w:rPr>
            <w:noProof/>
            <w:webHidden/>
          </w:rPr>
          <w:fldChar w:fldCharType="begin"/>
        </w:r>
        <w:r w:rsidR="00164CB3">
          <w:rPr>
            <w:noProof/>
            <w:webHidden/>
          </w:rPr>
          <w:instrText xml:space="preserve"> PAGEREF _Toc159851647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238505D4" w14:textId="1198904B" w:rsidR="00164CB3" w:rsidRDefault="00000000" w:rsidP="002B08D3">
      <w:pPr>
        <w:pStyle w:val="TOC3"/>
        <w:rPr>
          <w:rFonts w:eastAsiaTheme="minorEastAsia" w:cstheme="minorBidi"/>
          <w:noProof/>
          <w:kern w:val="2"/>
          <w:sz w:val="24"/>
          <w:szCs w:val="24"/>
          <w14:ligatures w14:val="standardContextual"/>
        </w:rPr>
      </w:pPr>
      <w:hyperlink w:anchor="_Toc159851648"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Applying the definition of “public body”</w:t>
        </w:r>
        <w:r w:rsidR="00164CB3">
          <w:rPr>
            <w:noProof/>
            <w:webHidden/>
          </w:rPr>
          <w:tab/>
        </w:r>
        <w:r w:rsidR="00164CB3">
          <w:rPr>
            <w:noProof/>
            <w:webHidden/>
          </w:rPr>
          <w:fldChar w:fldCharType="begin"/>
        </w:r>
        <w:r w:rsidR="00164CB3">
          <w:rPr>
            <w:noProof/>
            <w:webHidden/>
          </w:rPr>
          <w:instrText xml:space="preserve"> PAGEREF _Toc159851648 \h </w:instrText>
        </w:r>
        <w:r w:rsidR="00164CB3">
          <w:rPr>
            <w:noProof/>
            <w:webHidden/>
          </w:rPr>
        </w:r>
        <w:r w:rsidR="00164CB3">
          <w:rPr>
            <w:noProof/>
            <w:webHidden/>
          </w:rPr>
          <w:fldChar w:fldCharType="separate"/>
        </w:r>
        <w:r w:rsidR="00DE7A7E">
          <w:rPr>
            <w:noProof/>
            <w:webHidden/>
          </w:rPr>
          <w:t>108</w:t>
        </w:r>
        <w:r w:rsidR="00164CB3">
          <w:rPr>
            <w:noProof/>
            <w:webHidden/>
          </w:rPr>
          <w:fldChar w:fldCharType="end"/>
        </w:r>
      </w:hyperlink>
    </w:p>
    <w:p w14:paraId="413D4BE4" w14:textId="3AA2BBEA" w:rsidR="00164CB3" w:rsidRDefault="00000000" w:rsidP="002B08D3">
      <w:pPr>
        <w:pStyle w:val="TOC3"/>
        <w:rPr>
          <w:rFonts w:eastAsiaTheme="minorEastAsia" w:cstheme="minorBidi"/>
          <w:noProof/>
          <w:kern w:val="2"/>
          <w:sz w:val="24"/>
          <w:szCs w:val="24"/>
          <w14:ligatures w14:val="standardContextual"/>
        </w:rPr>
      </w:pPr>
      <w:hyperlink w:anchor="_Toc159851649"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When the Open Meetings Act applies to private bodies</w:t>
        </w:r>
        <w:r w:rsidR="00164CB3">
          <w:rPr>
            <w:noProof/>
            <w:webHidden/>
          </w:rPr>
          <w:tab/>
        </w:r>
        <w:r w:rsidR="00164CB3">
          <w:rPr>
            <w:noProof/>
            <w:webHidden/>
          </w:rPr>
          <w:fldChar w:fldCharType="begin"/>
        </w:r>
        <w:r w:rsidR="00164CB3">
          <w:rPr>
            <w:noProof/>
            <w:webHidden/>
          </w:rPr>
          <w:instrText xml:space="preserve"> PAGEREF _Toc159851649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6795344E" w14:textId="6037D6A9" w:rsidR="00164CB3" w:rsidRDefault="00000000" w:rsidP="002B08D3">
      <w:pPr>
        <w:pStyle w:val="TOC3"/>
        <w:rPr>
          <w:rFonts w:eastAsiaTheme="minorEastAsia" w:cstheme="minorBidi"/>
          <w:noProof/>
          <w:kern w:val="2"/>
          <w:sz w:val="24"/>
          <w:szCs w:val="24"/>
          <w14:ligatures w14:val="standardContextual"/>
        </w:rPr>
      </w:pPr>
      <w:hyperlink w:anchor="_Toc159851650"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Public bodies/officials that are NEVER subject to the Open Meetings Act:</w:t>
        </w:r>
        <w:r w:rsidR="00164CB3">
          <w:rPr>
            <w:noProof/>
            <w:webHidden/>
          </w:rPr>
          <w:tab/>
        </w:r>
        <w:r w:rsidR="00164CB3">
          <w:rPr>
            <w:noProof/>
            <w:webHidden/>
          </w:rPr>
          <w:fldChar w:fldCharType="begin"/>
        </w:r>
        <w:r w:rsidR="00164CB3">
          <w:rPr>
            <w:noProof/>
            <w:webHidden/>
          </w:rPr>
          <w:instrText xml:space="preserve"> PAGEREF _Toc159851650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6204834E" w14:textId="60841783" w:rsidR="00164CB3" w:rsidRDefault="00000000" w:rsidP="002B08D3">
      <w:pPr>
        <w:pStyle w:val="TOC3"/>
        <w:rPr>
          <w:rFonts w:eastAsiaTheme="minorEastAsia" w:cstheme="minorBidi"/>
          <w:noProof/>
          <w:kern w:val="2"/>
          <w:sz w:val="24"/>
          <w:szCs w:val="24"/>
          <w14:ligatures w14:val="standardContextual"/>
        </w:rPr>
      </w:pPr>
      <w:hyperlink w:anchor="_Toc159851651"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Public bodies that are SOMETIMES subject to the Open Meetings   Act:</w:t>
        </w:r>
        <w:r w:rsidR="00164CB3">
          <w:rPr>
            <w:noProof/>
            <w:webHidden/>
          </w:rPr>
          <w:tab/>
        </w:r>
        <w:r w:rsidR="00164CB3">
          <w:rPr>
            <w:noProof/>
            <w:webHidden/>
          </w:rPr>
          <w:fldChar w:fldCharType="begin"/>
        </w:r>
        <w:r w:rsidR="00164CB3">
          <w:rPr>
            <w:noProof/>
            <w:webHidden/>
          </w:rPr>
          <w:instrText xml:space="preserve"> PAGEREF _Toc159851651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622E218C" w14:textId="33FEF692" w:rsidR="00164CB3" w:rsidRDefault="00000000" w:rsidP="002B08D3">
      <w:pPr>
        <w:pStyle w:val="TOC4"/>
        <w:rPr>
          <w:rFonts w:eastAsiaTheme="minorEastAsia" w:cstheme="minorBidi"/>
          <w:noProof/>
          <w:kern w:val="2"/>
          <w:sz w:val="24"/>
          <w:szCs w:val="24"/>
          <w14:ligatures w14:val="standardContextual"/>
        </w:rPr>
      </w:pPr>
      <w:hyperlink w:anchor="_Toc159851652"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Public bodies meeting for particular purposes</w:t>
        </w:r>
        <w:r w:rsidR="00164CB3">
          <w:rPr>
            <w:noProof/>
            <w:webHidden/>
          </w:rPr>
          <w:tab/>
        </w:r>
        <w:r w:rsidR="00164CB3">
          <w:rPr>
            <w:noProof/>
            <w:webHidden/>
          </w:rPr>
          <w:fldChar w:fldCharType="begin"/>
        </w:r>
        <w:r w:rsidR="00164CB3">
          <w:rPr>
            <w:noProof/>
            <w:webHidden/>
          </w:rPr>
          <w:instrText xml:space="preserve"> PAGEREF _Toc159851652 \h </w:instrText>
        </w:r>
        <w:r w:rsidR="00164CB3">
          <w:rPr>
            <w:noProof/>
            <w:webHidden/>
          </w:rPr>
        </w:r>
        <w:r w:rsidR="00164CB3">
          <w:rPr>
            <w:noProof/>
            <w:webHidden/>
          </w:rPr>
          <w:fldChar w:fldCharType="separate"/>
        </w:r>
        <w:r w:rsidR="00DE7A7E">
          <w:rPr>
            <w:noProof/>
            <w:webHidden/>
          </w:rPr>
          <w:t>109</w:t>
        </w:r>
        <w:r w:rsidR="00164CB3">
          <w:rPr>
            <w:noProof/>
            <w:webHidden/>
          </w:rPr>
          <w:fldChar w:fldCharType="end"/>
        </w:r>
      </w:hyperlink>
    </w:p>
    <w:p w14:paraId="1EC9EC60" w14:textId="45C3F70E" w:rsidR="00164CB3" w:rsidRDefault="00000000" w:rsidP="002B08D3">
      <w:pPr>
        <w:pStyle w:val="TOC4"/>
        <w:rPr>
          <w:rFonts w:eastAsiaTheme="minorEastAsia" w:cstheme="minorBidi"/>
          <w:noProof/>
          <w:kern w:val="2"/>
          <w:sz w:val="24"/>
          <w:szCs w:val="24"/>
          <w14:ligatures w14:val="standardContextual"/>
        </w:rPr>
      </w:pPr>
      <w:hyperlink w:anchor="_Toc159851653"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Public bodies handling particular business</w:t>
        </w:r>
        <w:r w:rsidR="00164CB3">
          <w:rPr>
            <w:noProof/>
            <w:webHidden/>
          </w:rPr>
          <w:tab/>
        </w:r>
        <w:r w:rsidR="00164CB3">
          <w:rPr>
            <w:noProof/>
            <w:webHidden/>
          </w:rPr>
          <w:fldChar w:fldCharType="begin"/>
        </w:r>
        <w:r w:rsidR="00164CB3">
          <w:rPr>
            <w:noProof/>
            <w:webHidden/>
          </w:rPr>
          <w:instrText xml:space="preserve"> PAGEREF _Toc159851653 \h </w:instrText>
        </w:r>
        <w:r w:rsidR="00164CB3">
          <w:rPr>
            <w:noProof/>
            <w:webHidden/>
          </w:rPr>
        </w:r>
        <w:r w:rsidR="00164CB3">
          <w:rPr>
            <w:noProof/>
            <w:webHidden/>
          </w:rPr>
          <w:fldChar w:fldCharType="separate"/>
        </w:r>
        <w:r w:rsidR="00DE7A7E">
          <w:rPr>
            <w:noProof/>
            <w:webHidden/>
          </w:rPr>
          <w:t>110</w:t>
        </w:r>
        <w:r w:rsidR="00164CB3">
          <w:rPr>
            <w:noProof/>
            <w:webHidden/>
          </w:rPr>
          <w:fldChar w:fldCharType="end"/>
        </w:r>
      </w:hyperlink>
    </w:p>
    <w:p w14:paraId="437DE3A9" w14:textId="0D559153"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54"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“Meeting”</w:t>
        </w:r>
        <w:r w:rsidR="00164CB3">
          <w:rPr>
            <w:noProof/>
            <w:webHidden/>
          </w:rPr>
          <w:tab/>
        </w:r>
        <w:r w:rsidR="00164CB3">
          <w:rPr>
            <w:noProof/>
            <w:webHidden/>
          </w:rPr>
          <w:fldChar w:fldCharType="begin"/>
        </w:r>
        <w:r w:rsidR="00164CB3">
          <w:rPr>
            <w:noProof/>
            <w:webHidden/>
          </w:rPr>
          <w:instrText xml:space="preserve"> PAGEREF _Toc159851654 \h </w:instrText>
        </w:r>
        <w:r w:rsidR="00164CB3">
          <w:rPr>
            <w:noProof/>
            <w:webHidden/>
          </w:rPr>
        </w:r>
        <w:r w:rsidR="00164CB3">
          <w:rPr>
            <w:noProof/>
            <w:webHidden/>
          </w:rPr>
          <w:fldChar w:fldCharType="separate"/>
        </w:r>
        <w:r w:rsidR="00DE7A7E">
          <w:rPr>
            <w:noProof/>
            <w:webHidden/>
          </w:rPr>
          <w:t>110</w:t>
        </w:r>
        <w:r w:rsidR="00164CB3">
          <w:rPr>
            <w:noProof/>
            <w:webHidden/>
          </w:rPr>
          <w:fldChar w:fldCharType="end"/>
        </w:r>
      </w:hyperlink>
    </w:p>
    <w:p w14:paraId="4F939A7E" w14:textId="42E43CD9" w:rsidR="00164CB3" w:rsidRDefault="00000000" w:rsidP="002B08D3">
      <w:pPr>
        <w:pStyle w:val="TOC3"/>
        <w:rPr>
          <w:rFonts w:eastAsiaTheme="minorEastAsia" w:cstheme="minorBidi"/>
          <w:noProof/>
          <w:kern w:val="2"/>
          <w:sz w:val="24"/>
          <w:szCs w:val="24"/>
          <w14:ligatures w14:val="standardContextual"/>
        </w:rPr>
      </w:pPr>
      <w:hyperlink w:anchor="_Toc159851655"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Definition</w:t>
        </w:r>
        <w:r w:rsidR="00164CB3">
          <w:rPr>
            <w:noProof/>
            <w:webHidden/>
          </w:rPr>
          <w:tab/>
        </w:r>
        <w:r w:rsidR="00164CB3">
          <w:rPr>
            <w:noProof/>
            <w:webHidden/>
          </w:rPr>
          <w:fldChar w:fldCharType="begin"/>
        </w:r>
        <w:r w:rsidR="00164CB3">
          <w:rPr>
            <w:noProof/>
            <w:webHidden/>
          </w:rPr>
          <w:instrText xml:space="preserve"> PAGEREF _Toc159851655 \h </w:instrText>
        </w:r>
        <w:r w:rsidR="00164CB3">
          <w:rPr>
            <w:noProof/>
            <w:webHidden/>
          </w:rPr>
        </w:r>
        <w:r w:rsidR="00164CB3">
          <w:rPr>
            <w:noProof/>
            <w:webHidden/>
          </w:rPr>
          <w:fldChar w:fldCharType="separate"/>
        </w:r>
        <w:r w:rsidR="00DE7A7E">
          <w:rPr>
            <w:noProof/>
            <w:webHidden/>
          </w:rPr>
          <w:t>110</w:t>
        </w:r>
        <w:r w:rsidR="00164CB3">
          <w:rPr>
            <w:noProof/>
            <w:webHidden/>
          </w:rPr>
          <w:fldChar w:fldCharType="end"/>
        </w:r>
      </w:hyperlink>
    </w:p>
    <w:p w14:paraId="6C9AB447" w14:textId="56D7C87B" w:rsidR="00164CB3" w:rsidRDefault="00000000" w:rsidP="002B08D3">
      <w:pPr>
        <w:pStyle w:val="TOC4"/>
        <w:rPr>
          <w:rFonts w:eastAsiaTheme="minorEastAsia" w:cstheme="minorBidi"/>
          <w:noProof/>
          <w:kern w:val="2"/>
          <w:sz w:val="24"/>
          <w:szCs w:val="24"/>
          <w14:ligatures w14:val="standardContextual"/>
        </w:rPr>
      </w:pPr>
      <w:hyperlink w:anchor="_Toc159851656"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Prearranged</w:t>
        </w:r>
        <w:r w:rsidR="00164CB3">
          <w:rPr>
            <w:noProof/>
            <w:webHidden/>
          </w:rPr>
          <w:tab/>
        </w:r>
        <w:r w:rsidR="00164CB3">
          <w:rPr>
            <w:noProof/>
            <w:webHidden/>
          </w:rPr>
          <w:fldChar w:fldCharType="begin"/>
        </w:r>
        <w:r w:rsidR="00164CB3">
          <w:rPr>
            <w:noProof/>
            <w:webHidden/>
          </w:rPr>
          <w:instrText xml:space="preserve"> PAGEREF _Toc159851656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06030633" w14:textId="6B8968AA" w:rsidR="00164CB3" w:rsidRDefault="00000000" w:rsidP="002B08D3">
      <w:pPr>
        <w:pStyle w:val="TOC4"/>
        <w:rPr>
          <w:rFonts w:eastAsiaTheme="minorEastAsia" w:cstheme="minorBidi"/>
          <w:noProof/>
          <w:kern w:val="2"/>
          <w:sz w:val="24"/>
          <w:szCs w:val="24"/>
          <w14:ligatures w14:val="standardContextual"/>
        </w:rPr>
      </w:pPr>
      <w:hyperlink w:anchor="_Toc159851657"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Majority of members</w:t>
        </w:r>
        <w:r w:rsidR="00164CB3">
          <w:rPr>
            <w:noProof/>
            <w:webHidden/>
          </w:rPr>
          <w:tab/>
        </w:r>
        <w:r w:rsidR="00164CB3">
          <w:rPr>
            <w:noProof/>
            <w:webHidden/>
          </w:rPr>
          <w:fldChar w:fldCharType="begin"/>
        </w:r>
        <w:r w:rsidR="00164CB3">
          <w:rPr>
            <w:noProof/>
            <w:webHidden/>
          </w:rPr>
          <w:instrText xml:space="preserve"> PAGEREF _Toc159851657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3D11967D" w14:textId="3F90D4AE" w:rsidR="00164CB3" w:rsidRDefault="00000000">
      <w:pPr>
        <w:pStyle w:val="TOC5"/>
        <w:tabs>
          <w:tab w:val="left" w:pos="1320"/>
          <w:tab w:val="right" w:leader="dot" w:pos="9350"/>
        </w:tabs>
        <w:rPr>
          <w:rFonts w:eastAsiaTheme="minorEastAsia" w:cstheme="minorBidi"/>
          <w:noProof/>
          <w:kern w:val="2"/>
          <w:sz w:val="24"/>
          <w:szCs w:val="24"/>
          <w14:ligatures w14:val="standardContextual"/>
        </w:rPr>
      </w:pPr>
      <w:hyperlink w:anchor="_Toc159851658" w:history="1">
        <w:r w:rsidR="00164CB3" w:rsidRPr="00311922">
          <w:rPr>
            <w:rStyle w:val="Hyperlink"/>
            <w:noProof/>
          </w:rPr>
          <w:t>i.</w:t>
        </w:r>
        <w:r w:rsidR="00164CB3">
          <w:rPr>
            <w:rFonts w:eastAsiaTheme="minorEastAsia" w:cstheme="minorBidi"/>
            <w:noProof/>
            <w:kern w:val="2"/>
            <w:sz w:val="24"/>
            <w:szCs w:val="24"/>
            <w14:ligatures w14:val="standardContextual"/>
          </w:rPr>
          <w:tab/>
        </w:r>
        <w:r w:rsidR="00164CB3" w:rsidRPr="00311922">
          <w:rPr>
            <w:rStyle w:val="Hyperlink"/>
            <w:noProof/>
          </w:rPr>
          <w:t>Attending in person</w:t>
        </w:r>
        <w:r w:rsidR="00164CB3">
          <w:rPr>
            <w:noProof/>
            <w:webHidden/>
          </w:rPr>
          <w:tab/>
        </w:r>
        <w:r w:rsidR="00164CB3">
          <w:rPr>
            <w:noProof/>
            <w:webHidden/>
          </w:rPr>
          <w:fldChar w:fldCharType="begin"/>
        </w:r>
        <w:r w:rsidR="00164CB3">
          <w:rPr>
            <w:noProof/>
            <w:webHidden/>
          </w:rPr>
          <w:instrText xml:space="preserve"> PAGEREF _Toc159851658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66C70995" w14:textId="0A86F650" w:rsidR="00164CB3" w:rsidRDefault="00000000">
      <w:pPr>
        <w:pStyle w:val="TOC5"/>
        <w:tabs>
          <w:tab w:val="left" w:pos="1320"/>
          <w:tab w:val="right" w:leader="dot" w:pos="9350"/>
        </w:tabs>
        <w:rPr>
          <w:rFonts w:eastAsiaTheme="minorEastAsia" w:cstheme="minorBidi"/>
          <w:noProof/>
          <w:kern w:val="2"/>
          <w:sz w:val="24"/>
          <w:szCs w:val="24"/>
          <w14:ligatures w14:val="standardContextual"/>
        </w:rPr>
      </w:pPr>
      <w:hyperlink w:anchor="_Toc159851659" w:history="1">
        <w:r w:rsidR="00164CB3" w:rsidRPr="00311922">
          <w:rPr>
            <w:rStyle w:val="Hyperlink"/>
            <w:noProof/>
          </w:rPr>
          <w:t>ii.</w:t>
        </w:r>
        <w:r w:rsidR="00164CB3">
          <w:rPr>
            <w:rFonts w:eastAsiaTheme="minorEastAsia" w:cstheme="minorBidi"/>
            <w:noProof/>
            <w:kern w:val="2"/>
            <w:sz w:val="24"/>
            <w:szCs w:val="24"/>
            <w14:ligatures w14:val="standardContextual"/>
          </w:rPr>
          <w:tab/>
        </w:r>
        <w:r w:rsidR="00164CB3" w:rsidRPr="00311922">
          <w:rPr>
            <w:rStyle w:val="Hyperlink"/>
            <w:noProof/>
          </w:rPr>
          <w:t>Serial “meetings”</w:t>
        </w:r>
        <w:r w:rsidR="00164CB3">
          <w:rPr>
            <w:noProof/>
            <w:webHidden/>
          </w:rPr>
          <w:tab/>
        </w:r>
        <w:r w:rsidR="00164CB3">
          <w:rPr>
            <w:noProof/>
            <w:webHidden/>
          </w:rPr>
          <w:fldChar w:fldCharType="begin"/>
        </w:r>
        <w:r w:rsidR="00164CB3">
          <w:rPr>
            <w:noProof/>
            <w:webHidden/>
          </w:rPr>
          <w:instrText xml:space="preserve"> PAGEREF _Toc159851659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7CC7809A" w14:textId="241489CA" w:rsidR="00164CB3" w:rsidRDefault="00000000" w:rsidP="002B08D3">
      <w:pPr>
        <w:pStyle w:val="TOC4"/>
        <w:rPr>
          <w:rFonts w:eastAsiaTheme="minorEastAsia" w:cstheme="minorBidi"/>
          <w:noProof/>
          <w:kern w:val="2"/>
          <w:sz w:val="24"/>
          <w:szCs w:val="24"/>
          <w14:ligatures w14:val="standardContextual"/>
        </w:rPr>
      </w:pPr>
      <w:hyperlink w:anchor="_Toc159851660"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Discussing public business</w:t>
        </w:r>
        <w:r w:rsidR="00164CB3">
          <w:rPr>
            <w:noProof/>
            <w:webHidden/>
          </w:rPr>
          <w:tab/>
        </w:r>
        <w:r w:rsidR="00164CB3">
          <w:rPr>
            <w:noProof/>
            <w:webHidden/>
          </w:rPr>
          <w:fldChar w:fldCharType="begin"/>
        </w:r>
        <w:r w:rsidR="00164CB3">
          <w:rPr>
            <w:noProof/>
            <w:webHidden/>
          </w:rPr>
          <w:instrText xml:space="preserve"> PAGEREF _Toc159851660 \h </w:instrText>
        </w:r>
        <w:r w:rsidR="00164CB3">
          <w:rPr>
            <w:noProof/>
            <w:webHidden/>
          </w:rPr>
        </w:r>
        <w:r w:rsidR="00164CB3">
          <w:rPr>
            <w:noProof/>
            <w:webHidden/>
          </w:rPr>
          <w:fldChar w:fldCharType="separate"/>
        </w:r>
        <w:r w:rsidR="00DE7A7E">
          <w:rPr>
            <w:noProof/>
            <w:webHidden/>
          </w:rPr>
          <w:t>111</w:t>
        </w:r>
        <w:r w:rsidR="00164CB3">
          <w:rPr>
            <w:noProof/>
            <w:webHidden/>
          </w:rPr>
          <w:fldChar w:fldCharType="end"/>
        </w:r>
      </w:hyperlink>
    </w:p>
    <w:p w14:paraId="0C9D8E3B" w14:textId="295F8E94" w:rsidR="00164CB3" w:rsidRDefault="00000000" w:rsidP="002B08D3">
      <w:pPr>
        <w:pStyle w:val="TOC3"/>
        <w:rPr>
          <w:rFonts w:eastAsiaTheme="minorEastAsia" w:cstheme="minorBidi"/>
          <w:noProof/>
          <w:kern w:val="2"/>
          <w:sz w:val="24"/>
          <w:szCs w:val="24"/>
          <w14:ligatures w14:val="standardContextual"/>
        </w:rPr>
      </w:pPr>
      <w:hyperlink w:anchor="_Toc15985166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Applying the definition of “meeting”</w:t>
        </w:r>
        <w:r w:rsidR="00164CB3">
          <w:rPr>
            <w:noProof/>
            <w:webHidden/>
          </w:rPr>
          <w:tab/>
        </w:r>
        <w:r w:rsidR="00164CB3">
          <w:rPr>
            <w:noProof/>
            <w:webHidden/>
          </w:rPr>
          <w:fldChar w:fldCharType="begin"/>
        </w:r>
        <w:r w:rsidR="00164CB3">
          <w:rPr>
            <w:noProof/>
            <w:webHidden/>
          </w:rPr>
          <w:instrText xml:space="preserve"> PAGEREF _Toc159851661 \h </w:instrText>
        </w:r>
        <w:r w:rsidR="00164CB3">
          <w:rPr>
            <w:noProof/>
            <w:webHidden/>
          </w:rPr>
        </w:r>
        <w:r w:rsidR="00164CB3">
          <w:rPr>
            <w:noProof/>
            <w:webHidden/>
          </w:rPr>
          <w:fldChar w:fldCharType="separate"/>
        </w:r>
        <w:r w:rsidR="00DE7A7E">
          <w:rPr>
            <w:noProof/>
            <w:webHidden/>
          </w:rPr>
          <w:t>112</w:t>
        </w:r>
        <w:r w:rsidR="00164CB3">
          <w:rPr>
            <w:noProof/>
            <w:webHidden/>
          </w:rPr>
          <w:fldChar w:fldCharType="end"/>
        </w:r>
      </w:hyperlink>
    </w:p>
    <w:p w14:paraId="136631B2" w14:textId="1D0EB6EE" w:rsidR="00164CB3" w:rsidRDefault="00000000" w:rsidP="002B08D3">
      <w:pPr>
        <w:pStyle w:val="TOC4"/>
        <w:rPr>
          <w:rFonts w:eastAsiaTheme="minorEastAsia" w:cstheme="minorBidi"/>
          <w:noProof/>
          <w:kern w:val="2"/>
          <w:sz w:val="24"/>
          <w:szCs w:val="24"/>
          <w14:ligatures w14:val="standardContextual"/>
        </w:rPr>
      </w:pPr>
      <w:hyperlink w:anchor="_Toc159851662"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Work sessions</w:t>
        </w:r>
        <w:r w:rsidR="00164CB3">
          <w:rPr>
            <w:noProof/>
            <w:webHidden/>
          </w:rPr>
          <w:tab/>
        </w:r>
        <w:r w:rsidR="00164CB3">
          <w:rPr>
            <w:noProof/>
            <w:webHidden/>
          </w:rPr>
          <w:fldChar w:fldCharType="begin"/>
        </w:r>
        <w:r w:rsidR="00164CB3">
          <w:rPr>
            <w:noProof/>
            <w:webHidden/>
          </w:rPr>
          <w:instrText xml:space="preserve"> PAGEREF _Toc159851662 \h </w:instrText>
        </w:r>
        <w:r w:rsidR="00164CB3">
          <w:rPr>
            <w:noProof/>
            <w:webHidden/>
          </w:rPr>
        </w:r>
        <w:r w:rsidR="00164CB3">
          <w:rPr>
            <w:noProof/>
            <w:webHidden/>
          </w:rPr>
          <w:fldChar w:fldCharType="separate"/>
        </w:r>
        <w:r w:rsidR="00DE7A7E">
          <w:rPr>
            <w:noProof/>
            <w:webHidden/>
          </w:rPr>
          <w:t>112</w:t>
        </w:r>
        <w:r w:rsidR="00164CB3">
          <w:rPr>
            <w:noProof/>
            <w:webHidden/>
          </w:rPr>
          <w:fldChar w:fldCharType="end"/>
        </w:r>
      </w:hyperlink>
    </w:p>
    <w:p w14:paraId="528D3F59" w14:textId="543218BA" w:rsidR="00164CB3" w:rsidRDefault="00000000" w:rsidP="002B08D3">
      <w:pPr>
        <w:pStyle w:val="TOC4"/>
        <w:rPr>
          <w:rFonts w:eastAsiaTheme="minorEastAsia" w:cstheme="minorBidi"/>
          <w:noProof/>
          <w:kern w:val="2"/>
          <w:sz w:val="24"/>
          <w:szCs w:val="24"/>
          <w14:ligatures w14:val="standardContextual"/>
        </w:rPr>
      </w:pPr>
      <w:hyperlink w:anchor="_Toc159851663"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Quasi-judicial proceedings</w:t>
        </w:r>
        <w:r w:rsidR="00164CB3">
          <w:rPr>
            <w:noProof/>
            <w:webHidden/>
          </w:rPr>
          <w:tab/>
        </w:r>
        <w:r w:rsidR="00164CB3">
          <w:rPr>
            <w:noProof/>
            <w:webHidden/>
          </w:rPr>
          <w:fldChar w:fldCharType="begin"/>
        </w:r>
        <w:r w:rsidR="00164CB3">
          <w:rPr>
            <w:noProof/>
            <w:webHidden/>
          </w:rPr>
          <w:instrText xml:space="preserve"> PAGEREF _Toc159851663 \h </w:instrText>
        </w:r>
        <w:r w:rsidR="00164CB3">
          <w:rPr>
            <w:noProof/>
            <w:webHidden/>
          </w:rPr>
        </w:r>
        <w:r w:rsidR="00164CB3">
          <w:rPr>
            <w:noProof/>
            <w:webHidden/>
          </w:rPr>
          <w:fldChar w:fldCharType="separate"/>
        </w:r>
        <w:r w:rsidR="00DE7A7E">
          <w:rPr>
            <w:noProof/>
            <w:webHidden/>
          </w:rPr>
          <w:t>112</w:t>
        </w:r>
        <w:r w:rsidR="00164CB3">
          <w:rPr>
            <w:noProof/>
            <w:webHidden/>
          </w:rPr>
          <w:fldChar w:fldCharType="end"/>
        </w:r>
      </w:hyperlink>
    </w:p>
    <w:p w14:paraId="0FC41054" w14:textId="16F97F7C" w:rsidR="00164CB3" w:rsidRDefault="00000000" w:rsidP="002B08D3">
      <w:pPr>
        <w:pStyle w:val="TOC4"/>
        <w:rPr>
          <w:rFonts w:eastAsiaTheme="minorEastAsia" w:cstheme="minorBidi"/>
          <w:noProof/>
          <w:kern w:val="2"/>
          <w:sz w:val="24"/>
          <w:szCs w:val="24"/>
          <w14:ligatures w14:val="standardContextual"/>
        </w:rPr>
      </w:pPr>
      <w:hyperlink w:anchor="_Toc159851664"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County political party central committees</w:t>
        </w:r>
        <w:r w:rsidR="00164CB3">
          <w:rPr>
            <w:noProof/>
            <w:webHidden/>
          </w:rPr>
          <w:tab/>
        </w:r>
        <w:r w:rsidR="00164CB3">
          <w:rPr>
            <w:noProof/>
            <w:webHidden/>
          </w:rPr>
          <w:fldChar w:fldCharType="begin"/>
        </w:r>
        <w:r w:rsidR="00164CB3">
          <w:rPr>
            <w:noProof/>
            <w:webHidden/>
          </w:rPr>
          <w:instrText xml:space="preserve"> PAGEREF _Toc159851664 \h </w:instrText>
        </w:r>
        <w:r w:rsidR="00164CB3">
          <w:rPr>
            <w:noProof/>
            <w:webHidden/>
          </w:rPr>
        </w:r>
        <w:r w:rsidR="00164CB3">
          <w:rPr>
            <w:noProof/>
            <w:webHidden/>
          </w:rPr>
          <w:fldChar w:fldCharType="separate"/>
        </w:r>
        <w:r w:rsidR="00DE7A7E">
          <w:rPr>
            <w:noProof/>
            <w:webHidden/>
          </w:rPr>
          <w:t>113</w:t>
        </w:r>
        <w:r w:rsidR="00164CB3">
          <w:rPr>
            <w:noProof/>
            <w:webHidden/>
          </w:rPr>
          <w:fldChar w:fldCharType="end"/>
        </w:r>
      </w:hyperlink>
    </w:p>
    <w:p w14:paraId="6FB31591" w14:textId="685BDCC6" w:rsidR="00164CB3" w:rsidRDefault="00000000" w:rsidP="002B08D3">
      <w:pPr>
        <w:pStyle w:val="TOC4"/>
        <w:rPr>
          <w:rFonts w:eastAsiaTheme="minorEastAsia" w:cstheme="minorBidi"/>
          <w:noProof/>
          <w:kern w:val="2"/>
          <w:sz w:val="24"/>
          <w:szCs w:val="24"/>
          <w14:ligatures w14:val="standardContextual"/>
        </w:rPr>
      </w:pPr>
      <w:hyperlink w:anchor="_Toc159851665"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 xml:space="preserve"> Collective bargaining</w:t>
        </w:r>
        <w:r w:rsidR="00164CB3">
          <w:rPr>
            <w:noProof/>
            <w:webHidden/>
          </w:rPr>
          <w:tab/>
        </w:r>
        <w:r w:rsidR="00164CB3">
          <w:rPr>
            <w:noProof/>
            <w:webHidden/>
          </w:rPr>
          <w:fldChar w:fldCharType="begin"/>
        </w:r>
        <w:r w:rsidR="00164CB3">
          <w:rPr>
            <w:noProof/>
            <w:webHidden/>
          </w:rPr>
          <w:instrText xml:space="preserve"> PAGEREF _Toc159851665 \h </w:instrText>
        </w:r>
        <w:r w:rsidR="00164CB3">
          <w:rPr>
            <w:noProof/>
            <w:webHidden/>
          </w:rPr>
        </w:r>
        <w:r w:rsidR="00164CB3">
          <w:rPr>
            <w:noProof/>
            <w:webHidden/>
          </w:rPr>
          <w:fldChar w:fldCharType="separate"/>
        </w:r>
        <w:r w:rsidR="00DE7A7E">
          <w:rPr>
            <w:noProof/>
            <w:webHidden/>
          </w:rPr>
          <w:t>113</w:t>
        </w:r>
        <w:r w:rsidR="00164CB3">
          <w:rPr>
            <w:noProof/>
            <w:webHidden/>
          </w:rPr>
          <w:fldChar w:fldCharType="end"/>
        </w:r>
      </w:hyperlink>
    </w:p>
    <w:p w14:paraId="444F5E93" w14:textId="67BA6E54"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66" w:history="1">
        <w:r w:rsidR="00164CB3" w:rsidRPr="00311922">
          <w:rPr>
            <w:rStyle w:val="Hyperlink"/>
            <w:noProof/>
          </w:rPr>
          <w:t>IX.</w:t>
        </w:r>
        <w:r w:rsidR="00164CB3">
          <w:rPr>
            <w:rFonts w:eastAsiaTheme="minorEastAsia" w:cstheme="minorBidi"/>
            <w:bCs w:val="0"/>
            <w:noProof/>
            <w:kern w:val="2"/>
            <w14:ligatures w14:val="standardContextual"/>
          </w:rPr>
          <w:tab/>
        </w:r>
        <w:r w:rsidR="00164CB3" w:rsidRPr="00311922">
          <w:rPr>
            <w:rStyle w:val="Hyperlink"/>
            <w:noProof/>
          </w:rPr>
          <w:t>Chapter Nine:  Duties of a Public Body</w:t>
        </w:r>
        <w:r w:rsidR="00164CB3">
          <w:rPr>
            <w:noProof/>
            <w:webHidden/>
          </w:rPr>
          <w:tab/>
        </w:r>
        <w:r w:rsidR="00164CB3">
          <w:rPr>
            <w:noProof/>
            <w:webHidden/>
          </w:rPr>
          <w:fldChar w:fldCharType="begin"/>
        </w:r>
        <w:r w:rsidR="00164CB3">
          <w:rPr>
            <w:noProof/>
            <w:webHidden/>
          </w:rPr>
          <w:instrText xml:space="preserve"> PAGEREF _Toc159851666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33EC13D5" w14:textId="63AA78A6"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67"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Openness</w:t>
        </w:r>
        <w:r w:rsidR="00164CB3">
          <w:rPr>
            <w:noProof/>
            <w:webHidden/>
          </w:rPr>
          <w:tab/>
        </w:r>
        <w:r w:rsidR="00164CB3">
          <w:rPr>
            <w:noProof/>
            <w:webHidden/>
          </w:rPr>
          <w:fldChar w:fldCharType="begin"/>
        </w:r>
        <w:r w:rsidR="00164CB3">
          <w:rPr>
            <w:noProof/>
            <w:webHidden/>
          </w:rPr>
          <w:instrText xml:space="preserve"> PAGEREF _Toc159851667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02C19179" w14:textId="13D937E0" w:rsidR="00164CB3" w:rsidRDefault="00000000" w:rsidP="002B08D3">
      <w:pPr>
        <w:pStyle w:val="TOC3"/>
        <w:rPr>
          <w:rFonts w:eastAsiaTheme="minorEastAsia" w:cstheme="minorBidi"/>
          <w:noProof/>
          <w:kern w:val="2"/>
          <w:sz w:val="24"/>
          <w:szCs w:val="24"/>
          <w14:ligatures w14:val="standardContextual"/>
        </w:rPr>
      </w:pPr>
      <w:hyperlink w:anchor="_Toc159851668"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Where meetings may be held</w:t>
        </w:r>
        <w:r w:rsidR="00164CB3">
          <w:rPr>
            <w:noProof/>
            <w:webHidden/>
          </w:rPr>
          <w:tab/>
        </w:r>
        <w:r w:rsidR="00164CB3">
          <w:rPr>
            <w:noProof/>
            <w:webHidden/>
          </w:rPr>
          <w:fldChar w:fldCharType="begin"/>
        </w:r>
        <w:r w:rsidR="00164CB3">
          <w:rPr>
            <w:noProof/>
            <w:webHidden/>
          </w:rPr>
          <w:instrText xml:space="preserve"> PAGEREF _Toc159851668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56F6802F" w14:textId="652671C0" w:rsidR="00164CB3" w:rsidRDefault="00000000" w:rsidP="002B08D3">
      <w:pPr>
        <w:pStyle w:val="TOC3"/>
        <w:rPr>
          <w:rFonts w:eastAsiaTheme="minorEastAsia" w:cstheme="minorBidi"/>
          <w:noProof/>
          <w:kern w:val="2"/>
          <w:sz w:val="24"/>
          <w:szCs w:val="24"/>
          <w14:ligatures w14:val="standardContextual"/>
        </w:rPr>
      </w:pPr>
      <w:hyperlink w:anchor="_Toc15985166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Method of voting</w:t>
        </w:r>
        <w:r w:rsidR="00164CB3">
          <w:rPr>
            <w:noProof/>
            <w:webHidden/>
          </w:rPr>
          <w:tab/>
        </w:r>
        <w:r w:rsidR="00164CB3">
          <w:rPr>
            <w:noProof/>
            <w:webHidden/>
          </w:rPr>
          <w:fldChar w:fldCharType="begin"/>
        </w:r>
        <w:r w:rsidR="00164CB3">
          <w:rPr>
            <w:noProof/>
            <w:webHidden/>
          </w:rPr>
          <w:instrText xml:space="preserve"> PAGEREF _Toc159851669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49A071E1" w14:textId="0C13A7AD" w:rsidR="00164CB3" w:rsidRDefault="00000000" w:rsidP="002B08D3">
      <w:pPr>
        <w:pStyle w:val="TOC3"/>
        <w:rPr>
          <w:rFonts w:eastAsiaTheme="minorEastAsia" w:cstheme="minorBidi"/>
          <w:noProof/>
          <w:kern w:val="2"/>
          <w:sz w:val="24"/>
          <w:szCs w:val="24"/>
          <w14:ligatures w14:val="standardContextual"/>
        </w:rPr>
      </w:pPr>
      <w:hyperlink w:anchor="_Toc15985167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Right to hear but not to be heard or to disrupt</w:t>
        </w:r>
        <w:r w:rsidR="00164CB3">
          <w:rPr>
            <w:noProof/>
            <w:webHidden/>
          </w:rPr>
          <w:tab/>
        </w:r>
        <w:r w:rsidR="00164CB3">
          <w:rPr>
            <w:noProof/>
            <w:webHidden/>
          </w:rPr>
          <w:fldChar w:fldCharType="begin"/>
        </w:r>
        <w:r w:rsidR="00164CB3">
          <w:rPr>
            <w:noProof/>
            <w:webHidden/>
          </w:rPr>
          <w:instrText xml:space="preserve"> PAGEREF _Toc159851670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2B3D9750" w14:textId="0EA9E8A6" w:rsidR="00164CB3" w:rsidRDefault="00000000" w:rsidP="002B08D3">
      <w:pPr>
        <w:pStyle w:val="TOC3"/>
        <w:rPr>
          <w:rFonts w:eastAsiaTheme="minorEastAsia" w:cstheme="minorBidi"/>
          <w:noProof/>
          <w:kern w:val="2"/>
          <w:sz w:val="24"/>
          <w:szCs w:val="24"/>
          <w14:ligatures w14:val="standardContextual"/>
        </w:rPr>
      </w:pPr>
      <w:hyperlink w:anchor="_Toc159851671"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Audio and video recording</w:t>
        </w:r>
        <w:r w:rsidR="00164CB3">
          <w:rPr>
            <w:noProof/>
            <w:webHidden/>
          </w:rPr>
          <w:tab/>
        </w:r>
        <w:r w:rsidR="00164CB3">
          <w:rPr>
            <w:noProof/>
            <w:webHidden/>
          </w:rPr>
          <w:fldChar w:fldCharType="begin"/>
        </w:r>
        <w:r w:rsidR="00164CB3">
          <w:rPr>
            <w:noProof/>
            <w:webHidden/>
          </w:rPr>
          <w:instrText xml:space="preserve"> PAGEREF _Toc159851671 \h </w:instrText>
        </w:r>
        <w:r w:rsidR="00164CB3">
          <w:rPr>
            <w:noProof/>
            <w:webHidden/>
          </w:rPr>
        </w:r>
        <w:r w:rsidR="00164CB3">
          <w:rPr>
            <w:noProof/>
            <w:webHidden/>
          </w:rPr>
          <w:fldChar w:fldCharType="separate"/>
        </w:r>
        <w:r w:rsidR="00DE7A7E">
          <w:rPr>
            <w:noProof/>
            <w:webHidden/>
          </w:rPr>
          <w:t>117</w:t>
        </w:r>
        <w:r w:rsidR="00164CB3">
          <w:rPr>
            <w:noProof/>
            <w:webHidden/>
          </w:rPr>
          <w:fldChar w:fldCharType="end"/>
        </w:r>
      </w:hyperlink>
    </w:p>
    <w:p w14:paraId="74E291FB" w14:textId="4F093FBB" w:rsidR="00164CB3" w:rsidRDefault="00000000" w:rsidP="002B08D3">
      <w:pPr>
        <w:pStyle w:val="TOC3"/>
        <w:rPr>
          <w:rFonts w:eastAsiaTheme="minorEastAsia" w:cstheme="minorBidi"/>
          <w:noProof/>
          <w:kern w:val="2"/>
          <w:sz w:val="24"/>
          <w:szCs w:val="24"/>
          <w14:ligatures w14:val="standardContextual"/>
        </w:rPr>
      </w:pPr>
      <w:hyperlink w:anchor="_Toc159851672"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Executive sessions</w:t>
        </w:r>
        <w:r w:rsidR="00164CB3">
          <w:rPr>
            <w:noProof/>
            <w:webHidden/>
          </w:rPr>
          <w:tab/>
        </w:r>
        <w:r w:rsidR="00164CB3">
          <w:rPr>
            <w:noProof/>
            <w:webHidden/>
          </w:rPr>
          <w:fldChar w:fldCharType="begin"/>
        </w:r>
        <w:r w:rsidR="00164CB3">
          <w:rPr>
            <w:noProof/>
            <w:webHidden/>
          </w:rPr>
          <w:instrText xml:space="preserve"> PAGEREF _Toc159851672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330733AF" w14:textId="151B9797"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73"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Notice</w:t>
        </w:r>
        <w:r w:rsidR="00164CB3">
          <w:rPr>
            <w:noProof/>
            <w:webHidden/>
          </w:rPr>
          <w:tab/>
        </w:r>
        <w:r w:rsidR="00164CB3">
          <w:rPr>
            <w:noProof/>
            <w:webHidden/>
          </w:rPr>
          <w:fldChar w:fldCharType="begin"/>
        </w:r>
        <w:r w:rsidR="00164CB3">
          <w:rPr>
            <w:noProof/>
            <w:webHidden/>
          </w:rPr>
          <w:instrText xml:space="preserve"> PAGEREF _Toc159851673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365690D3" w14:textId="72AECB7C" w:rsidR="00164CB3" w:rsidRDefault="00000000" w:rsidP="002B08D3">
      <w:pPr>
        <w:pStyle w:val="TOC3"/>
        <w:rPr>
          <w:rFonts w:eastAsiaTheme="minorEastAsia" w:cstheme="minorBidi"/>
          <w:noProof/>
          <w:kern w:val="2"/>
          <w:sz w:val="24"/>
          <w:szCs w:val="24"/>
          <w14:ligatures w14:val="standardContextual"/>
        </w:rPr>
      </w:pPr>
      <w:hyperlink w:anchor="_Toc15985167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Types of meetings and notice requirements</w:t>
        </w:r>
        <w:r w:rsidR="00164CB3">
          <w:rPr>
            <w:noProof/>
            <w:webHidden/>
          </w:rPr>
          <w:tab/>
        </w:r>
        <w:r w:rsidR="00164CB3">
          <w:rPr>
            <w:noProof/>
            <w:webHidden/>
          </w:rPr>
          <w:fldChar w:fldCharType="begin"/>
        </w:r>
        <w:r w:rsidR="00164CB3">
          <w:rPr>
            <w:noProof/>
            <w:webHidden/>
          </w:rPr>
          <w:instrText xml:space="preserve"> PAGEREF _Toc159851674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31FEB6BC" w14:textId="7362B8A1" w:rsidR="00164CB3" w:rsidRDefault="00000000" w:rsidP="002B08D3">
      <w:pPr>
        <w:pStyle w:val="TOC4"/>
        <w:rPr>
          <w:rFonts w:eastAsiaTheme="minorEastAsia" w:cstheme="minorBidi"/>
          <w:noProof/>
          <w:kern w:val="2"/>
          <w:sz w:val="24"/>
          <w:szCs w:val="24"/>
          <w14:ligatures w14:val="standardContextual"/>
        </w:rPr>
      </w:pPr>
      <w:hyperlink w:anchor="_Toc15985167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Regular meetings</w:t>
        </w:r>
        <w:r w:rsidR="00164CB3">
          <w:rPr>
            <w:noProof/>
            <w:webHidden/>
          </w:rPr>
          <w:tab/>
        </w:r>
        <w:r w:rsidR="00164CB3">
          <w:rPr>
            <w:noProof/>
            <w:webHidden/>
          </w:rPr>
          <w:fldChar w:fldCharType="begin"/>
        </w:r>
        <w:r w:rsidR="00164CB3">
          <w:rPr>
            <w:noProof/>
            <w:webHidden/>
          </w:rPr>
          <w:instrText xml:space="preserve"> PAGEREF _Toc159851675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13B51A19" w14:textId="36ABC2A7" w:rsidR="00164CB3" w:rsidRDefault="00000000" w:rsidP="002B08D3">
      <w:pPr>
        <w:pStyle w:val="TOC4"/>
        <w:rPr>
          <w:rFonts w:eastAsiaTheme="minorEastAsia" w:cstheme="minorBidi"/>
          <w:noProof/>
          <w:kern w:val="2"/>
          <w:sz w:val="24"/>
          <w:szCs w:val="24"/>
          <w14:ligatures w14:val="standardContextual"/>
        </w:rPr>
      </w:pPr>
      <w:hyperlink w:anchor="_Toc15985167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Special meetings</w:t>
        </w:r>
        <w:r w:rsidR="00164CB3">
          <w:rPr>
            <w:noProof/>
            <w:webHidden/>
          </w:rPr>
          <w:tab/>
        </w:r>
        <w:r w:rsidR="00164CB3">
          <w:rPr>
            <w:noProof/>
            <w:webHidden/>
          </w:rPr>
          <w:fldChar w:fldCharType="begin"/>
        </w:r>
        <w:r w:rsidR="00164CB3">
          <w:rPr>
            <w:noProof/>
            <w:webHidden/>
          </w:rPr>
          <w:instrText xml:space="preserve"> PAGEREF _Toc159851676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25B6F5B8" w14:textId="588224A3" w:rsidR="00164CB3" w:rsidRDefault="00000000" w:rsidP="002B08D3">
      <w:pPr>
        <w:pStyle w:val="TOC4"/>
        <w:rPr>
          <w:rFonts w:eastAsiaTheme="minorEastAsia" w:cstheme="minorBidi"/>
          <w:noProof/>
          <w:kern w:val="2"/>
          <w:sz w:val="24"/>
          <w:szCs w:val="24"/>
          <w14:ligatures w14:val="standardContextual"/>
        </w:rPr>
      </w:pPr>
      <w:hyperlink w:anchor="_Toc15985167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Emergency meetings</w:t>
        </w:r>
        <w:r w:rsidR="00164CB3">
          <w:rPr>
            <w:noProof/>
            <w:webHidden/>
          </w:rPr>
          <w:tab/>
        </w:r>
        <w:r w:rsidR="00164CB3">
          <w:rPr>
            <w:noProof/>
            <w:webHidden/>
          </w:rPr>
          <w:fldChar w:fldCharType="begin"/>
        </w:r>
        <w:r w:rsidR="00164CB3">
          <w:rPr>
            <w:noProof/>
            <w:webHidden/>
          </w:rPr>
          <w:instrText xml:space="preserve"> PAGEREF _Toc159851677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76FD5601" w14:textId="4A2ACA6F" w:rsidR="00164CB3" w:rsidRDefault="00000000" w:rsidP="002B08D3">
      <w:pPr>
        <w:pStyle w:val="TOC3"/>
        <w:rPr>
          <w:rFonts w:eastAsiaTheme="minorEastAsia" w:cstheme="minorBidi"/>
          <w:noProof/>
          <w:kern w:val="2"/>
          <w:sz w:val="24"/>
          <w:szCs w:val="24"/>
          <w14:ligatures w14:val="standardContextual"/>
        </w:rPr>
      </w:pPr>
      <w:hyperlink w:anchor="_Toc159851678"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Rules for giving notice</w:t>
        </w:r>
        <w:r w:rsidR="00164CB3">
          <w:rPr>
            <w:noProof/>
            <w:webHidden/>
          </w:rPr>
          <w:tab/>
        </w:r>
        <w:r w:rsidR="00164CB3">
          <w:rPr>
            <w:noProof/>
            <w:webHidden/>
          </w:rPr>
          <w:fldChar w:fldCharType="begin"/>
        </w:r>
        <w:r w:rsidR="00164CB3">
          <w:rPr>
            <w:noProof/>
            <w:webHidden/>
          </w:rPr>
          <w:instrText xml:space="preserve"> PAGEREF _Toc159851678 \h </w:instrText>
        </w:r>
        <w:r w:rsidR="00164CB3">
          <w:rPr>
            <w:noProof/>
            <w:webHidden/>
          </w:rPr>
        </w:r>
        <w:r w:rsidR="00164CB3">
          <w:rPr>
            <w:noProof/>
            <w:webHidden/>
          </w:rPr>
          <w:fldChar w:fldCharType="separate"/>
        </w:r>
        <w:r w:rsidR="00DE7A7E">
          <w:rPr>
            <w:noProof/>
            <w:webHidden/>
          </w:rPr>
          <w:t>118</w:t>
        </w:r>
        <w:r w:rsidR="00164CB3">
          <w:rPr>
            <w:noProof/>
            <w:webHidden/>
          </w:rPr>
          <w:fldChar w:fldCharType="end"/>
        </w:r>
      </w:hyperlink>
    </w:p>
    <w:p w14:paraId="6FD94D1C" w14:textId="0F7FC05C" w:rsidR="00164CB3" w:rsidRDefault="00000000" w:rsidP="002B08D3">
      <w:pPr>
        <w:pStyle w:val="TOC3"/>
        <w:rPr>
          <w:rFonts w:eastAsiaTheme="minorEastAsia" w:cstheme="minorBidi"/>
          <w:noProof/>
          <w:kern w:val="2"/>
          <w:sz w:val="24"/>
          <w:szCs w:val="24"/>
          <w14:ligatures w14:val="standardContextual"/>
        </w:rPr>
      </w:pPr>
      <w:hyperlink w:anchor="_Toc159851679"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Notice by publication</w:t>
        </w:r>
        <w:r w:rsidR="00164CB3">
          <w:rPr>
            <w:noProof/>
            <w:webHidden/>
          </w:rPr>
          <w:tab/>
        </w:r>
        <w:r w:rsidR="00164CB3">
          <w:rPr>
            <w:noProof/>
            <w:webHidden/>
          </w:rPr>
          <w:fldChar w:fldCharType="begin"/>
        </w:r>
        <w:r w:rsidR="00164CB3">
          <w:rPr>
            <w:noProof/>
            <w:webHidden/>
          </w:rPr>
          <w:instrText xml:space="preserve"> PAGEREF _Toc159851679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7E7028F9" w14:textId="32BBE1C5"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0"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Minutes</w:t>
        </w:r>
        <w:r w:rsidR="00164CB3">
          <w:rPr>
            <w:noProof/>
            <w:webHidden/>
          </w:rPr>
          <w:tab/>
        </w:r>
        <w:r w:rsidR="00164CB3">
          <w:rPr>
            <w:noProof/>
            <w:webHidden/>
          </w:rPr>
          <w:fldChar w:fldCharType="begin"/>
        </w:r>
        <w:r w:rsidR="00164CB3">
          <w:rPr>
            <w:noProof/>
            <w:webHidden/>
          </w:rPr>
          <w:instrText xml:space="preserve"> PAGEREF _Toc159851680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2FE0D7C3" w14:textId="07BBCFDD" w:rsidR="00164CB3" w:rsidRDefault="00000000" w:rsidP="002B08D3">
      <w:pPr>
        <w:pStyle w:val="TOC3"/>
        <w:rPr>
          <w:rFonts w:eastAsiaTheme="minorEastAsia" w:cstheme="minorBidi"/>
          <w:noProof/>
          <w:kern w:val="2"/>
          <w:sz w:val="24"/>
          <w:szCs w:val="24"/>
          <w14:ligatures w14:val="standardContextual"/>
        </w:rPr>
      </w:pPr>
      <w:hyperlink w:anchor="_Toc159851681"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Content of minutes</w:t>
        </w:r>
        <w:r w:rsidR="00164CB3">
          <w:rPr>
            <w:noProof/>
            <w:webHidden/>
          </w:rPr>
          <w:tab/>
        </w:r>
        <w:r w:rsidR="00164CB3">
          <w:rPr>
            <w:noProof/>
            <w:webHidden/>
          </w:rPr>
          <w:fldChar w:fldCharType="begin"/>
        </w:r>
        <w:r w:rsidR="00164CB3">
          <w:rPr>
            <w:noProof/>
            <w:webHidden/>
          </w:rPr>
          <w:instrText xml:space="preserve"> PAGEREF _Toc159851681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5FC21EB1" w14:textId="1D9DBD5E" w:rsidR="00164CB3" w:rsidRDefault="00000000" w:rsidP="002B08D3">
      <w:pPr>
        <w:pStyle w:val="TOC3"/>
        <w:rPr>
          <w:rFonts w:eastAsiaTheme="minorEastAsia" w:cstheme="minorBidi"/>
          <w:noProof/>
          <w:kern w:val="2"/>
          <w:sz w:val="24"/>
          <w:szCs w:val="24"/>
          <w14:ligatures w14:val="standardContextual"/>
        </w:rPr>
      </w:pPr>
      <w:hyperlink w:anchor="_Toc159851682"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Making minutes available “promptly” as a public record</w:t>
        </w:r>
        <w:r w:rsidR="00164CB3">
          <w:rPr>
            <w:noProof/>
            <w:webHidden/>
          </w:rPr>
          <w:tab/>
        </w:r>
        <w:r w:rsidR="00164CB3">
          <w:rPr>
            <w:noProof/>
            <w:webHidden/>
          </w:rPr>
          <w:fldChar w:fldCharType="begin"/>
        </w:r>
        <w:r w:rsidR="00164CB3">
          <w:rPr>
            <w:noProof/>
            <w:webHidden/>
          </w:rPr>
          <w:instrText xml:space="preserve"> PAGEREF _Toc159851682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352057C0" w14:textId="4763C0DB" w:rsidR="00164CB3" w:rsidRDefault="00000000" w:rsidP="002B08D3">
      <w:pPr>
        <w:pStyle w:val="TOC3"/>
        <w:rPr>
          <w:rFonts w:eastAsiaTheme="minorEastAsia" w:cstheme="minorBidi"/>
          <w:noProof/>
          <w:kern w:val="2"/>
          <w:sz w:val="24"/>
          <w:szCs w:val="24"/>
          <w14:ligatures w14:val="standardContextual"/>
        </w:rPr>
      </w:pPr>
      <w:hyperlink w:anchor="_Toc159851683"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Medium on which minutes are kept</w:t>
        </w:r>
        <w:r w:rsidR="00164CB3">
          <w:rPr>
            <w:noProof/>
            <w:webHidden/>
          </w:rPr>
          <w:tab/>
        </w:r>
        <w:r w:rsidR="00164CB3">
          <w:rPr>
            <w:noProof/>
            <w:webHidden/>
          </w:rPr>
          <w:fldChar w:fldCharType="begin"/>
        </w:r>
        <w:r w:rsidR="00164CB3">
          <w:rPr>
            <w:noProof/>
            <w:webHidden/>
          </w:rPr>
          <w:instrText xml:space="preserve"> PAGEREF _Toc159851683 \h </w:instrText>
        </w:r>
        <w:r w:rsidR="00164CB3">
          <w:rPr>
            <w:noProof/>
            <w:webHidden/>
          </w:rPr>
        </w:r>
        <w:r w:rsidR="00164CB3">
          <w:rPr>
            <w:noProof/>
            <w:webHidden/>
          </w:rPr>
          <w:fldChar w:fldCharType="separate"/>
        </w:r>
        <w:r w:rsidR="00DE7A7E">
          <w:rPr>
            <w:noProof/>
            <w:webHidden/>
          </w:rPr>
          <w:t>119</w:t>
        </w:r>
        <w:r w:rsidR="00164CB3">
          <w:rPr>
            <w:noProof/>
            <w:webHidden/>
          </w:rPr>
          <w:fldChar w:fldCharType="end"/>
        </w:r>
      </w:hyperlink>
    </w:p>
    <w:p w14:paraId="34D3265C" w14:textId="18505662"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4" w:history="1">
        <w:r w:rsidR="00164CB3" w:rsidRPr="00311922">
          <w:rPr>
            <w:rStyle w:val="Hyperlink"/>
            <w:noProof/>
          </w:rPr>
          <w:t>D.</w:t>
        </w:r>
        <w:r w:rsidR="00164CB3">
          <w:rPr>
            <w:rFonts w:eastAsiaTheme="minorEastAsia" w:cstheme="minorBidi"/>
            <w:b w:val="0"/>
            <w:bCs w:val="0"/>
            <w:noProof/>
            <w:kern w:val="2"/>
            <w:sz w:val="24"/>
            <w:szCs w:val="24"/>
            <w14:ligatures w14:val="standardContextual"/>
          </w:rPr>
          <w:tab/>
        </w:r>
        <w:r w:rsidR="00164CB3" w:rsidRPr="00311922">
          <w:rPr>
            <w:rStyle w:val="Hyperlink"/>
            <w:noProof/>
          </w:rPr>
          <w:t>Modified Duties of Public Bodies under Special Circumstances</w:t>
        </w:r>
        <w:r w:rsidR="00164CB3">
          <w:rPr>
            <w:noProof/>
            <w:webHidden/>
          </w:rPr>
          <w:tab/>
        </w:r>
        <w:r w:rsidR="00164CB3">
          <w:rPr>
            <w:noProof/>
            <w:webHidden/>
          </w:rPr>
          <w:fldChar w:fldCharType="begin"/>
        </w:r>
        <w:r w:rsidR="00164CB3">
          <w:rPr>
            <w:noProof/>
            <w:webHidden/>
          </w:rPr>
          <w:instrText xml:space="preserve"> PAGEREF _Toc159851684 \h </w:instrText>
        </w:r>
        <w:r w:rsidR="00164CB3">
          <w:rPr>
            <w:noProof/>
            <w:webHidden/>
          </w:rPr>
        </w:r>
        <w:r w:rsidR="00164CB3">
          <w:rPr>
            <w:noProof/>
            <w:webHidden/>
          </w:rPr>
          <w:fldChar w:fldCharType="separate"/>
        </w:r>
        <w:r w:rsidR="00DE7A7E">
          <w:rPr>
            <w:noProof/>
            <w:webHidden/>
          </w:rPr>
          <w:t>120</w:t>
        </w:r>
        <w:r w:rsidR="00164CB3">
          <w:rPr>
            <w:noProof/>
            <w:webHidden/>
          </w:rPr>
          <w:fldChar w:fldCharType="end"/>
        </w:r>
      </w:hyperlink>
    </w:p>
    <w:p w14:paraId="23736773" w14:textId="552FD13B" w:rsidR="00164CB3" w:rsidRDefault="00000000" w:rsidP="002B08D3">
      <w:pPr>
        <w:pStyle w:val="TOC3"/>
        <w:rPr>
          <w:rFonts w:eastAsiaTheme="minorEastAsia" w:cstheme="minorBidi"/>
          <w:noProof/>
          <w:kern w:val="2"/>
          <w:sz w:val="24"/>
          <w:szCs w:val="24"/>
          <w14:ligatures w14:val="standardContextual"/>
        </w:rPr>
      </w:pPr>
      <w:hyperlink w:anchor="_Toc159851685"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Declared emergency</w:t>
        </w:r>
        <w:r w:rsidR="00164CB3">
          <w:rPr>
            <w:noProof/>
            <w:webHidden/>
          </w:rPr>
          <w:tab/>
        </w:r>
        <w:r w:rsidR="00164CB3">
          <w:rPr>
            <w:noProof/>
            <w:webHidden/>
          </w:rPr>
          <w:fldChar w:fldCharType="begin"/>
        </w:r>
        <w:r w:rsidR="00164CB3">
          <w:rPr>
            <w:noProof/>
            <w:webHidden/>
          </w:rPr>
          <w:instrText xml:space="preserve"> PAGEREF _Toc159851685 \h </w:instrText>
        </w:r>
        <w:r w:rsidR="00164CB3">
          <w:rPr>
            <w:noProof/>
            <w:webHidden/>
          </w:rPr>
        </w:r>
        <w:r w:rsidR="00164CB3">
          <w:rPr>
            <w:noProof/>
            <w:webHidden/>
          </w:rPr>
          <w:fldChar w:fldCharType="separate"/>
        </w:r>
        <w:r w:rsidR="00DE7A7E">
          <w:rPr>
            <w:noProof/>
            <w:webHidden/>
          </w:rPr>
          <w:t>120</w:t>
        </w:r>
        <w:r w:rsidR="00164CB3">
          <w:rPr>
            <w:noProof/>
            <w:webHidden/>
          </w:rPr>
          <w:fldChar w:fldCharType="end"/>
        </w:r>
      </w:hyperlink>
    </w:p>
    <w:p w14:paraId="1D5459F5" w14:textId="5C94F6D2" w:rsidR="00164CB3" w:rsidRDefault="00000000" w:rsidP="002B08D3">
      <w:pPr>
        <w:pStyle w:val="TOC3"/>
        <w:rPr>
          <w:rFonts w:eastAsiaTheme="minorEastAsia" w:cstheme="minorBidi"/>
          <w:noProof/>
          <w:kern w:val="2"/>
          <w:sz w:val="24"/>
          <w:szCs w:val="24"/>
          <w14:ligatures w14:val="standardContextual"/>
        </w:rPr>
      </w:pPr>
      <w:hyperlink w:anchor="_Toc15985168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Municipal charters</w:t>
        </w:r>
        <w:r w:rsidR="00164CB3">
          <w:rPr>
            <w:noProof/>
            <w:webHidden/>
          </w:rPr>
          <w:tab/>
        </w:r>
        <w:r w:rsidR="00164CB3">
          <w:rPr>
            <w:noProof/>
            <w:webHidden/>
          </w:rPr>
          <w:fldChar w:fldCharType="begin"/>
        </w:r>
        <w:r w:rsidR="00164CB3">
          <w:rPr>
            <w:noProof/>
            <w:webHidden/>
          </w:rPr>
          <w:instrText xml:space="preserve"> PAGEREF _Toc159851686 \h </w:instrText>
        </w:r>
        <w:r w:rsidR="00164CB3">
          <w:rPr>
            <w:noProof/>
            <w:webHidden/>
          </w:rPr>
        </w:r>
        <w:r w:rsidR="00164CB3">
          <w:rPr>
            <w:noProof/>
            <w:webHidden/>
          </w:rPr>
          <w:fldChar w:fldCharType="separate"/>
        </w:r>
        <w:r w:rsidR="00DE7A7E">
          <w:rPr>
            <w:noProof/>
            <w:webHidden/>
          </w:rPr>
          <w:t>120</w:t>
        </w:r>
        <w:r w:rsidR="00164CB3">
          <w:rPr>
            <w:noProof/>
            <w:webHidden/>
          </w:rPr>
          <w:fldChar w:fldCharType="end"/>
        </w:r>
      </w:hyperlink>
    </w:p>
    <w:p w14:paraId="480BC1CD" w14:textId="440098B0"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687" w:history="1">
        <w:r w:rsidR="00164CB3" w:rsidRPr="00311922">
          <w:rPr>
            <w:rStyle w:val="Hyperlink"/>
            <w:noProof/>
          </w:rPr>
          <w:t>X.</w:t>
        </w:r>
        <w:r w:rsidR="00164CB3">
          <w:rPr>
            <w:rFonts w:eastAsiaTheme="minorEastAsia" w:cstheme="minorBidi"/>
            <w:bCs w:val="0"/>
            <w:noProof/>
            <w:kern w:val="2"/>
            <w14:ligatures w14:val="standardContextual"/>
          </w:rPr>
          <w:tab/>
        </w:r>
        <w:r w:rsidR="00164CB3" w:rsidRPr="00311922">
          <w:rPr>
            <w:rStyle w:val="Hyperlink"/>
            <w:noProof/>
          </w:rPr>
          <w:t>Chapter Ten:  Executive Session</w:t>
        </w:r>
        <w:r w:rsidR="00164CB3">
          <w:rPr>
            <w:noProof/>
            <w:webHidden/>
          </w:rPr>
          <w:tab/>
        </w:r>
        <w:r w:rsidR="00164CB3">
          <w:rPr>
            <w:noProof/>
            <w:webHidden/>
          </w:rPr>
          <w:fldChar w:fldCharType="begin"/>
        </w:r>
        <w:r w:rsidR="00164CB3">
          <w:rPr>
            <w:noProof/>
            <w:webHidden/>
          </w:rPr>
          <w:instrText xml:space="preserve"> PAGEREF _Toc159851687 \h </w:instrText>
        </w:r>
        <w:r w:rsidR="00164CB3">
          <w:rPr>
            <w:noProof/>
            <w:webHidden/>
          </w:rPr>
        </w:r>
        <w:r w:rsidR="00164CB3">
          <w:rPr>
            <w:noProof/>
            <w:webHidden/>
          </w:rPr>
          <w:fldChar w:fldCharType="separate"/>
        </w:r>
        <w:r w:rsidR="00DE7A7E">
          <w:rPr>
            <w:noProof/>
            <w:webHidden/>
          </w:rPr>
          <w:t>124</w:t>
        </w:r>
        <w:r w:rsidR="00164CB3">
          <w:rPr>
            <w:noProof/>
            <w:webHidden/>
          </w:rPr>
          <w:fldChar w:fldCharType="end"/>
        </w:r>
      </w:hyperlink>
    </w:p>
    <w:p w14:paraId="0616BF5A" w14:textId="542C4E7F"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8"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General Principles</w:t>
        </w:r>
        <w:r w:rsidR="00164CB3">
          <w:rPr>
            <w:noProof/>
            <w:webHidden/>
          </w:rPr>
          <w:tab/>
        </w:r>
        <w:r w:rsidR="00164CB3">
          <w:rPr>
            <w:noProof/>
            <w:webHidden/>
          </w:rPr>
          <w:fldChar w:fldCharType="begin"/>
        </w:r>
        <w:r w:rsidR="00164CB3">
          <w:rPr>
            <w:noProof/>
            <w:webHidden/>
          </w:rPr>
          <w:instrText xml:space="preserve"> PAGEREF _Toc159851688 \h </w:instrText>
        </w:r>
        <w:r w:rsidR="00164CB3">
          <w:rPr>
            <w:noProof/>
            <w:webHidden/>
          </w:rPr>
        </w:r>
        <w:r w:rsidR="00164CB3">
          <w:rPr>
            <w:noProof/>
            <w:webHidden/>
          </w:rPr>
          <w:fldChar w:fldCharType="separate"/>
        </w:r>
        <w:r w:rsidR="00DE7A7E">
          <w:rPr>
            <w:noProof/>
            <w:webHidden/>
          </w:rPr>
          <w:t>125</w:t>
        </w:r>
        <w:r w:rsidR="00164CB3">
          <w:rPr>
            <w:noProof/>
            <w:webHidden/>
          </w:rPr>
          <w:fldChar w:fldCharType="end"/>
        </w:r>
      </w:hyperlink>
    </w:p>
    <w:p w14:paraId="31B7860F" w14:textId="562EA03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89"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Permissible Discussion Topics in Executive Session</w:t>
        </w:r>
        <w:r w:rsidR="00164CB3">
          <w:rPr>
            <w:noProof/>
            <w:webHidden/>
          </w:rPr>
          <w:tab/>
        </w:r>
        <w:r w:rsidR="00164CB3">
          <w:rPr>
            <w:noProof/>
            <w:webHidden/>
          </w:rPr>
          <w:fldChar w:fldCharType="begin"/>
        </w:r>
        <w:r w:rsidR="00164CB3">
          <w:rPr>
            <w:noProof/>
            <w:webHidden/>
          </w:rPr>
          <w:instrText xml:space="preserve"> PAGEREF _Toc159851689 \h </w:instrText>
        </w:r>
        <w:r w:rsidR="00164CB3">
          <w:rPr>
            <w:noProof/>
            <w:webHidden/>
          </w:rPr>
        </w:r>
        <w:r w:rsidR="00164CB3">
          <w:rPr>
            <w:noProof/>
            <w:webHidden/>
          </w:rPr>
          <w:fldChar w:fldCharType="separate"/>
        </w:r>
        <w:r w:rsidR="00DE7A7E">
          <w:rPr>
            <w:noProof/>
            <w:webHidden/>
          </w:rPr>
          <w:t>125</w:t>
        </w:r>
        <w:r w:rsidR="00164CB3">
          <w:rPr>
            <w:noProof/>
            <w:webHidden/>
          </w:rPr>
          <w:fldChar w:fldCharType="end"/>
        </w:r>
      </w:hyperlink>
    </w:p>
    <w:p w14:paraId="689EC749" w14:textId="2FFC1C25" w:rsidR="00164CB3" w:rsidRDefault="00000000" w:rsidP="002B08D3">
      <w:pPr>
        <w:pStyle w:val="TOC3"/>
        <w:rPr>
          <w:rFonts w:eastAsiaTheme="minorEastAsia" w:cstheme="minorBidi"/>
          <w:noProof/>
          <w:kern w:val="2"/>
          <w:sz w:val="24"/>
          <w:szCs w:val="24"/>
          <w14:ligatures w14:val="standardContextual"/>
        </w:rPr>
      </w:pPr>
      <w:hyperlink w:anchor="_Toc15985169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Certain personnel matters when particularly named in motion</w:t>
        </w:r>
        <w:r w:rsidR="00164CB3">
          <w:rPr>
            <w:noProof/>
            <w:webHidden/>
          </w:rPr>
          <w:tab/>
        </w:r>
        <w:r w:rsidR="00164CB3">
          <w:rPr>
            <w:noProof/>
            <w:webHidden/>
          </w:rPr>
          <w:fldChar w:fldCharType="begin"/>
        </w:r>
        <w:r w:rsidR="00164CB3">
          <w:rPr>
            <w:noProof/>
            <w:webHidden/>
          </w:rPr>
          <w:instrText xml:space="preserve"> PAGEREF _Toc159851690 \h </w:instrText>
        </w:r>
        <w:r w:rsidR="00164CB3">
          <w:rPr>
            <w:noProof/>
            <w:webHidden/>
          </w:rPr>
        </w:r>
        <w:r w:rsidR="00164CB3">
          <w:rPr>
            <w:noProof/>
            <w:webHidden/>
          </w:rPr>
          <w:fldChar w:fldCharType="separate"/>
        </w:r>
        <w:r w:rsidR="00DE7A7E">
          <w:rPr>
            <w:noProof/>
            <w:webHidden/>
          </w:rPr>
          <w:t>125</w:t>
        </w:r>
        <w:r w:rsidR="00164CB3">
          <w:rPr>
            <w:noProof/>
            <w:webHidden/>
          </w:rPr>
          <w:fldChar w:fldCharType="end"/>
        </w:r>
      </w:hyperlink>
    </w:p>
    <w:p w14:paraId="2E50338E" w14:textId="45A78326" w:rsidR="00164CB3" w:rsidRDefault="00000000" w:rsidP="002B08D3">
      <w:pPr>
        <w:pStyle w:val="TOC3"/>
        <w:rPr>
          <w:rFonts w:eastAsiaTheme="minorEastAsia" w:cstheme="minorBidi"/>
          <w:noProof/>
          <w:kern w:val="2"/>
          <w:sz w:val="24"/>
          <w:szCs w:val="24"/>
          <w14:ligatures w14:val="standardContextual"/>
        </w:rPr>
      </w:pPr>
      <w:hyperlink w:anchor="_Toc15985169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Purchase or sale of property</w:t>
        </w:r>
        <w:r w:rsidR="00164CB3">
          <w:rPr>
            <w:noProof/>
            <w:webHidden/>
          </w:rPr>
          <w:tab/>
        </w:r>
        <w:r w:rsidR="00164CB3">
          <w:rPr>
            <w:noProof/>
            <w:webHidden/>
          </w:rPr>
          <w:fldChar w:fldCharType="begin"/>
        </w:r>
        <w:r w:rsidR="00164CB3">
          <w:rPr>
            <w:noProof/>
            <w:webHidden/>
          </w:rPr>
          <w:instrText xml:space="preserve"> PAGEREF _Toc159851691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55D6A7F9" w14:textId="014533AA" w:rsidR="00164CB3" w:rsidRDefault="00000000" w:rsidP="002B08D3">
      <w:pPr>
        <w:pStyle w:val="TOC3"/>
        <w:rPr>
          <w:rFonts w:eastAsiaTheme="minorEastAsia" w:cstheme="minorBidi"/>
          <w:noProof/>
          <w:kern w:val="2"/>
          <w:sz w:val="24"/>
          <w:szCs w:val="24"/>
          <w14:ligatures w14:val="standardContextual"/>
        </w:rPr>
      </w:pPr>
      <w:hyperlink w:anchor="_Toc159851692"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Pending or imminent court action</w:t>
        </w:r>
        <w:r w:rsidR="00164CB3">
          <w:rPr>
            <w:noProof/>
            <w:webHidden/>
          </w:rPr>
          <w:tab/>
        </w:r>
        <w:r w:rsidR="00164CB3">
          <w:rPr>
            <w:noProof/>
            <w:webHidden/>
          </w:rPr>
          <w:fldChar w:fldCharType="begin"/>
        </w:r>
        <w:r w:rsidR="00164CB3">
          <w:rPr>
            <w:noProof/>
            <w:webHidden/>
          </w:rPr>
          <w:instrText xml:space="preserve"> PAGEREF _Toc159851692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26F6F00C" w14:textId="5E1AD17B" w:rsidR="00164CB3" w:rsidRDefault="00000000" w:rsidP="002B08D3">
      <w:pPr>
        <w:pStyle w:val="TOC3"/>
        <w:rPr>
          <w:rFonts w:eastAsiaTheme="minorEastAsia" w:cstheme="minorBidi"/>
          <w:noProof/>
          <w:kern w:val="2"/>
          <w:sz w:val="24"/>
          <w:szCs w:val="24"/>
          <w14:ligatures w14:val="standardContextual"/>
        </w:rPr>
      </w:pPr>
      <w:hyperlink w:anchor="_Toc159851693" w:history="1">
        <w:r w:rsidR="00164CB3" w:rsidRPr="00311922">
          <w:rPr>
            <w:rStyle w:val="Hyperlink"/>
            <w:noProof/>
          </w:rPr>
          <w:t>4.</w:t>
        </w:r>
        <w:r w:rsidR="00164CB3">
          <w:rPr>
            <w:rFonts w:eastAsiaTheme="minorEastAsia" w:cstheme="minorBidi"/>
            <w:noProof/>
            <w:kern w:val="2"/>
            <w:sz w:val="24"/>
            <w:szCs w:val="24"/>
            <w14:ligatures w14:val="standardContextual"/>
          </w:rPr>
          <w:tab/>
        </w:r>
        <w:r w:rsidR="00164CB3" w:rsidRPr="00311922">
          <w:rPr>
            <w:rStyle w:val="Hyperlink"/>
            <w:noProof/>
          </w:rPr>
          <w:t>Collective bargaining matters</w:t>
        </w:r>
        <w:r w:rsidR="00164CB3">
          <w:rPr>
            <w:noProof/>
            <w:webHidden/>
          </w:rPr>
          <w:tab/>
        </w:r>
        <w:r w:rsidR="00164CB3">
          <w:rPr>
            <w:noProof/>
            <w:webHidden/>
          </w:rPr>
          <w:fldChar w:fldCharType="begin"/>
        </w:r>
        <w:r w:rsidR="00164CB3">
          <w:rPr>
            <w:noProof/>
            <w:webHidden/>
          </w:rPr>
          <w:instrText xml:space="preserve"> PAGEREF _Toc159851693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6A63C81C" w14:textId="0CB80D2D" w:rsidR="00164CB3" w:rsidRDefault="00000000" w:rsidP="002B08D3">
      <w:pPr>
        <w:pStyle w:val="TOC3"/>
        <w:rPr>
          <w:rFonts w:eastAsiaTheme="minorEastAsia" w:cstheme="minorBidi"/>
          <w:noProof/>
          <w:kern w:val="2"/>
          <w:sz w:val="24"/>
          <w:szCs w:val="24"/>
          <w14:ligatures w14:val="standardContextual"/>
        </w:rPr>
      </w:pPr>
      <w:hyperlink w:anchor="_Toc159851694" w:history="1">
        <w:r w:rsidR="00164CB3" w:rsidRPr="00311922">
          <w:rPr>
            <w:rStyle w:val="Hyperlink"/>
            <w:noProof/>
          </w:rPr>
          <w:t>5.</w:t>
        </w:r>
        <w:r w:rsidR="00164CB3">
          <w:rPr>
            <w:rFonts w:eastAsiaTheme="minorEastAsia" w:cstheme="minorBidi"/>
            <w:noProof/>
            <w:kern w:val="2"/>
            <w:sz w:val="24"/>
            <w:szCs w:val="24"/>
            <w14:ligatures w14:val="standardContextual"/>
          </w:rPr>
          <w:tab/>
        </w:r>
        <w:r w:rsidR="00164CB3" w:rsidRPr="00311922">
          <w:rPr>
            <w:rStyle w:val="Hyperlink"/>
            <w:noProof/>
          </w:rPr>
          <w:t>Matters required to be kept confidential</w:t>
        </w:r>
        <w:r w:rsidR="00164CB3">
          <w:rPr>
            <w:noProof/>
            <w:webHidden/>
          </w:rPr>
          <w:tab/>
        </w:r>
        <w:r w:rsidR="00164CB3">
          <w:rPr>
            <w:noProof/>
            <w:webHidden/>
          </w:rPr>
          <w:fldChar w:fldCharType="begin"/>
        </w:r>
        <w:r w:rsidR="00164CB3">
          <w:rPr>
            <w:noProof/>
            <w:webHidden/>
          </w:rPr>
          <w:instrText xml:space="preserve"> PAGEREF _Toc159851694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1100CC84" w14:textId="1437F5DF" w:rsidR="00164CB3" w:rsidRDefault="00000000" w:rsidP="002B08D3">
      <w:pPr>
        <w:pStyle w:val="TOC3"/>
        <w:rPr>
          <w:rFonts w:eastAsiaTheme="minorEastAsia" w:cstheme="minorBidi"/>
          <w:noProof/>
          <w:kern w:val="2"/>
          <w:sz w:val="24"/>
          <w:szCs w:val="24"/>
          <w14:ligatures w14:val="standardContextual"/>
        </w:rPr>
      </w:pPr>
      <w:hyperlink w:anchor="_Toc159851695" w:history="1">
        <w:r w:rsidR="00164CB3" w:rsidRPr="00311922">
          <w:rPr>
            <w:rStyle w:val="Hyperlink"/>
            <w:noProof/>
          </w:rPr>
          <w:t>6.</w:t>
        </w:r>
        <w:r w:rsidR="00164CB3">
          <w:rPr>
            <w:rFonts w:eastAsiaTheme="minorEastAsia" w:cstheme="minorBidi"/>
            <w:noProof/>
            <w:kern w:val="2"/>
            <w:sz w:val="24"/>
            <w:szCs w:val="24"/>
            <w14:ligatures w14:val="standardContextual"/>
          </w:rPr>
          <w:tab/>
        </w:r>
        <w:r w:rsidR="00164CB3" w:rsidRPr="00311922">
          <w:rPr>
            <w:rStyle w:val="Hyperlink"/>
            <w:noProof/>
          </w:rPr>
          <w:t>Security matters</w:t>
        </w:r>
        <w:r w:rsidR="00164CB3">
          <w:rPr>
            <w:noProof/>
            <w:webHidden/>
          </w:rPr>
          <w:tab/>
        </w:r>
        <w:r w:rsidR="00164CB3">
          <w:rPr>
            <w:noProof/>
            <w:webHidden/>
          </w:rPr>
          <w:fldChar w:fldCharType="begin"/>
        </w:r>
        <w:r w:rsidR="00164CB3">
          <w:rPr>
            <w:noProof/>
            <w:webHidden/>
          </w:rPr>
          <w:instrText xml:space="preserve"> PAGEREF _Toc159851695 \h </w:instrText>
        </w:r>
        <w:r w:rsidR="00164CB3">
          <w:rPr>
            <w:noProof/>
            <w:webHidden/>
          </w:rPr>
        </w:r>
        <w:r w:rsidR="00164CB3">
          <w:rPr>
            <w:noProof/>
            <w:webHidden/>
          </w:rPr>
          <w:fldChar w:fldCharType="separate"/>
        </w:r>
        <w:r w:rsidR="00DE7A7E">
          <w:rPr>
            <w:noProof/>
            <w:webHidden/>
          </w:rPr>
          <w:t>126</w:t>
        </w:r>
        <w:r w:rsidR="00164CB3">
          <w:rPr>
            <w:noProof/>
            <w:webHidden/>
          </w:rPr>
          <w:fldChar w:fldCharType="end"/>
        </w:r>
      </w:hyperlink>
    </w:p>
    <w:p w14:paraId="66B29E78" w14:textId="04B6F82E" w:rsidR="00164CB3" w:rsidRDefault="00000000" w:rsidP="002B08D3">
      <w:pPr>
        <w:pStyle w:val="TOC3"/>
        <w:rPr>
          <w:rFonts w:eastAsiaTheme="minorEastAsia" w:cstheme="minorBidi"/>
          <w:noProof/>
          <w:kern w:val="2"/>
          <w:sz w:val="24"/>
          <w:szCs w:val="24"/>
          <w14:ligatures w14:val="standardContextual"/>
        </w:rPr>
      </w:pPr>
      <w:hyperlink w:anchor="_Toc159851696" w:history="1">
        <w:r w:rsidR="00164CB3" w:rsidRPr="00311922">
          <w:rPr>
            <w:rStyle w:val="Hyperlink"/>
            <w:noProof/>
          </w:rPr>
          <w:t>7.</w:t>
        </w:r>
        <w:r w:rsidR="00164CB3">
          <w:rPr>
            <w:rFonts w:eastAsiaTheme="minorEastAsia" w:cstheme="minorBidi"/>
            <w:noProof/>
            <w:kern w:val="2"/>
            <w:sz w:val="24"/>
            <w:szCs w:val="24"/>
            <w14:ligatures w14:val="standardContextual"/>
          </w:rPr>
          <w:tab/>
        </w:r>
        <w:r w:rsidR="00164CB3" w:rsidRPr="00311922">
          <w:rPr>
            <w:rStyle w:val="Hyperlink"/>
            <w:noProof/>
          </w:rPr>
          <w:t>Hospital trade secrets</w:t>
        </w:r>
        <w:r w:rsidR="00164CB3">
          <w:rPr>
            <w:noProof/>
            <w:webHidden/>
          </w:rPr>
          <w:tab/>
        </w:r>
        <w:r w:rsidR="00164CB3">
          <w:rPr>
            <w:noProof/>
            <w:webHidden/>
          </w:rPr>
          <w:fldChar w:fldCharType="begin"/>
        </w:r>
        <w:r w:rsidR="00164CB3">
          <w:rPr>
            <w:noProof/>
            <w:webHidden/>
          </w:rPr>
          <w:instrText xml:space="preserve"> PAGEREF _Toc159851696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6D765C79" w14:textId="455E93B0" w:rsidR="00164CB3" w:rsidRDefault="00000000" w:rsidP="002B08D3">
      <w:pPr>
        <w:pStyle w:val="TOC3"/>
        <w:rPr>
          <w:rFonts w:eastAsiaTheme="minorEastAsia" w:cstheme="minorBidi"/>
          <w:noProof/>
          <w:kern w:val="2"/>
          <w:sz w:val="24"/>
          <w:szCs w:val="24"/>
          <w14:ligatures w14:val="standardContextual"/>
        </w:rPr>
      </w:pPr>
      <w:hyperlink w:anchor="_Toc159851697" w:history="1">
        <w:r w:rsidR="00164CB3" w:rsidRPr="00311922">
          <w:rPr>
            <w:rStyle w:val="Hyperlink"/>
            <w:noProof/>
          </w:rPr>
          <w:t>8.</w:t>
        </w:r>
        <w:r w:rsidR="00164CB3">
          <w:rPr>
            <w:rFonts w:eastAsiaTheme="minorEastAsia" w:cstheme="minorBidi"/>
            <w:noProof/>
            <w:kern w:val="2"/>
            <w:sz w:val="24"/>
            <w:szCs w:val="24"/>
            <w14:ligatures w14:val="standardContextual"/>
          </w:rPr>
          <w:tab/>
        </w:r>
        <w:r w:rsidR="00164CB3" w:rsidRPr="00311922">
          <w:rPr>
            <w:rStyle w:val="Hyperlink"/>
            <w:noProof/>
          </w:rPr>
          <w:t>Confidential business information of an applicant for economic development assistance</w:t>
        </w:r>
        <w:r w:rsidR="00164CB3">
          <w:rPr>
            <w:noProof/>
            <w:webHidden/>
          </w:rPr>
          <w:tab/>
        </w:r>
        <w:r w:rsidR="00164CB3">
          <w:rPr>
            <w:noProof/>
            <w:webHidden/>
          </w:rPr>
          <w:fldChar w:fldCharType="begin"/>
        </w:r>
        <w:r w:rsidR="00164CB3">
          <w:rPr>
            <w:noProof/>
            <w:webHidden/>
          </w:rPr>
          <w:instrText xml:space="preserve"> PAGEREF _Toc159851697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70C689F6" w14:textId="2A3148F7" w:rsidR="00164CB3" w:rsidRDefault="00000000" w:rsidP="002B08D3">
      <w:pPr>
        <w:pStyle w:val="TOC3"/>
        <w:rPr>
          <w:rFonts w:eastAsiaTheme="minorEastAsia" w:cstheme="minorBidi"/>
          <w:noProof/>
          <w:kern w:val="2"/>
          <w:sz w:val="24"/>
          <w:szCs w:val="24"/>
          <w14:ligatures w14:val="standardContextual"/>
        </w:rPr>
      </w:pPr>
      <w:hyperlink w:anchor="_Toc159851698" w:history="1">
        <w:r w:rsidR="00164CB3" w:rsidRPr="00311922">
          <w:rPr>
            <w:rStyle w:val="Hyperlink"/>
            <w:noProof/>
          </w:rPr>
          <w:t>9.</w:t>
        </w:r>
        <w:r w:rsidR="00164CB3">
          <w:rPr>
            <w:rFonts w:eastAsiaTheme="minorEastAsia" w:cstheme="minorBidi"/>
            <w:noProof/>
            <w:kern w:val="2"/>
            <w:sz w:val="24"/>
            <w:szCs w:val="24"/>
            <w14:ligatures w14:val="standardContextual"/>
          </w:rPr>
          <w:tab/>
        </w:r>
        <w:r w:rsidR="00164CB3" w:rsidRPr="00311922">
          <w:rPr>
            <w:rStyle w:val="Hyperlink"/>
            <w:noProof/>
          </w:rPr>
          <w:t>Veterans Service Commission applications</w:t>
        </w:r>
        <w:r w:rsidR="00164CB3">
          <w:rPr>
            <w:noProof/>
            <w:webHidden/>
          </w:rPr>
          <w:tab/>
        </w:r>
        <w:r w:rsidR="00164CB3">
          <w:rPr>
            <w:noProof/>
            <w:webHidden/>
          </w:rPr>
          <w:fldChar w:fldCharType="begin"/>
        </w:r>
        <w:r w:rsidR="00164CB3">
          <w:rPr>
            <w:noProof/>
            <w:webHidden/>
          </w:rPr>
          <w:instrText xml:space="preserve"> PAGEREF _Toc159851698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0BA793E3" w14:textId="03EF97F9"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699" w:history="1">
        <w:r w:rsidR="00164CB3" w:rsidRPr="00311922">
          <w:rPr>
            <w:rStyle w:val="Hyperlink"/>
            <w:noProof/>
          </w:rPr>
          <w:t>C.</w:t>
        </w:r>
        <w:r w:rsidR="00164CB3">
          <w:rPr>
            <w:rFonts w:eastAsiaTheme="minorEastAsia" w:cstheme="minorBidi"/>
            <w:b w:val="0"/>
            <w:bCs w:val="0"/>
            <w:noProof/>
            <w:kern w:val="2"/>
            <w:sz w:val="24"/>
            <w:szCs w:val="24"/>
            <w14:ligatures w14:val="standardContextual"/>
          </w:rPr>
          <w:tab/>
        </w:r>
        <w:r w:rsidR="00164CB3" w:rsidRPr="00311922">
          <w:rPr>
            <w:rStyle w:val="Hyperlink"/>
            <w:noProof/>
          </w:rPr>
          <w:t>Proper Procedures for Executive Session</w:t>
        </w:r>
        <w:r w:rsidR="00164CB3">
          <w:rPr>
            <w:noProof/>
            <w:webHidden/>
          </w:rPr>
          <w:tab/>
        </w:r>
        <w:r w:rsidR="00164CB3">
          <w:rPr>
            <w:noProof/>
            <w:webHidden/>
          </w:rPr>
          <w:fldChar w:fldCharType="begin"/>
        </w:r>
        <w:r w:rsidR="00164CB3">
          <w:rPr>
            <w:noProof/>
            <w:webHidden/>
          </w:rPr>
          <w:instrText xml:space="preserve"> PAGEREF _Toc159851699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36E12622" w14:textId="5924E686" w:rsidR="00164CB3" w:rsidRDefault="00000000" w:rsidP="002B08D3">
      <w:pPr>
        <w:pStyle w:val="TOC3"/>
        <w:rPr>
          <w:rFonts w:eastAsiaTheme="minorEastAsia" w:cstheme="minorBidi"/>
          <w:noProof/>
          <w:kern w:val="2"/>
          <w:sz w:val="24"/>
          <w:szCs w:val="24"/>
          <w14:ligatures w14:val="standardContextual"/>
        </w:rPr>
      </w:pPr>
      <w:hyperlink w:anchor="_Toc159851700"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The motion</w:t>
        </w:r>
        <w:r w:rsidR="00164CB3">
          <w:rPr>
            <w:noProof/>
            <w:webHidden/>
          </w:rPr>
          <w:tab/>
        </w:r>
        <w:r w:rsidR="00164CB3">
          <w:rPr>
            <w:noProof/>
            <w:webHidden/>
          </w:rPr>
          <w:fldChar w:fldCharType="begin"/>
        </w:r>
        <w:r w:rsidR="00164CB3">
          <w:rPr>
            <w:noProof/>
            <w:webHidden/>
          </w:rPr>
          <w:instrText xml:space="preserve"> PAGEREF _Toc159851700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7680C8CE" w14:textId="50E61B2F" w:rsidR="00164CB3" w:rsidRDefault="00000000" w:rsidP="002B08D3">
      <w:pPr>
        <w:pStyle w:val="TOC3"/>
        <w:rPr>
          <w:rFonts w:eastAsiaTheme="minorEastAsia" w:cstheme="minorBidi"/>
          <w:noProof/>
          <w:kern w:val="2"/>
          <w:sz w:val="24"/>
          <w:szCs w:val="24"/>
          <w14:ligatures w14:val="standardContextual"/>
        </w:rPr>
      </w:pPr>
      <w:hyperlink w:anchor="_Toc159851701"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The roll call vote</w:t>
        </w:r>
        <w:r w:rsidR="00164CB3">
          <w:rPr>
            <w:noProof/>
            <w:webHidden/>
          </w:rPr>
          <w:tab/>
        </w:r>
        <w:r w:rsidR="00164CB3">
          <w:rPr>
            <w:noProof/>
            <w:webHidden/>
          </w:rPr>
          <w:fldChar w:fldCharType="begin"/>
        </w:r>
        <w:r w:rsidR="00164CB3">
          <w:rPr>
            <w:noProof/>
            <w:webHidden/>
          </w:rPr>
          <w:instrText xml:space="preserve"> PAGEREF _Toc159851701 \h </w:instrText>
        </w:r>
        <w:r w:rsidR="00164CB3">
          <w:rPr>
            <w:noProof/>
            <w:webHidden/>
          </w:rPr>
        </w:r>
        <w:r w:rsidR="00164CB3">
          <w:rPr>
            <w:noProof/>
            <w:webHidden/>
          </w:rPr>
          <w:fldChar w:fldCharType="separate"/>
        </w:r>
        <w:r w:rsidR="00DE7A7E">
          <w:rPr>
            <w:noProof/>
            <w:webHidden/>
          </w:rPr>
          <w:t>127</w:t>
        </w:r>
        <w:r w:rsidR="00164CB3">
          <w:rPr>
            <w:noProof/>
            <w:webHidden/>
          </w:rPr>
          <w:fldChar w:fldCharType="end"/>
        </w:r>
      </w:hyperlink>
    </w:p>
    <w:p w14:paraId="45A47A9A" w14:textId="4FF4D34D" w:rsidR="00164CB3" w:rsidRDefault="00000000">
      <w:pPr>
        <w:pStyle w:val="TOC1"/>
        <w:tabs>
          <w:tab w:val="left" w:pos="648"/>
          <w:tab w:val="right" w:leader="dot" w:pos="9350"/>
        </w:tabs>
        <w:rPr>
          <w:rFonts w:eastAsiaTheme="minorEastAsia" w:cstheme="minorBidi"/>
          <w:bCs w:val="0"/>
          <w:noProof/>
          <w:kern w:val="2"/>
          <w14:ligatures w14:val="standardContextual"/>
        </w:rPr>
      </w:pPr>
      <w:hyperlink w:anchor="_Toc159851702" w:history="1">
        <w:r w:rsidR="00164CB3" w:rsidRPr="00311922">
          <w:rPr>
            <w:rStyle w:val="Hyperlink"/>
            <w:noProof/>
          </w:rPr>
          <w:t>XI.</w:t>
        </w:r>
        <w:r w:rsidR="00164CB3">
          <w:rPr>
            <w:rFonts w:eastAsiaTheme="minorEastAsia" w:cstheme="minorBidi"/>
            <w:bCs w:val="0"/>
            <w:noProof/>
            <w:kern w:val="2"/>
            <w14:ligatures w14:val="standardContextual"/>
          </w:rPr>
          <w:tab/>
        </w:r>
        <w:r w:rsidR="00164CB3" w:rsidRPr="00311922">
          <w:rPr>
            <w:rStyle w:val="Hyperlink"/>
            <w:noProof/>
          </w:rPr>
          <w:t>Chapter Eleven:  Enforcement and Remedies</w:t>
        </w:r>
        <w:r w:rsidR="00164CB3">
          <w:rPr>
            <w:noProof/>
            <w:webHidden/>
          </w:rPr>
          <w:tab/>
        </w:r>
        <w:r w:rsidR="00164CB3">
          <w:rPr>
            <w:noProof/>
            <w:webHidden/>
          </w:rPr>
          <w:fldChar w:fldCharType="begin"/>
        </w:r>
        <w:r w:rsidR="00164CB3">
          <w:rPr>
            <w:noProof/>
            <w:webHidden/>
          </w:rPr>
          <w:instrText xml:space="preserve"> PAGEREF _Toc159851702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520031D9" w14:textId="73925F4D"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703" w:history="1">
        <w:r w:rsidR="00164CB3" w:rsidRPr="00311922">
          <w:rPr>
            <w:rStyle w:val="Hyperlink"/>
            <w:noProof/>
          </w:rPr>
          <w:t>A.</w:t>
        </w:r>
        <w:r w:rsidR="00164CB3">
          <w:rPr>
            <w:rFonts w:eastAsiaTheme="minorEastAsia" w:cstheme="minorBidi"/>
            <w:b w:val="0"/>
            <w:bCs w:val="0"/>
            <w:noProof/>
            <w:kern w:val="2"/>
            <w:sz w:val="24"/>
            <w:szCs w:val="24"/>
            <w14:ligatures w14:val="standardContextual"/>
          </w:rPr>
          <w:tab/>
        </w:r>
        <w:r w:rsidR="00164CB3" w:rsidRPr="00311922">
          <w:rPr>
            <w:rStyle w:val="Hyperlink"/>
            <w:noProof/>
          </w:rPr>
          <w:t>Enforcement</w:t>
        </w:r>
        <w:r w:rsidR="00164CB3">
          <w:rPr>
            <w:noProof/>
            <w:webHidden/>
          </w:rPr>
          <w:tab/>
        </w:r>
        <w:r w:rsidR="00164CB3">
          <w:rPr>
            <w:noProof/>
            <w:webHidden/>
          </w:rPr>
          <w:fldChar w:fldCharType="begin"/>
        </w:r>
        <w:r w:rsidR="00164CB3">
          <w:rPr>
            <w:noProof/>
            <w:webHidden/>
          </w:rPr>
          <w:instrText xml:space="preserve"> PAGEREF _Toc159851703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6C852BBE" w14:textId="04BE7F1E" w:rsidR="00164CB3" w:rsidRDefault="00000000" w:rsidP="002B08D3">
      <w:pPr>
        <w:pStyle w:val="TOC3"/>
        <w:rPr>
          <w:rFonts w:eastAsiaTheme="minorEastAsia" w:cstheme="minorBidi"/>
          <w:noProof/>
          <w:kern w:val="2"/>
          <w:sz w:val="24"/>
          <w:szCs w:val="24"/>
          <w14:ligatures w14:val="standardContextual"/>
        </w:rPr>
      </w:pPr>
      <w:hyperlink w:anchor="_Toc159851704"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Injunction</w:t>
        </w:r>
        <w:r w:rsidR="00164CB3">
          <w:rPr>
            <w:noProof/>
            <w:webHidden/>
          </w:rPr>
          <w:tab/>
        </w:r>
        <w:r w:rsidR="00164CB3">
          <w:rPr>
            <w:noProof/>
            <w:webHidden/>
          </w:rPr>
          <w:fldChar w:fldCharType="begin"/>
        </w:r>
        <w:r w:rsidR="00164CB3">
          <w:rPr>
            <w:noProof/>
            <w:webHidden/>
          </w:rPr>
          <w:instrText xml:space="preserve"> PAGEREF _Toc159851704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4BEC1707" w14:textId="59CF218D" w:rsidR="00164CB3" w:rsidRDefault="00000000" w:rsidP="002B08D3">
      <w:pPr>
        <w:pStyle w:val="TOC4"/>
        <w:rPr>
          <w:rFonts w:eastAsiaTheme="minorEastAsia" w:cstheme="minorBidi"/>
          <w:noProof/>
          <w:kern w:val="2"/>
          <w:sz w:val="24"/>
          <w:szCs w:val="24"/>
          <w14:ligatures w14:val="standardContextual"/>
        </w:rPr>
      </w:pPr>
      <w:hyperlink w:anchor="_Toc159851705"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Who may file and against whom</w:t>
        </w:r>
        <w:r w:rsidR="00164CB3">
          <w:rPr>
            <w:noProof/>
            <w:webHidden/>
          </w:rPr>
          <w:tab/>
        </w:r>
        <w:r w:rsidR="00164CB3">
          <w:rPr>
            <w:noProof/>
            <w:webHidden/>
          </w:rPr>
          <w:fldChar w:fldCharType="begin"/>
        </w:r>
        <w:r w:rsidR="00164CB3">
          <w:rPr>
            <w:noProof/>
            <w:webHidden/>
          </w:rPr>
          <w:instrText xml:space="preserve"> PAGEREF _Toc159851705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3B3C3CE3" w14:textId="47E26139" w:rsidR="00164CB3" w:rsidRDefault="00000000" w:rsidP="002B08D3">
      <w:pPr>
        <w:pStyle w:val="TOC4"/>
        <w:rPr>
          <w:rFonts w:eastAsiaTheme="minorEastAsia" w:cstheme="minorBidi"/>
          <w:noProof/>
          <w:kern w:val="2"/>
          <w:sz w:val="24"/>
          <w:szCs w:val="24"/>
          <w14:ligatures w14:val="standardContextual"/>
        </w:rPr>
      </w:pPr>
      <w:hyperlink w:anchor="_Toc159851706"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Where to file</w:t>
        </w:r>
        <w:r w:rsidR="00164CB3">
          <w:rPr>
            <w:noProof/>
            <w:webHidden/>
          </w:rPr>
          <w:tab/>
        </w:r>
        <w:r w:rsidR="00164CB3">
          <w:rPr>
            <w:noProof/>
            <w:webHidden/>
          </w:rPr>
          <w:fldChar w:fldCharType="begin"/>
        </w:r>
        <w:r w:rsidR="00164CB3">
          <w:rPr>
            <w:noProof/>
            <w:webHidden/>
          </w:rPr>
          <w:instrText xml:space="preserve"> PAGEREF _Toc159851706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10F8A609" w14:textId="00436554" w:rsidR="00164CB3" w:rsidRDefault="00000000" w:rsidP="002B08D3">
      <w:pPr>
        <w:pStyle w:val="TOC4"/>
        <w:rPr>
          <w:rFonts w:eastAsiaTheme="minorEastAsia" w:cstheme="minorBidi"/>
          <w:noProof/>
          <w:kern w:val="2"/>
          <w:sz w:val="24"/>
          <w:szCs w:val="24"/>
          <w14:ligatures w14:val="standardContextual"/>
        </w:rPr>
      </w:pPr>
      <w:hyperlink w:anchor="_Toc159851707"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Proving a violation</w:t>
        </w:r>
        <w:r w:rsidR="00164CB3">
          <w:rPr>
            <w:noProof/>
            <w:webHidden/>
          </w:rPr>
          <w:tab/>
        </w:r>
        <w:r w:rsidR="00164CB3">
          <w:rPr>
            <w:noProof/>
            <w:webHidden/>
          </w:rPr>
          <w:fldChar w:fldCharType="begin"/>
        </w:r>
        <w:r w:rsidR="00164CB3">
          <w:rPr>
            <w:noProof/>
            <w:webHidden/>
          </w:rPr>
          <w:instrText xml:space="preserve"> PAGEREF _Toc159851707 \h </w:instrText>
        </w:r>
        <w:r w:rsidR="00164CB3">
          <w:rPr>
            <w:noProof/>
            <w:webHidden/>
          </w:rPr>
        </w:r>
        <w:r w:rsidR="00164CB3">
          <w:rPr>
            <w:noProof/>
            <w:webHidden/>
          </w:rPr>
          <w:fldChar w:fldCharType="separate"/>
        </w:r>
        <w:r w:rsidR="00DE7A7E">
          <w:rPr>
            <w:noProof/>
            <w:webHidden/>
          </w:rPr>
          <w:t>130</w:t>
        </w:r>
        <w:r w:rsidR="00164CB3">
          <w:rPr>
            <w:noProof/>
            <w:webHidden/>
          </w:rPr>
          <w:fldChar w:fldCharType="end"/>
        </w:r>
      </w:hyperlink>
    </w:p>
    <w:p w14:paraId="2E066B61" w14:textId="6C079070" w:rsidR="00164CB3" w:rsidRDefault="00000000" w:rsidP="002B08D3">
      <w:pPr>
        <w:pStyle w:val="TOC4"/>
        <w:rPr>
          <w:rFonts w:eastAsiaTheme="minorEastAsia" w:cstheme="minorBidi"/>
          <w:noProof/>
          <w:kern w:val="2"/>
          <w:sz w:val="24"/>
          <w:szCs w:val="24"/>
          <w14:ligatures w14:val="standardContextual"/>
        </w:rPr>
      </w:pPr>
      <w:hyperlink w:anchor="_Toc159851708" w:history="1">
        <w:r w:rsidR="00164CB3" w:rsidRPr="00311922">
          <w:rPr>
            <w:rStyle w:val="Hyperlink"/>
            <w:noProof/>
          </w:rPr>
          <w:t>d.</w:t>
        </w:r>
        <w:r w:rsidR="00164CB3">
          <w:rPr>
            <w:rFonts w:eastAsiaTheme="minorEastAsia" w:cstheme="minorBidi"/>
            <w:noProof/>
            <w:kern w:val="2"/>
            <w:sz w:val="24"/>
            <w:szCs w:val="24"/>
            <w14:ligatures w14:val="standardContextual"/>
          </w:rPr>
          <w:tab/>
        </w:r>
        <w:r w:rsidR="00164CB3" w:rsidRPr="00311922">
          <w:rPr>
            <w:rStyle w:val="Hyperlink"/>
            <w:noProof/>
          </w:rPr>
          <w:t>Curing a violation</w:t>
        </w:r>
        <w:r w:rsidR="00164CB3">
          <w:rPr>
            <w:noProof/>
            <w:webHidden/>
          </w:rPr>
          <w:tab/>
        </w:r>
        <w:r w:rsidR="00164CB3">
          <w:rPr>
            <w:noProof/>
            <w:webHidden/>
          </w:rPr>
          <w:fldChar w:fldCharType="begin"/>
        </w:r>
        <w:r w:rsidR="00164CB3">
          <w:rPr>
            <w:noProof/>
            <w:webHidden/>
          </w:rPr>
          <w:instrText xml:space="preserve"> PAGEREF _Toc159851708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47524659" w14:textId="444A456D" w:rsidR="00164CB3" w:rsidRDefault="00000000" w:rsidP="002B08D3">
      <w:pPr>
        <w:pStyle w:val="TOC3"/>
        <w:rPr>
          <w:rFonts w:eastAsiaTheme="minorEastAsia" w:cstheme="minorBidi"/>
          <w:noProof/>
          <w:kern w:val="2"/>
          <w:sz w:val="24"/>
          <w:szCs w:val="24"/>
          <w14:ligatures w14:val="standardContextual"/>
        </w:rPr>
      </w:pPr>
      <w:hyperlink w:anchor="_Toc159851709"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Mandamus</w:t>
        </w:r>
        <w:r w:rsidR="00164CB3">
          <w:rPr>
            <w:noProof/>
            <w:webHidden/>
          </w:rPr>
          <w:tab/>
        </w:r>
        <w:r w:rsidR="00164CB3">
          <w:rPr>
            <w:noProof/>
            <w:webHidden/>
          </w:rPr>
          <w:fldChar w:fldCharType="begin"/>
        </w:r>
        <w:r w:rsidR="00164CB3">
          <w:rPr>
            <w:noProof/>
            <w:webHidden/>
          </w:rPr>
          <w:instrText xml:space="preserve"> PAGEREF _Toc159851709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3A61A391" w14:textId="538A05EF" w:rsidR="00164CB3" w:rsidRDefault="00000000" w:rsidP="002B08D3">
      <w:pPr>
        <w:pStyle w:val="TOC3"/>
        <w:rPr>
          <w:rFonts w:eastAsiaTheme="minorEastAsia" w:cstheme="minorBidi"/>
          <w:noProof/>
          <w:kern w:val="2"/>
          <w:sz w:val="24"/>
          <w:szCs w:val="24"/>
          <w14:ligatures w14:val="standardContextual"/>
        </w:rPr>
      </w:pPr>
      <w:hyperlink w:anchor="_Toc159851710"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Quo warranto</w:t>
        </w:r>
        <w:r w:rsidR="00164CB3">
          <w:rPr>
            <w:noProof/>
            <w:webHidden/>
          </w:rPr>
          <w:tab/>
        </w:r>
        <w:r w:rsidR="00164CB3">
          <w:rPr>
            <w:noProof/>
            <w:webHidden/>
          </w:rPr>
          <w:fldChar w:fldCharType="begin"/>
        </w:r>
        <w:r w:rsidR="00164CB3">
          <w:rPr>
            <w:noProof/>
            <w:webHidden/>
          </w:rPr>
          <w:instrText xml:space="preserve"> PAGEREF _Toc159851710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4ECCC658" w14:textId="6505C571" w:rsidR="00164CB3" w:rsidRDefault="00000000">
      <w:pPr>
        <w:pStyle w:val="TOC2"/>
        <w:tabs>
          <w:tab w:val="left" w:pos="1540"/>
          <w:tab w:val="right" w:leader="dot" w:pos="9350"/>
        </w:tabs>
        <w:rPr>
          <w:rFonts w:eastAsiaTheme="minorEastAsia" w:cstheme="minorBidi"/>
          <w:b w:val="0"/>
          <w:bCs w:val="0"/>
          <w:noProof/>
          <w:kern w:val="2"/>
          <w:sz w:val="24"/>
          <w:szCs w:val="24"/>
          <w14:ligatures w14:val="standardContextual"/>
        </w:rPr>
      </w:pPr>
      <w:hyperlink w:anchor="_Toc159851711" w:history="1">
        <w:r w:rsidR="00164CB3" w:rsidRPr="00311922">
          <w:rPr>
            <w:rStyle w:val="Hyperlink"/>
            <w:noProof/>
          </w:rPr>
          <w:t>B.</w:t>
        </w:r>
        <w:r w:rsidR="00164CB3">
          <w:rPr>
            <w:rFonts w:eastAsiaTheme="minorEastAsia" w:cstheme="minorBidi"/>
            <w:b w:val="0"/>
            <w:bCs w:val="0"/>
            <w:noProof/>
            <w:kern w:val="2"/>
            <w:sz w:val="24"/>
            <w:szCs w:val="24"/>
            <w14:ligatures w14:val="standardContextual"/>
          </w:rPr>
          <w:tab/>
        </w:r>
        <w:r w:rsidR="00164CB3" w:rsidRPr="00311922">
          <w:rPr>
            <w:rStyle w:val="Hyperlink"/>
            <w:noProof/>
          </w:rPr>
          <w:t>Remedies</w:t>
        </w:r>
        <w:r w:rsidR="00164CB3">
          <w:rPr>
            <w:noProof/>
            <w:webHidden/>
          </w:rPr>
          <w:tab/>
        </w:r>
        <w:r w:rsidR="00164CB3">
          <w:rPr>
            <w:noProof/>
            <w:webHidden/>
          </w:rPr>
          <w:fldChar w:fldCharType="begin"/>
        </w:r>
        <w:r w:rsidR="00164CB3">
          <w:rPr>
            <w:noProof/>
            <w:webHidden/>
          </w:rPr>
          <w:instrText xml:space="preserve"> PAGEREF _Toc159851711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20E2018D" w14:textId="0692AFBB" w:rsidR="00164CB3" w:rsidRDefault="00000000" w:rsidP="002B08D3">
      <w:pPr>
        <w:pStyle w:val="TOC3"/>
        <w:rPr>
          <w:rFonts w:eastAsiaTheme="minorEastAsia" w:cstheme="minorBidi"/>
          <w:noProof/>
          <w:kern w:val="2"/>
          <w:sz w:val="24"/>
          <w:szCs w:val="24"/>
          <w14:ligatures w14:val="standardContextual"/>
        </w:rPr>
      </w:pPr>
      <w:hyperlink w:anchor="_Toc159851712" w:history="1">
        <w:r w:rsidR="00164CB3" w:rsidRPr="00311922">
          <w:rPr>
            <w:rStyle w:val="Hyperlink"/>
            <w:noProof/>
          </w:rPr>
          <w:t>1.</w:t>
        </w:r>
        <w:r w:rsidR="00164CB3">
          <w:rPr>
            <w:rFonts w:eastAsiaTheme="minorEastAsia" w:cstheme="minorBidi"/>
            <w:noProof/>
            <w:kern w:val="2"/>
            <w:sz w:val="24"/>
            <w:szCs w:val="24"/>
            <w14:ligatures w14:val="standardContextual"/>
          </w:rPr>
          <w:tab/>
        </w:r>
        <w:r w:rsidR="00164CB3" w:rsidRPr="00311922">
          <w:rPr>
            <w:rStyle w:val="Hyperlink"/>
            <w:noProof/>
          </w:rPr>
          <w:t>Invalidity</w:t>
        </w:r>
        <w:r w:rsidR="00164CB3">
          <w:rPr>
            <w:noProof/>
            <w:webHidden/>
          </w:rPr>
          <w:tab/>
        </w:r>
        <w:r w:rsidR="00164CB3">
          <w:rPr>
            <w:noProof/>
            <w:webHidden/>
          </w:rPr>
          <w:fldChar w:fldCharType="begin"/>
        </w:r>
        <w:r w:rsidR="00164CB3">
          <w:rPr>
            <w:noProof/>
            <w:webHidden/>
          </w:rPr>
          <w:instrText xml:space="preserve"> PAGEREF _Toc159851712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19624110" w14:textId="44FDBB2A" w:rsidR="00164CB3" w:rsidRDefault="00000000" w:rsidP="002B08D3">
      <w:pPr>
        <w:pStyle w:val="TOC4"/>
        <w:rPr>
          <w:rFonts w:eastAsiaTheme="minorEastAsia" w:cstheme="minorBidi"/>
          <w:noProof/>
          <w:kern w:val="2"/>
          <w:sz w:val="24"/>
          <w:szCs w:val="24"/>
          <w14:ligatures w14:val="standardContextual"/>
        </w:rPr>
      </w:pPr>
      <w:hyperlink w:anchor="_Toc159851713" w:history="1">
        <w:r w:rsidR="00164CB3" w:rsidRPr="00311922">
          <w:rPr>
            <w:rStyle w:val="Hyperlink"/>
            <w:noProof/>
          </w:rPr>
          <w:t>a.</w:t>
        </w:r>
        <w:r w:rsidR="00164CB3">
          <w:rPr>
            <w:rFonts w:eastAsiaTheme="minorEastAsia" w:cstheme="minorBidi"/>
            <w:noProof/>
            <w:kern w:val="2"/>
            <w:sz w:val="24"/>
            <w:szCs w:val="24"/>
            <w14:ligatures w14:val="standardContextual"/>
          </w:rPr>
          <w:tab/>
        </w:r>
        <w:r w:rsidR="00164CB3" w:rsidRPr="00311922">
          <w:rPr>
            <w:rStyle w:val="Hyperlink"/>
            <w:noProof/>
          </w:rPr>
          <w:t xml:space="preserve"> Failure to take formal action in public</w:t>
        </w:r>
        <w:r w:rsidR="00164CB3">
          <w:rPr>
            <w:noProof/>
            <w:webHidden/>
          </w:rPr>
          <w:tab/>
        </w:r>
        <w:r w:rsidR="00164CB3">
          <w:rPr>
            <w:noProof/>
            <w:webHidden/>
          </w:rPr>
          <w:fldChar w:fldCharType="begin"/>
        </w:r>
        <w:r w:rsidR="00164CB3">
          <w:rPr>
            <w:noProof/>
            <w:webHidden/>
          </w:rPr>
          <w:instrText xml:space="preserve"> PAGEREF _Toc159851713 \h </w:instrText>
        </w:r>
        <w:r w:rsidR="00164CB3">
          <w:rPr>
            <w:noProof/>
            <w:webHidden/>
          </w:rPr>
        </w:r>
        <w:r w:rsidR="00164CB3">
          <w:rPr>
            <w:noProof/>
            <w:webHidden/>
          </w:rPr>
          <w:fldChar w:fldCharType="separate"/>
        </w:r>
        <w:r w:rsidR="00DE7A7E">
          <w:rPr>
            <w:noProof/>
            <w:webHidden/>
          </w:rPr>
          <w:t>131</w:t>
        </w:r>
        <w:r w:rsidR="00164CB3">
          <w:rPr>
            <w:noProof/>
            <w:webHidden/>
          </w:rPr>
          <w:fldChar w:fldCharType="end"/>
        </w:r>
      </w:hyperlink>
    </w:p>
    <w:p w14:paraId="6966B72F" w14:textId="05F13B7C" w:rsidR="00164CB3" w:rsidRDefault="00000000" w:rsidP="002B08D3">
      <w:pPr>
        <w:pStyle w:val="TOC4"/>
        <w:rPr>
          <w:rFonts w:eastAsiaTheme="minorEastAsia" w:cstheme="minorBidi"/>
          <w:noProof/>
          <w:kern w:val="2"/>
          <w:sz w:val="24"/>
          <w:szCs w:val="24"/>
          <w14:ligatures w14:val="standardContextual"/>
        </w:rPr>
      </w:pPr>
      <w:hyperlink w:anchor="_Toc159851714" w:history="1">
        <w:r w:rsidR="00164CB3" w:rsidRPr="00311922">
          <w:rPr>
            <w:rStyle w:val="Hyperlink"/>
            <w:noProof/>
          </w:rPr>
          <w:t>b.</w:t>
        </w:r>
        <w:r w:rsidR="00164CB3">
          <w:rPr>
            <w:rFonts w:eastAsiaTheme="minorEastAsia" w:cstheme="minorBidi"/>
            <w:noProof/>
            <w:kern w:val="2"/>
            <w:sz w:val="24"/>
            <w:szCs w:val="24"/>
            <w14:ligatures w14:val="standardContextual"/>
          </w:rPr>
          <w:tab/>
        </w:r>
        <w:r w:rsidR="00164CB3" w:rsidRPr="00311922">
          <w:rPr>
            <w:rStyle w:val="Hyperlink"/>
            <w:noProof/>
          </w:rPr>
          <w:t xml:space="preserve"> Improper notice</w:t>
        </w:r>
        <w:r w:rsidR="00164CB3">
          <w:rPr>
            <w:noProof/>
            <w:webHidden/>
          </w:rPr>
          <w:tab/>
        </w:r>
        <w:r w:rsidR="00164CB3">
          <w:rPr>
            <w:noProof/>
            <w:webHidden/>
          </w:rPr>
          <w:fldChar w:fldCharType="begin"/>
        </w:r>
        <w:r w:rsidR="00164CB3">
          <w:rPr>
            <w:noProof/>
            <w:webHidden/>
          </w:rPr>
          <w:instrText xml:space="preserve"> PAGEREF _Toc159851714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248E8501" w14:textId="0356EF61" w:rsidR="00164CB3" w:rsidRDefault="00000000" w:rsidP="002B08D3">
      <w:pPr>
        <w:pStyle w:val="TOC4"/>
        <w:rPr>
          <w:rFonts w:eastAsiaTheme="minorEastAsia" w:cstheme="minorBidi"/>
          <w:noProof/>
          <w:kern w:val="2"/>
          <w:sz w:val="24"/>
          <w:szCs w:val="24"/>
          <w14:ligatures w14:val="standardContextual"/>
        </w:rPr>
      </w:pPr>
      <w:hyperlink w:anchor="_Toc159851715" w:history="1">
        <w:r w:rsidR="00164CB3" w:rsidRPr="00311922">
          <w:rPr>
            <w:rStyle w:val="Hyperlink"/>
            <w:noProof/>
          </w:rPr>
          <w:t>c.</w:t>
        </w:r>
        <w:r w:rsidR="00164CB3">
          <w:rPr>
            <w:rFonts w:eastAsiaTheme="minorEastAsia" w:cstheme="minorBidi"/>
            <w:noProof/>
            <w:kern w:val="2"/>
            <w:sz w:val="24"/>
            <w:szCs w:val="24"/>
            <w14:ligatures w14:val="standardContextual"/>
          </w:rPr>
          <w:tab/>
        </w:r>
        <w:r w:rsidR="00164CB3" w:rsidRPr="00311922">
          <w:rPr>
            <w:rStyle w:val="Hyperlink"/>
            <w:noProof/>
          </w:rPr>
          <w:t xml:space="preserve"> Minutes</w:t>
        </w:r>
        <w:r w:rsidR="00164CB3">
          <w:rPr>
            <w:noProof/>
            <w:webHidden/>
          </w:rPr>
          <w:tab/>
        </w:r>
        <w:r w:rsidR="00164CB3">
          <w:rPr>
            <w:noProof/>
            <w:webHidden/>
          </w:rPr>
          <w:fldChar w:fldCharType="begin"/>
        </w:r>
        <w:r w:rsidR="00164CB3">
          <w:rPr>
            <w:noProof/>
            <w:webHidden/>
          </w:rPr>
          <w:instrText xml:space="preserve"> PAGEREF _Toc159851715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0A9145AB" w14:textId="6FFD242A" w:rsidR="00164CB3" w:rsidRDefault="00000000" w:rsidP="002B08D3">
      <w:pPr>
        <w:pStyle w:val="TOC3"/>
        <w:rPr>
          <w:rFonts w:eastAsiaTheme="minorEastAsia" w:cstheme="minorBidi"/>
          <w:noProof/>
          <w:kern w:val="2"/>
          <w:sz w:val="24"/>
          <w:szCs w:val="24"/>
          <w14:ligatures w14:val="standardContextual"/>
        </w:rPr>
      </w:pPr>
      <w:hyperlink w:anchor="_Toc159851716" w:history="1">
        <w:r w:rsidR="00164CB3" w:rsidRPr="00311922">
          <w:rPr>
            <w:rStyle w:val="Hyperlink"/>
            <w:noProof/>
          </w:rPr>
          <w:t>2.</w:t>
        </w:r>
        <w:r w:rsidR="00164CB3">
          <w:rPr>
            <w:rFonts w:eastAsiaTheme="minorEastAsia" w:cstheme="minorBidi"/>
            <w:noProof/>
            <w:kern w:val="2"/>
            <w:sz w:val="24"/>
            <w:szCs w:val="24"/>
            <w14:ligatures w14:val="standardContextual"/>
          </w:rPr>
          <w:tab/>
        </w:r>
        <w:r w:rsidR="00164CB3" w:rsidRPr="00311922">
          <w:rPr>
            <w:rStyle w:val="Hyperlink"/>
            <w:noProof/>
          </w:rPr>
          <w:t>Mandatory civil forfeiture</w:t>
        </w:r>
        <w:r w:rsidR="00164CB3">
          <w:rPr>
            <w:noProof/>
            <w:webHidden/>
          </w:rPr>
          <w:tab/>
        </w:r>
        <w:r w:rsidR="00164CB3">
          <w:rPr>
            <w:noProof/>
            <w:webHidden/>
          </w:rPr>
          <w:fldChar w:fldCharType="begin"/>
        </w:r>
        <w:r w:rsidR="00164CB3">
          <w:rPr>
            <w:noProof/>
            <w:webHidden/>
          </w:rPr>
          <w:instrText xml:space="preserve"> PAGEREF _Toc159851716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022A5D7C" w14:textId="38F361D7" w:rsidR="00164CB3" w:rsidRDefault="00000000" w:rsidP="002B08D3">
      <w:pPr>
        <w:pStyle w:val="TOC3"/>
        <w:rPr>
          <w:rFonts w:eastAsiaTheme="minorEastAsia" w:cstheme="minorBidi"/>
          <w:noProof/>
          <w:kern w:val="2"/>
          <w:sz w:val="24"/>
          <w:szCs w:val="24"/>
          <w14:ligatures w14:val="standardContextual"/>
        </w:rPr>
      </w:pPr>
      <w:hyperlink w:anchor="_Toc159851717" w:history="1">
        <w:r w:rsidR="00164CB3" w:rsidRPr="00311922">
          <w:rPr>
            <w:rStyle w:val="Hyperlink"/>
            <w:noProof/>
          </w:rPr>
          <w:t>3.</w:t>
        </w:r>
        <w:r w:rsidR="00164CB3">
          <w:rPr>
            <w:rFonts w:eastAsiaTheme="minorEastAsia" w:cstheme="minorBidi"/>
            <w:noProof/>
            <w:kern w:val="2"/>
            <w:sz w:val="24"/>
            <w:szCs w:val="24"/>
            <w14:ligatures w14:val="standardContextual"/>
          </w:rPr>
          <w:tab/>
        </w:r>
        <w:r w:rsidR="00164CB3" w:rsidRPr="00311922">
          <w:rPr>
            <w:rStyle w:val="Hyperlink"/>
            <w:noProof/>
          </w:rPr>
          <w:t>Court costs and attorney fees</w:t>
        </w:r>
        <w:r w:rsidR="00164CB3">
          <w:rPr>
            <w:noProof/>
            <w:webHidden/>
          </w:rPr>
          <w:tab/>
        </w:r>
        <w:r w:rsidR="00164CB3">
          <w:rPr>
            <w:noProof/>
            <w:webHidden/>
          </w:rPr>
          <w:fldChar w:fldCharType="begin"/>
        </w:r>
        <w:r w:rsidR="00164CB3">
          <w:rPr>
            <w:noProof/>
            <w:webHidden/>
          </w:rPr>
          <w:instrText xml:space="preserve"> PAGEREF _Toc159851717 \h </w:instrText>
        </w:r>
        <w:r w:rsidR="00164CB3">
          <w:rPr>
            <w:noProof/>
            <w:webHidden/>
          </w:rPr>
        </w:r>
        <w:r w:rsidR="00164CB3">
          <w:rPr>
            <w:noProof/>
            <w:webHidden/>
          </w:rPr>
          <w:fldChar w:fldCharType="separate"/>
        </w:r>
        <w:r w:rsidR="00DE7A7E">
          <w:rPr>
            <w:noProof/>
            <w:webHidden/>
          </w:rPr>
          <w:t>132</w:t>
        </w:r>
        <w:r w:rsidR="00164CB3">
          <w:rPr>
            <w:noProof/>
            <w:webHidden/>
          </w:rPr>
          <w:fldChar w:fldCharType="end"/>
        </w:r>
      </w:hyperlink>
    </w:p>
    <w:p w14:paraId="6717AAB2" w14:textId="2E50FF8B" w:rsidR="00974632" w:rsidRDefault="00BD2AE1">
      <w:pPr>
        <w:spacing w:line="220" w:lineRule="exact"/>
      </w:pPr>
      <w:r>
        <w:rPr>
          <w:rFonts w:asciiTheme="minorHAnsi" w:hAnsiTheme="minorHAnsi" w:cstheme="minorHAnsi"/>
          <w:bCs/>
          <w:i/>
          <w:caps/>
          <w:sz w:val="24"/>
          <w:szCs w:val="24"/>
        </w:rPr>
        <w:fldChar w:fldCharType="end"/>
      </w:r>
    </w:p>
    <w:p w14:paraId="11FC5133" w14:textId="77777777" w:rsidR="00974632" w:rsidRDefault="00974632">
      <w:pPr>
        <w:spacing w:after="120"/>
        <w:jc w:val="both"/>
        <w:rPr>
          <w:rFonts w:cs="Calibri"/>
          <w:sz w:val="28"/>
        </w:rPr>
      </w:pPr>
      <w:r>
        <w:rPr>
          <w:rFonts w:cs="Calibri"/>
          <w:b/>
          <w:i/>
          <w:sz w:val="28"/>
        </w:rPr>
        <w:t>Appendices</w:t>
      </w:r>
    </w:p>
    <w:p w14:paraId="17C3BF89" w14:textId="77777777" w:rsidR="00974632" w:rsidRDefault="00974632">
      <w:pPr>
        <w:tabs>
          <w:tab w:val="right" w:leader="dot" w:pos="9360"/>
        </w:tabs>
        <w:spacing w:line="220" w:lineRule="exact"/>
        <w:ind w:left="720" w:hanging="360"/>
        <w:jc w:val="both"/>
        <w:rPr>
          <w:rFonts w:cs="Calibri"/>
        </w:rPr>
      </w:pPr>
      <w:r>
        <w:rPr>
          <w:rFonts w:cs="Calibri"/>
          <w:b/>
        </w:rPr>
        <w:t>A.</w:t>
      </w:r>
      <w:r>
        <w:rPr>
          <w:rFonts w:cs="Calibri"/>
          <w:b/>
        </w:rPr>
        <w:tab/>
        <w:t>Statutory Exemptions</w:t>
      </w:r>
      <w:r w:rsidR="00CC635F">
        <w:rPr>
          <w:rFonts w:cs="Calibri"/>
        </w:rPr>
        <w:tab/>
      </w:r>
      <w:r w:rsidR="001608E8">
        <w:rPr>
          <w:rFonts w:cs="Calibri"/>
        </w:rPr>
        <w:t>A</w:t>
      </w:r>
      <w:r w:rsidR="00CC635F">
        <w:rPr>
          <w:rFonts w:cs="Calibri"/>
        </w:rPr>
        <w:t>-1</w:t>
      </w:r>
    </w:p>
    <w:p w14:paraId="4B97B27A" w14:textId="77777777" w:rsidR="00974632" w:rsidRDefault="00974632">
      <w:pPr>
        <w:tabs>
          <w:tab w:val="right" w:leader="dot" w:pos="9360"/>
        </w:tabs>
        <w:spacing w:line="220" w:lineRule="exact"/>
        <w:ind w:left="720" w:hanging="360"/>
        <w:jc w:val="both"/>
        <w:rPr>
          <w:rFonts w:cs="Calibri"/>
        </w:rPr>
      </w:pPr>
    </w:p>
    <w:p w14:paraId="15A6C5A5" w14:textId="77777777" w:rsidR="00974632" w:rsidRDefault="001608E8">
      <w:pPr>
        <w:tabs>
          <w:tab w:val="right" w:leader="dot" w:pos="9360"/>
        </w:tabs>
        <w:spacing w:line="220" w:lineRule="exact"/>
        <w:ind w:left="720" w:hanging="360"/>
        <w:jc w:val="both"/>
        <w:rPr>
          <w:rFonts w:cs="Calibri"/>
        </w:rPr>
      </w:pPr>
      <w:r>
        <w:rPr>
          <w:rFonts w:cs="Calibri"/>
          <w:b/>
        </w:rPr>
        <w:t>B</w:t>
      </w:r>
      <w:r w:rsidR="00974632">
        <w:rPr>
          <w:rFonts w:cs="Calibri"/>
          <w:b/>
        </w:rPr>
        <w:t>.</w:t>
      </w:r>
      <w:r w:rsidR="00974632">
        <w:rPr>
          <w:rFonts w:cs="Calibri"/>
          <w:b/>
        </w:rPr>
        <w:tab/>
        <w:t>Ohio Attorney General Opinions:  Public Records Act</w:t>
      </w:r>
      <w:r w:rsidR="00CC635F">
        <w:rPr>
          <w:rFonts w:cs="Calibri"/>
        </w:rPr>
        <w:tab/>
      </w:r>
      <w:r>
        <w:rPr>
          <w:rFonts w:cs="Calibri"/>
        </w:rPr>
        <w:t>B</w:t>
      </w:r>
      <w:r w:rsidR="00CC635F">
        <w:rPr>
          <w:rFonts w:cs="Calibri"/>
        </w:rPr>
        <w:t>-1</w:t>
      </w:r>
    </w:p>
    <w:p w14:paraId="39F8FDD2" w14:textId="619B3C60" w:rsidR="00B170AE" w:rsidRPr="00B170AE" w:rsidRDefault="00B170AE">
      <w:pPr>
        <w:tabs>
          <w:tab w:val="right" w:leader="dot" w:pos="9360"/>
        </w:tabs>
        <w:spacing w:line="220" w:lineRule="exact"/>
        <w:ind w:left="720" w:hanging="360"/>
        <w:jc w:val="both"/>
        <w:rPr>
          <w:rFonts w:cs="Calibri"/>
          <w:i/>
          <w:sz w:val="20"/>
        </w:rPr>
      </w:pPr>
      <w:r>
        <w:rPr>
          <w:rFonts w:cs="Calibri"/>
          <w:b/>
        </w:rPr>
        <w:tab/>
      </w:r>
      <w:r w:rsidRPr="00B170AE">
        <w:rPr>
          <w:rFonts w:cs="Calibri"/>
          <w:i/>
          <w:sz w:val="20"/>
        </w:rPr>
        <w:t xml:space="preserve">Available online at </w:t>
      </w:r>
      <w:hyperlink r:id="rId20" w:history="1">
        <w:r w:rsidRPr="007639D2">
          <w:rPr>
            <w:rStyle w:val="Hyperlink"/>
            <w:rFonts w:cs="Calibri"/>
            <w:sz w:val="20"/>
          </w:rPr>
          <w:t>www.OhioAttorneyGeneral.gov</w:t>
        </w:r>
      </w:hyperlink>
      <w:r w:rsidR="00197E46" w:rsidRPr="007639D2">
        <w:rPr>
          <w:rStyle w:val="Hyperlink"/>
          <w:rFonts w:cs="Calibri"/>
          <w:sz w:val="20"/>
        </w:rPr>
        <w:t>/About-AG/</w:t>
      </w:r>
      <w:r w:rsidR="007639D2" w:rsidRPr="007639D2">
        <w:rPr>
          <w:rStyle w:val="Hyperlink"/>
          <w:rFonts w:cs="Calibri"/>
          <w:sz w:val="20"/>
        </w:rPr>
        <w:t>S</w:t>
      </w:r>
      <w:r w:rsidR="00197E46" w:rsidRPr="007639D2">
        <w:rPr>
          <w:rStyle w:val="Hyperlink"/>
          <w:rFonts w:cs="Calibri"/>
          <w:sz w:val="20"/>
        </w:rPr>
        <w:t>ervice</w:t>
      </w:r>
      <w:r w:rsidR="007639D2" w:rsidRPr="007639D2">
        <w:rPr>
          <w:rStyle w:val="Hyperlink"/>
          <w:rFonts w:cs="Calibri"/>
          <w:sz w:val="20"/>
        </w:rPr>
        <w:t>-Divisions/Opinions</w:t>
      </w:r>
    </w:p>
    <w:p w14:paraId="202E2194" w14:textId="77777777" w:rsidR="00974632" w:rsidRDefault="00974632">
      <w:pPr>
        <w:tabs>
          <w:tab w:val="right" w:leader="dot" w:pos="9360"/>
        </w:tabs>
        <w:spacing w:line="220" w:lineRule="exact"/>
        <w:ind w:left="720" w:hanging="360"/>
        <w:jc w:val="both"/>
        <w:rPr>
          <w:rFonts w:cs="Calibri"/>
        </w:rPr>
      </w:pPr>
    </w:p>
    <w:p w14:paraId="24CAFEC3" w14:textId="77777777" w:rsidR="00CB51B5" w:rsidRDefault="001608E8" w:rsidP="00CB51B5">
      <w:pPr>
        <w:tabs>
          <w:tab w:val="right" w:leader="dot" w:pos="9360"/>
        </w:tabs>
        <w:spacing w:line="220" w:lineRule="exact"/>
        <w:ind w:left="720" w:hanging="360"/>
        <w:jc w:val="both"/>
        <w:rPr>
          <w:rFonts w:cs="Calibri"/>
        </w:rPr>
      </w:pPr>
      <w:r>
        <w:rPr>
          <w:rFonts w:cs="Calibri"/>
          <w:b/>
        </w:rPr>
        <w:t>C</w:t>
      </w:r>
      <w:r w:rsidR="00974632">
        <w:rPr>
          <w:rFonts w:cs="Calibri"/>
          <w:b/>
        </w:rPr>
        <w:t>.</w:t>
      </w:r>
      <w:r w:rsidR="00974632">
        <w:rPr>
          <w:rFonts w:cs="Calibri"/>
          <w:b/>
        </w:rPr>
        <w:tab/>
        <w:t>Ohio Attorney General Opinions:  Open Meetings Act</w:t>
      </w:r>
      <w:r w:rsidR="00CC635F">
        <w:rPr>
          <w:rFonts w:cs="Calibri"/>
        </w:rPr>
        <w:tab/>
      </w:r>
      <w:r>
        <w:rPr>
          <w:rFonts w:cs="Calibri"/>
        </w:rPr>
        <w:t>C</w:t>
      </w:r>
      <w:r w:rsidR="00CC635F">
        <w:rPr>
          <w:rFonts w:cs="Calibri"/>
        </w:rPr>
        <w:t>-1</w:t>
      </w:r>
    </w:p>
    <w:p w14:paraId="1A9C4A12" w14:textId="73A26C33" w:rsidR="00B170AE" w:rsidRPr="00CB51B5" w:rsidRDefault="00B170AE" w:rsidP="00CB51B5">
      <w:pPr>
        <w:tabs>
          <w:tab w:val="right" w:leader="dot" w:pos="9360"/>
        </w:tabs>
        <w:spacing w:line="220" w:lineRule="exact"/>
        <w:ind w:left="720" w:hanging="360"/>
        <w:jc w:val="both"/>
        <w:rPr>
          <w:rFonts w:cs="Calibri"/>
        </w:rPr>
      </w:pPr>
      <w:r>
        <w:rPr>
          <w:rFonts w:cs="Calibri"/>
          <w:i/>
          <w:sz w:val="20"/>
        </w:rPr>
        <w:tab/>
      </w:r>
      <w:r w:rsidRPr="00B170AE">
        <w:rPr>
          <w:rFonts w:cs="Calibri"/>
          <w:i/>
          <w:sz w:val="20"/>
        </w:rPr>
        <w:t xml:space="preserve">Available online at </w:t>
      </w:r>
      <w:hyperlink r:id="rId21" w:history="1">
        <w:r w:rsidRPr="007639D2">
          <w:rPr>
            <w:rStyle w:val="Hyperlink"/>
            <w:rFonts w:cs="Calibri"/>
            <w:sz w:val="20"/>
          </w:rPr>
          <w:t>www.OhioAttorneyGeneral.gov</w:t>
        </w:r>
      </w:hyperlink>
      <w:r w:rsidR="007639D2" w:rsidRPr="007639D2">
        <w:rPr>
          <w:rStyle w:val="Hyperlink"/>
          <w:rFonts w:cs="Calibri"/>
          <w:sz w:val="20"/>
        </w:rPr>
        <w:t>/About-AG/Service-Divisions/Opinions</w:t>
      </w:r>
    </w:p>
    <w:p w14:paraId="0A72EAD9" w14:textId="4DCED888" w:rsidR="009D2836" w:rsidRDefault="002F6F09" w:rsidP="007639D2">
      <w:pPr>
        <w:spacing w:before="240"/>
        <w:jc w:val="center"/>
        <w:rPr>
          <w:rFonts w:cs="Calibri"/>
          <w:i/>
          <w:sz w:val="32"/>
        </w:rPr>
      </w:pPr>
      <w:r>
        <w:rPr>
          <w:rFonts w:cs="Calibri"/>
          <w:i/>
          <w:sz w:val="32"/>
        </w:rPr>
        <w:br w:type="page"/>
      </w:r>
    </w:p>
    <w:p w14:paraId="78D25619" w14:textId="353341DF" w:rsidR="002F6F09" w:rsidRDefault="002F6F09" w:rsidP="002F6F09">
      <w:pPr>
        <w:spacing w:before="240"/>
        <w:jc w:val="center"/>
        <w:rPr>
          <w:rFonts w:cs="Calibri"/>
          <w:sz w:val="32"/>
        </w:rPr>
      </w:pPr>
      <w:r>
        <w:rPr>
          <w:rFonts w:cs="Calibri"/>
          <w:i/>
          <w:sz w:val="32"/>
        </w:rPr>
        <w:lastRenderedPageBreak/>
        <w:t>Glossary</w:t>
      </w:r>
    </w:p>
    <w:p w14:paraId="383DFAD0" w14:textId="77777777" w:rsidR="002F6F09" w:rsidRDefault="002F6F09" w:rsidP="002F6F09">
      <w:pPr>
        <w:jc w:val="both"/>
        <w:rPr>
          <w:rFonts w:cs="Calibri"/>
          <w:sz w:val="28"/>
        </w:rPr>
      </w:pPr>
    </w:p>
    <w:p w14:paraId="3CCBCF9C" w14:textId="77777777" w:rsidR="002F6F09" w:rsidRDefault="002F6F09" w:rsidP="002F6F09">
      <w:pPr>
        <w:jc w:val="both"/>
        <w:rPr>
          <w:rFonts w:cs="Calibri"/>
        </w:rPr>
      </w:pPr>
      <w:r>
        <w:rPr>
          <w:rFonts w:cs="Calibri"/>
        </w:rPr>
        <w:t>When learning about the Ohio Sunshine Laws, you may confront some legal terms that are unfamiliar to you.  Below are the more common terms used in this handbook.</w:t>
      </w:r>
    </w:p>
    <w:p w14:paraId="71E86989" w14:textId="77777777" w:rsidR="002F6F09" w:rsidRDefault="002F6F09" w:rsidP="002F6F09">
      <w:pPr>
        <w:jc w:val="both"/>
        <w:rPr>
          <w:rFonts w:cs="Calibri"/>
        </w:rPr>
      </w:pPr>
    </w:p>
    <w:p w14:paraId="7C25B31D" w14:textId="77777777" w:rsidR="002F6F09" w:rsidRDefault="002F6F09" w:rsidP="002F6F09">
      <w:pPr>
        <w:jc w:val="both"/>
        <w:rPr>
          <w:rFonts w:cs="Calibri"/>
          <w:b/>
          <w:sz w:val="24"/>
        </w:rPr>
      </w:pPr>
      <w:r>
        <w:rPr>
          <w:rFonts w:cs="Calibri"/>
          <w:b/>
          <w:sz w:val="24"/>
        </w:rPr>
        <w:t>Charter</w:t>
      </w:r>
    </w:p>
    <w:p w14:paraId="4D555399" w14:textId="77777777" w:rsidR="002F6F09" w:rsidRDefault="002F6F09" w:rsidP="00161750">
      <w:pPr>
        <w:jc w:val="both"/>
        <w:rPr>
          <w:rFonts w:cs="Calibri"/>
        </w:rPr>
      </w:pPr>
      <w:r>
        <w:rPr>
          <w:rFonts w:cs="Calibri"/>
        </w:rPr>
        <w:t>A charter is an instrument established by the citizens of a municipality, which is roughly analogous to a state’s constitution.  A charter outlines certain rights, responsibilities, liberties, or powers that exist in the municipality.</w:t>
      </w:r>
    </w:p>
    <w:p w14:paraId="5D74FC5B" w14:textId="77777777" w:rsidR="002F6F09" w:rsidRDefault="002F6F09" w:rsidP="002F6F09">
      <w:pPr>
        <w:jc w:val="both"/>
        <w:rPr>
          <w:rFonts w:cs="Calibri"/>
        </w:rPr>
      </w:pPr>
    </w:p>
    <w:p w14:paraId="6C021ED9" w14:textId="77777777" w:rsidR="002F6F09" w:rsidRDefault="002F6F09" w:rsidP="002F6F09">
      <w:pPr>
        <w:jc w:val="both"/>
        <w:rPr>
          <w:rFonts w:cs="Calibri"/>
        </w:rPr>
      </w:pPr>
      <w:r>
        <w:rPr>
          <w:rFonts w:cs="Calibri"/>
          <w:b/>
          <w:sz w:val="24"/>
        </w:rPr>
        <w:t>Discovery</w:t>
      </w:r>
    </w:p>
    <w:p w14:paraId="28666B56" w14:textId="2E4F3DE8" w:rsidR="002F6F09" w:rsidRDefault="002F6F09" w:rsidP="002F6F09">
      <w:pPr>
        <w:jc w:val="both"/>
        <w:rPr>
          <w:rFonts w:cs="Calibri"/>
        </w:rPr>
      </w:pPr>
      <w:r>
        <w:rPr>
          <w:rFonts w:cs="Calibri"/>
        </w:rPr>
        <w:t>Discovery is a pre-trial practice by which parties to a lawsuit disclose to each other documents and other information.  The practice serves the dual purpose of permitting parties to be well</w:t>
      </w:r>
      <w:r w:rsidR="001C7EC7">
        <w:rPr>
          <w:rFonts w:cs="Calibri"/>
        </w:rPr>
        <w:t>-</w:t>
      </w:r>
      <w:r>
        <w:rPr>
          <w:rFonts w:cs="Calibri"/>
        </w:rPr>
        <w:t>prepared for trial and enabling them to evaluate the strengths and weaknesses of their case.</w:t>
      </w:r>
    </w:p>
    <w:p w14:paraId="7C30897F" w14:textId="77777777" w:rsidR="002F6F09" w:rsidRDefault="002F6F09" w:rsidP="002F6F09">
      <w:pPr>
        <w:jc w:val="both"/>
        <w:rPr>
          <w:rFonts w:cs="Calibri"/>
        </w:rPr>
      </w:pPr>
    </w:p>
    <w:p w14:paraId="6D17C35F" w14:textId="77777777" w:rsidR="002F6F09" w:rsidRDefault="002F6F09" w:rsidP="002F6F09">
      <w:pPr>
        <w:jc w:val="both"/>
        <w:rPr>
          <w:rFonts w:cs="Calibri"/>
        </w:rPr>
      </w:pPr>
      <w:r>
        <w:rPr>
          <w:rFonts w:cs="Calibri"/>
          <w:b/>
          <w:i/>
          <w:sz w:val="24"/>
        </w:rPr>
        <w:t>In camera</w:t>
      </w:r>
    </w:p>
    <w:p w14:paraId="43AF05A1" w14:textId="77777777" w:rsidR="002F6F09" w:rsidRDefault="002F6F09" w:rsidP="002F6F09">
      <w:pPr>
        <w:jc w:val="both"/>
        <w:rPr>
          <w:rFonts w:cs="Calibri"/>
        </w:rPr>
      </w:pPr>
      <w:r>
        <w:rPr>
          <w:rFonts w:cs="Calibri"/>
          <w:i/>
        </w:rPr>
        <w:t>In camera</w:t>
      </w:r>
      <w:r>
        <w:rPr>
          <w:rFonts w:cs="Calibri"/>
        </w:rPr>
        <w:t xml:space="preserve"> means “in chambers.”  A judge will often review records that are at issue in a public records dispute </w:t>
      </w:r>
      <w:r>
        <w:rPr>
          <w:rFonts w:cs="Calibri"/>
          <w:i/>
        </w:rPr>
        <w:t>in camera</w:t>
      </w:r>
      <w:r>
        <w:rPr>
          <w:rFonts w:cs="Calibri"/>
        </w:rPr>
        <w:t xml:space="preserve"> to evaluate whether they are subject to any exemptions or defenses that may prevent disclosure.</w:t>
      </w:r>
    </w:p>
    <w:p w14:paraId="2C77BD8B" w14:textId="77777777" w:rsidR="002F6F09" w:rsidRDefault="002F6F09" w:rsidP="002F6F09">
      <w:pPr>
        <w:jc w:val="both"/>
        <w:rPr>
          <w:rFonts w:cs="Calibri"/>
        </w:rPr>
      </w:pPr>
    </w:p>
    <w:p w14:paraId="08AF3EFD" w14:textId="77777777" w:rsidR="002F6F09" w:rsidRDefault="002F6F09" w:rsidP="002F6F09">
      <w:pPr>
        <w:jc w:val="both"/>
        <w:rPr>
          <w:rFonts w:cs="Calibri"/>
        </w:rPr>
      </w:pPr>
      <w:r>
        <w:rPr>
          <w:rFonts w:cs="Calibri"/>
          <w:b/>
          <w:sz w:val="24"/>
        </w:rPr>
        <w:t>Injunction</w:t>
      </w:r>
    </w:p>
    <w:p w14:paraId="461019F2" w14:textId="77777777" w:rsidR="002F6F09" w:rsidRDefault="002F6F09" w:rsidP="002F6F09">
      <w:pPr>
        <w:jc w:val="both"/>
        <w:rPr>
          <w:rFonts w:cs="Calibri"/>
        </w:rPr>
      </w:pPr>
      <w:r>
        <w:rPr>
          <w:rFonts w:cs="Calibri"/>
        </w:rPr>
        <w:t>An injunction is a court order commanding that a person act or cease to act in a certain way.  For instance, a person who believes a public body has violated the Open Meetings Act will file a complaint seeking injunctive relief.  The court may then issue an order enjoining the public body from further violations of the act and requiring it to correct any damage caused by past violations.</w:t>
      </w:r>
    </w:p>
    <w:p w14:paraId="72C02EEE" w14:textId="77777777" w:rsidR="002F6F09" w:rsidRDefault="002F6F09" w:rsidP="002F6F09">
      <w:pPr>
        <w:jc w:val="both"/>
        <w:rPr>
          <w:rFonts w:cs="Calibri"/>
        </w:rPr>
      </w:pPr>
    </w:p>
    <w:p w14:paraId="51D54E61" w14:textId="77777777" w:rsidR="002F6F09" w:rsidRDefault="002F6F09" w:rsidP="002F6F09">
      <w:pPr>
        <w:jc w:val="both"/>
        <w:rPr>
          <w:rFonts w:cs="Calibri"/>
        </w:rPr>
      </w:pPr>
      <w:r>
        <w:rPr>
          <w:rFonts w:cs="Calibri"/>
          <w:b/>
          <w:sz w:val="24"/>
        </w:rPr>
        <w:t>Litigation</w:t>
      </w:r>
    </w:p>
    <w:p w14:paraId="7F2CCB0E" w14:textId="77777777" w:rsidR="002F6F09" w:rsidRDefault="002F6F09" w:rsidP="002F6F09">
      <w:pPr>
        <w:jc w:val="both"/>
        <w:rPr>
          <w:rFonts w:cs="Calibri"/>
        </w:rPr>
      </w:pPr>
      <w:r>
        <w:rPr>
          <w:rFonts w:cs="Calibri"/>
        </w:rPr>
        <w:t>The term “litigation” refers to the process of carrying on a lawsuit, i.e., a legal action and all the proceedings associated with it.</w:t>
      </w:r>
    </w:p>
    <w:p w14:paraId="7476E6E5" w14:textId="77777777" w:rsidR="002F6F09" w:rsidRDefault="002F6F09" w:rsidP="002F6F09">
      <w:pPr>
        <w:jc w:val="both"/>
        <w:rPr>
          <w:rFonts w:cs="Calibri"/>
        </w:rPr>
      </w:pPr>
    </w:p>
    <w:p w14:paraId="1084E77D" w14:textId="77777777" w:rsidR="002F6F09" w:rsidRDefault="002F6F09" w:rsidP="002F6F09">
      <w:pPr>
        <w:jc w:val="both"/>
        <w:rPr>
          <w:rFonts w:cs="Calibri"/>
          <w:sz w:val="24"/>
        </w:rPr>
      </w:pPr>
      <w:r>
        <w:rPr>
          <w:rFonts w:cs="Calibri"/>
          <w:b/>
          <w:sz w:val="24"/>
        </w:rPr>
        <w:t>Mandamus</w:t>
      </w:r>
    </w:p>
    <w:p w14:paraId="55B16978" w14:textId="1666C1A4" w:rsidR="002F6F09" w:rsidRDefault="0045181A" w:rsidP="002F6F09">
      <w:pPr>
        <w:jc w:val="both"/>
        <w:rPr>
          <w:rFonts w:cs="Calibri"/>
        </w:rPr>
      </w:pPr>
      <w:r w:rsidRPr="0045181A">
        <w:rPr>
          <w:rFonts w:cs="Calibri"/>
          <w:i/>
        </w:rPr>
        <w:t>Mandamus</w:t>
      </w:r>
      <w:r>
        <w:rPr>
          <w:rFonts w:cs="Calibri"/>
        </w:rPr>
        <w:t xml:space="preserve"> </w:t>
      </w:r>
      <w:r w:rsidR="002F6F09">
        <w:rPr>
          <w:rFonts w:cs="Calibri"/>
        </w:rPr>
        <w:t xml:space="preserve">means “we command.”  In this area of law, it refers to the legal action </w:t>
      </w:r>
      <w:r w:rsidR="00F6617F">
        <w:rPr>
          <w:rFonts w:cs="Calibri"/>
        </w:rPr>
        <w:t>filed by a party who believes that he or she has</w:t>
      </w:r>
      <w:r w:rsidR="002F6F09">
        <w:rPr>
          <w:rFonts w:cs="Calibri"/>
        </w:rPr>
        <w:t xml:space="preserve"> been wrongfully denied access to public records.  The full name of the action is a petition for a writ of mandamus.  If the party filing the action, or “relator,” prevails, the court may issue a writ commanding the public office or person responsible for the public records, or “respondent,” to correctly perform a duty that has been violated.</w:t>
      </w:r>
    </w:p>
    <w:p w14:paraId="1228103D" w14:textId="77777777" w:rsidR="002F6F09" w:rsidRDefault="002F6F09" w:rsidP="002F6F09">
      <w:pPr>
        <w:jc w:val="both"/>
        <w:rPr>
          <w:rFonts w:cs="Calibri"/>
        </w:rPr>
      </w:pPr>
    </w:p>
    <w:p w14:paraId="2603C05D" w14:textId="77777777" w:rsidR="002F6F09" w:rsidRDefault="002F6F09" w:rsidP="002F6F09">
      <w:pPr>
        <w:jc w:val="both"/>
        <w:rPr>
          <w:rFonts w:cs="Calibri"/>
          <w:sz w:val="24"/>
        </w:rPr>
      </w:pPr>
      <w:r>
        <w:rPr>
          <w:rFonts w:cs="Calibri"/>
          <w:b/>
          <w:i/>
          <w:sz w:val="24"/>
        </w:rPr>
        <w:t>Pro se</w:t>
      </w:r>
    </w:p>
    <w:p w14:paraId="78F77F35" w14:textId="726AA4D1" w:rsidR="002F6F09" w:rsidRDefault="000E4ACB" w:rsidP="002F6F09">
      <w:pPr>
        <w:jc w:val="both"/>
        <w:rPr>
          <w:rFonts w:cs="Calibri"/>
        </w:rPr>
      </w:pPr>
      <w:r w:rsidRPr="000E4ACB">
        <w:rPr>
          <w:rFonts w:cs="Calibri"/>
          <w:i/>
        </w:rPr>
        <w:t>Pro se</w:t>
      </w:r>
      <w:r w:rsidR="002F6F09">
        <w:rPr>
          <w:rFonts w:cs="Calibri"/>
        </w:rPr>
        <w:t xml:space="preserve"> means “for oneself</w:t>
      </w:r>
      <w:r>
        <w:rPr>
          <w:rFonts w:cs="Calibri"/>
        </w:rPr>
        <w:t>.</w:t>
      </w:r>
      <w:r w:rsidR="002F6F09">
        <w:rPr>
          <w:rFonts w:cs="Calibri"/>
        </w:rPr>
        <w:t xml:space="preserve">” </w:t>
      </w:r>
      <w:r>
        <w:rPr>
          <w:rFonts w:cs="Calibri"/>
        </w:rPr>
        <w:t xml:space="preserve"> The term</w:t>
      </w:r>
      <w:r w:rsidR="002F6F09">
        <w:rPr>
          <w:rFonts w:cs="Calibri"/>
        </w:rPr>
        <w:t xml:space="preserve"> refer</w:t>
      </w:r>
      <w:r>
        <w:rPr>
          <w:rFonts w:cs="Calibri"/>
        </w:rPr>
        <w:t>s</w:t>
      </w:r>
      <w:r w:rsidR="002F6F09">
        <w:rPr>
          <w:rFonts w:cs="Calibri"/>
        </w:rPr>
        <w:t xml:space="preserve"> to people who represent themselves in court, acting as their own legal counsel.</w:t>
      </w:r>
    </w:p>
    <w:p w14:paraId="49D802C6" w14:textId="77777777" w:rsidR="00974632" w:rsidRDefault="00974632">
      <w:pPr>
        <w:jc w:val="both"/>
        <w:rPr>
          <w:rFonts w:cs="Calibri"/>
        </w:rPr>
      </w:pPr>
    </w:p>
    <w:p w14:paraId="58EA13A5" w14:textId="77777777" w:rsidR="002F6F09" w:rsidRDefault="002F6F09">
      <w:pPr>
        <w:jc w:val="both"/>
        <w:rPr>
          <w:rFonts w:cs="Calibri"/>
        </w:rPr>
      </w:pPr>
    </w:p>
    <w:p w14:paraId="3877CE1E" w14:textId="77777777" w:rsidR="007639D2" w:rsidRDefault="007639D2">
      <w:pPr>
        <w:rPr>
          <w:rFonts w:cs="Calibri"/>
          <w:i/>
          <w:sz w:val="32"/>
          <w:szCs w:val="32"/>
        </w:rPr>
      </w:pPr>
      <w:bookmarkStart w:id="0" w:name="_Toc159851426"/>
      <w:r>
        <w:br w:type="page"/>
      </w:r>
    </w:p>
    <w:p w14:paraId="0909FB23" w14:textId="3D8839E7" w:rsidR="007639D2" w:rsidRPr="009A314A" w:rsidRDefault="007639D2" w:rsidP="009A314A">
      <w:pPr>
        <w:pStyle w:val="Heading1"/>
        <w:jc w:val="center"/>
      </w:pPr>
      <w:r>
        <w:lastRenderedPageBreak/>
        <w:t>Links to Resources</w:t>
      </w:r>
      <w:bookmarkEnd w:id="0"/>
    </w:p>
    <w:p w14:paraId="5EF4149A" w14:textId="7CB81846" w:rsidR="007639D2" w:rsidRDefault="007639D2" w:rsidP="007639D2">
      <w:pPr>
        <w:jc w:val="both"/>
        <w:rPr>
          <w:rStyle w:val="Hyperlink"/>
          <w:rFonts w:cs="Calibri"/>
          <w:b/>
          <w:sz w:val="24"/>
        </w:rPr>
      </w:pPr>
      <w:r w:rsidRPr="009A314A">
        <w:rPr>
          <w:rFonts w:cs="Calibri"/>
          <w:b/>
          <w:sz w:val="24"/>
        </w:rPr>
        <w:t>The Ohio Public Records Act, R.C. 149.43</w:t>
      </w:r>
    </w:p>
    <w:p w14:paraId="54C73C33" w14:textId="04D25BA0" w:rsidR="007639D2" w:rsidRPr="007639D2" w:rsidRDefault="00000000" w:rsidP="007639D2">
      <w:pPr>
        <w:jc w:val="both"/>
        <w:rPr>
          <w:rFonts w:cs="Calibri"/>
          <w:bCs/>
          <w:sz w:val="24"/>
        </w:rPr>
      </w:pPr>
      <w:hyperlink r:id="rId22" w:history="1">
        <w:r w:rsidR="007639D2" w:rsidRPr="009A314A">
          <w:rPr>
            <w:rStyle w:val="Hyperlink"/>
            <w:rFonts w:cs="Calibri"/>
            <w:bCs/>
            <w:sz w:val="24"/>
          </w:rPr>
          <w:t>https://codes.ohio.gov/ohio-revised-code/section-149.43</w:t>
        </w:r>
      </w:hyperlink>
    </w:p>
    <w:p w14:paraId="7A5D4BB6" w14:textId="77777777" w:rsidR="007639D2" w:rsidRPr="009862CA" w:rsidRDefault="007639D2" w:rsidP="007639D2">
      <w:pPr>
        <w:jc w:val="both"/>
        <w:rPr>
          <w:rFonts w:cs="Calibri"/>
          <w:b/>
        </w:rPr>
      </w:pPr>
    </w:p>
    <w:p w14:paraId="682E877E" w14:textId="6ECD0CA9" w:rsidR="007639D2" w:rsidRDefault="007639D2" w:rsidP="007639D2">
      <w:pPr>
        <w:jc w:val="both"/>
        <w:rPr>
          <w:rStyle w:val="Hyperlink"/>
          <w:rFonts w:cs="Calibri"/>
          <w:b/>
          <w:sz w:val="24"/>
        </w:rPr>
      </w:pPr>
      <w:r w:rsidRPr="009A314A">
        <w:rPr>
          <w:rFonts w:cs="Calibri"/>
          <w:b/>
          <w:sz w:val="24"/>
        </w:rPr>
        <w:t>The Ohio Open Meetings Act, R.C. 122.121</w:t>
      </w:r>
    </w:p>
    <w:p w14:paraId="5C10C8B6" w14:textId="7020B33B" w:rsidR="007639D2" w:rsidRPr="007639D2" w:rsidRDefault="00000000" w:rsidP="007639D2">
      <w:pPr>
        <w:jc w:val="both"/>
        <w:rPr>
          <w:rFonts w:cs="Calibri"/>
          <w:bCs/>
          <w:sz w:val="24"/>
        </w:rPr>
      </w:pPr>
      <w:hyperlink r:id="rId23" w:history="1">
        <w:r w:rsidR="007639D2" w:rsidRPr="009A314A">
          <w:rPr>
            <w:rStyle w:val="Hyperlink"/>
            <w:rFonts w:cs="Calibri"/>
            <w:bCs/>
            <w:sz w:val="24"/>
          </w:rPr>
          <w:t>https://codes.ohio.gov/ohio-revised-code/section-121.22</w:t>
        </w:r>
      </w:hyperlink>
    </w:p>
    <w:p w14:paraId="0AF0C317" w14:textId="77777777" w:rsidR="007639D2" w:rsidRDefault="007639D2" w:rsidP="007639D2">
      <w:pPr>
        <w:jc w:val="both"/>
        <w:rPr>
          <w:rFonts w:cs="Calibri"/>
        </w:rPr>
      </w:pPr>
    </w:p>
    <w:p w14:paraId="5178FC15" w14:textId="4629D9D2" w:rsidR="007639D2" w:rsidRDefault="007639D2" w:rsidP="007639D2">
      <w:pPr>
        <w:jc w:val="both"/>
        <w:rPr>
          <w:rStyle w:val="Hyperlink"/>
          <w:rFonts w:cs="Calibri"/>
          <w:b/>
          <w:sz w:val="24"/>
        </w:rPr>
      </w:pPr>
      <w:r w:rsidRPr="009A314A">
        <w:rPr>
          <w:rFonts w:cs="Calibri"/>
          <w:b/>
          <w:sz w:val="24"/>
        </w:rPr>
        <w:t>The Ohio Attorney General’s Office Sunshine Laws Webpage</w:t>
      </w:r>
    </w:p>
    <w:p w14:paraId="296B8A59" w14:textId="7ED14721" w:rsidR="007639D2" w:rsidRPr="007639D2" w:rsidRDefault="00000000" w:rsidP="007639D2">
      <w:pPr>
        <w:jc w:val="both"/>
        <w:rPr>
          <w:rFonts w:cs="Calibri"/>
          <w:bCs/>
          <w:sz w:val="24"/>
        </w:rPr>
      </w:pPr>
      <w:hyperlink r:id="rId24" w:history="1">
        <w:r w:rsidR="007639D2" w:rsidRPr="009A314A">
          <w:rPr>
            <w:rStyle w:val="Hyperlink"/>
            <w:rFonts w:cs="Calibri"/>
            <w:bCs/>
            <w:sz w:val="24"/>
          </w:rPr>
          <w:t>https://www.ohioattorneygeneral.gov/Legal/Sunshine-Laws</w:t>
        </w:r>
      </w:hyperlink>
    </w:p>
    <w:p w14:paraId="1DA72E35" w14:textId="77777777" w:rsidR="007639D2" w:rsidRPr="00161750" w:rsidRDefault="007639D2" w:rsidP="007639D2">
      <w:pPr>
        <w:jc w:val="both"/>
        <w:rPr>
          <w:rFonts w:cs="Calibri"/>
          <w:bCs/>
        </w:rPr>
      </w:pPr>
      <w:r>
        <w:rPr>
          <w:rFonts w:cs="Calibri"/>
          <w:bCs/>
        </w:rPr>
        <w:t>Li</w:t>
      </w:r>
      <w:r w:rsidRPr="00161750">
        <w:rPr>
          <w:rFonts w:cs="Calibri"/>
          <w:bCs/>
        </w:rPr>
        <w:t xml:space="preserve">nks to the current Sunshine Laws Manual, </w:t>
      </w:r>
      <w:hyperlink r:id="rId25" w:history="1">
        <w:r w:rsidRPr="00161750">
          <w:rPr>
            <w:rStyle w:val="Hyperlink"/>
            <w:rFonts w:cs="Calibri"/>
            <w:b/>
          </w:rPr>
          <w:t>Appendix A</w:t>
        </w:r>
      </w:hyperlink>
      <w:r w:rsidRPr="00161750">
        <w:rPr>
          <w:rFonts w:cs="Calibri"/>
          <w:bCs/>
        </w:rPr>
        <w:t xml:space="preserve"> (Ohio statutes that exempt specific records from public records disclosure), </w:t>
      </w:r>
      <w:hyperlink r:id="rId26" w:history="1">
        <w:r w:rsidRPr="00161750">
          <w:rPr>
            <w:rStyle w:val="Hyperlink"/>
            <w:rFonts w:cs="Calibri"/>
            <w:b/>
          </w:rPr>
          <w:t>Appendix B</w:t>
        </w:r>
      </w:hyperlink>
      <w:r w:rsidRPr="00161750">
        <w:rPr>
          <w:rFonts w:cs="Calibri"/>
          <w:bCs/>
        </w:rPr>
        <w:t xml:space="preserve"> (Attorney General Opinions interpreting the Public Records Act), </w:t>
      </w:r>
      <w:hyperlink r:id="rId27" w:history="1">
        <w:r w:rsidRPr="00161750">
          <w:rPr>
            <w:rStyle w:val="Hyperlink"/>
            <w:rFonts w:cs="Calibri"/>
            <w:b/>
          </w:rPr>
          <w:t>Appendix C</w:t>
        </w:r>
      </w:hyperlink>
      <w:r w:rsidRPr="00161750">
        <w:rPr>
          <w:rFonts w:cs="Calibri"/>
          <w:bCs/>
        </w:rPr>
        <w:t xml:space="preserve"> (Attorney General Opinions interpreting the Open Meetings Act), the </w:t>
      </w:r>
      <w:hyperlink r:id="rId28" w:history="1">
        <w:r w:rsidRPr="00161750">
          <w:rPr>
            <w:rStyle w:val="Hyperlink"/>
            <w:rFonts w:cs="Calibri"/>
            <w:b/>
          </w:rPr>
          <w:t>Model Public Records Policy</w:t>
        </w:r>
      </w:hyperlink>
      <w:r w:rsidRPr="00161750">
        <w:rPr>
          <w:rFonts w:cs="Calibri"/>
          <w:bCs/>
        </w:rPr>
        <w:t xml:space="preserve">, information on </w:t>
      </w:r>
      <w:hyperlink r:id="rId29" w:history="1">
        <w:r w:rsidRPr="00161750">
          <w:rPr>
            <w:rStyle w:val="Hyperlink"/>
            <w:rFonts w:cs="Calibri"/>
            <w:b/>
          </w:rPr>
          <w:t>Training Opportunities</w:t>
        </w:r>
      </w:hyperlink>
      <w:r w:rsidRPr="00161750">
        <w:rPr>
          <w:rFonts w:cs="Calibri"/>
          <w:bCs/>
        </w:rPr>
        <w:t>, and other helpful resources on Ohio’s Sunshine Laws.</w:t>
      </w:r>
    </w:p>
    <w:p w14:paraId="31A471BC" w14:textId="77777777" w:rsidR="007639D2" w:rsidRPr="009862CA" w:rsidRDefault="007639D2" w:rsidP="007639D2">
      <w:pPr>
        <w:jc w:val="both"/>
        <w:rPr>
          <w:rFonts w:cs="Calibri"/>
          <w:b/>
        </w:rPr>
      </w:pPr>
    </w:p>
    <w:p w14:paraId="0CAC01E8" w14:textId="231BCEE6" w:rsidR="007639D2" w:rsidRDefault="007639D2" w:rsidP="007639D2">
      <w:pPr>
        <w:jc w:val="both"/>
        <w:rPr>
          <w:rStyle w:val="Hyperlink"/>
          <w:rFonts w:cs="Calibri"/>
          <w:b/>
          <w:sz w:val="24"/>
        </w:rPr>
      </w:pPr>
      <w:r w:rsidRPr="009A314A">
        <w:rPr>
          <w:rFonts w:cs="Calibri"/>
          <w:b/>
          <w:sz w:val="24"/>
        </w:rPr>
        <w:t>Ohio Laws and Administrative Rules</w:t>
      </w:r>
    </w:p>
    <w:p w14:paraId="3DD1D522" w14:textId="20B751A2" w:rsidR="007639D2" w:rsidRPr="009A314A" w:rsidRDefault="00000000" w:rsidP="007639D2">
      <w:pPr>
        <w:jc w:val="both"/>
        <w:rPr>
          <w:rFonts w:cs="Calibri"/>
          <w:bCs/>
          <w:sz w:val="24"/>
        </w:rPr>
      </w:pPr>
      <w:hyperlink r:id="rId30" w:history="1">
        <w:r w:rsidR="007639D2" w:rsidRPr="009A314A">
          <w:rPr>
            <w:rStyle w:val="Hyperlink"/>
            <w:rFonts w:cs="Calibri"/>
            <w:bCs/>
            <w:sz w:val="24"/>
          </w:rPr>
          <w:t>https://codes.ohio.gov/</w:t>
        </w:r>
      </w:hyperlink>
    </w:p>
    <w:p w14:paraId="35EA4781" w14:textId="77777777" w:rsidR="007639D2" w:rsidRDefault="007639D2" w:rsidP="007639D2">
      <w:pPr>
        <w:jc w:val="both"/>
        <w:rPr>
          <w:rFonts w:cs="Calibri"/>
          <w:bCs/>
        </w:rPr>
      </w:pPr>
      <w:r w:rsidRPr="00161750">
        <w:rPr>
          <w:rFonts w:cs="Calibri"/>
          <w:bCs/>
        </w:rPr>
        <w:t>Links to the Ohio Constitution, Ohio Revised Code, and Ohio Administrative Code.</w:t>
      </w:r>
    </w:p>
    <w:p w14:paraId="77C5E4A5" w14:textId="77777777" w:rsidR="007639D2" w:rsidRPr="00161750" w:rsidRDefault="007639D2" w:rsidP="007639D2">
      <w:pPr>
        <w:jc w:val="both"/>
        <w:rPr>
          <w:rFonts w:cs="Calibri"/>
          <w:bCs/>
        </w:rPr>
      </w:pPr>
    </w:p>
    <w:p w14:paraId="7DE18466" w14:textId="19E183BE" w:rsidR="007639D2" w:rsidRDefault="007639D2" w:rsidP="007639D2">
      <w:pPr>
        <w:jc w:val="both"/>
        <w:rPr>
          <w:rStyle w:val="Hyperlink"/>
          <w:rFonts w:cs="Calibri"/>
          <w:b/>
          <w:sz w:val="24"/>
        </w:rPr>
      </w:pPr>
      <w:r w:rsidRPr="009A314A">
        <w:rPr>
          <w:rFonts w:cs="Calibri"/>
          <w:b/>
          <w:sz w:val="24"/>
        </w:rPr>
        <w:t>Ohio Rules of Court</w:t>
      </w:r>
    </w:p>
    <w:p w14:paraId="4FA14400" w14:textId="733FFD2E" w:rsidR="007639D2" w:rsidRPr="009A314A" w:rsidRDefault="00000000" w:rsidP="007639D2">
      <w:pPr>
        <w:jc w:val="both"/>
        <w:rPr>
          <w:rFonts w:cs="Calibri"/>
          <w:bCs/>
          <w:sz w:val="24"/>
        </w:rPr>
      </w:pPr>
      <w:hyperlink r:id="rId31" w:history="1">
        <w:r w:rsidR="007639D2" w:rsidRPr="009A314A">
          <w:rPr>
            <w:rStyle w:val="Hyperlink"/>
            <w:rFonts w:cs="Calibri"/>
            <w:bCs/>
            <w:sz w:val="24"/>
          </w:rPr>
          <w:t>https://www.supremecourt.ohio.gov/laws-rules/ohio-rules-of-court/</w:t>
        </w:r>
      </w:hyperlink>
    </w:p>
    <w:p w14:paraId="78BA9315" w14:textId="77777777" w:rsidR="007639D2" w:rsidRPr="00161750" w:rsidRDefault="007639D2" w:rsidP="007639D2">
      <w:pPr>
        <w:jc w:val="both"/>
        <w:rPr>
          <w:rFonts w:cs="Calibri"/>
          <w:bCs/>
        </w:rPr>
      </w:pPr>
      <w:r w:rsidRPr="00161750">
        <w:rPr>
          <w:rFonts w:cs="Calibri"/>
          <w:bCs/>
        </w:rPr>
        <w:t>Links to Ohio rules of court, including the Rules of Civil Procedure, Rules of Criminal Procedure, Rules of Juvenile Procedure, Supreme Court Rules of Practice, and Rules of Superintendence of the Courts of Ohio.</w:t>
      </w:r>
    </w:p>
    <w:p w14:paraId="28A979BA" w14:textId="77777777" w:rsidR="007639D2" w:rsidRPr="009862CA" w:rsidRDefault="007639D2" w:rsidP="007639D2">
      <w:pPr>
        <w:jc w:val="both"/>
        <w:rPr>
          <w:rFonts w:cs="Calibri"/>
          <w:b/>
        </w:rPr>
      </w:pPr>
    </w:p>
    <w:p w14:paraId="08AF9A08" w14:textId="58506E9A" w:rsidR="007639D2" w:rsidRDefault="007639D2" w:rsidP="007639D2">
      <w:pPr>
        <w:jc w:val="both"/>
        <w:rPr>
          <w:rStyle w:val="Hyperlink"/>
          <w:rFonts w:cs="Calibri"/>
          <w:b/>
          <w:sz w:val="24"/>
        </w:rPr>
      </w:pPr>
      <w:r w:rsidRPr="009A314A">
        <w:rPr>
          <w:rFonts w:cs="Calibri"/>
          <w:b/>
          <w:sz w:val="24"/>
        </w:rPr>
        <w:t>The Ohio Auditor of State</w:t>
      </w:r>
    </w:p>
    <w:p w14:paraId="53B4E6FE" w14:textId="5F3136C3" w:rsidR="007639D2" w:rsidRPr="009A314A" w:rsidRDefault="00000000" w:rsidP="007639D2">
      <w:pPr>
        <w:jc w:val="both"/>
        <w:rPr>
          <w:rFonts w:cs="Calibri"/>
          <w:bCs/>
          <w:sz w:val="24"/>
        </w:rPr>
      </w:pPr>
      <w:hyperlink r:id="rId32" w:history="1">
        <w:r w:rsidR="007639D2" w:rsidRPr="009A314A">
          <w:rPr>
            <w:rStyle w:val="Hyperlink"/>
            <w:rFonts w:cs="Calibri"/>
            <w:bCs/>
            <w:sz w:val="24"/>
          </w:rPr>
          <w:t>https://ohioauditor.gov/</w:t>
        </w:r>
      </w:hyperlink>
    </w:p>
    <w:p w14:paraId="5E0E800E" w14:textId="77777777" w:rsidR="007639D2" w:rsidRPr="006F6AC2" w:rsidRDefault="007639D2" w:rsidP="007639D2">
      <w:pPr>
        <w:jc w:val="both"/>
        <w:rPr>
          <w:rFonts w:cs="Calibri"/>
          <w:bCs/>
        </w:rPr>
      </w:pPr>
      <w:r>
        <w:rPr>
          <w:rFonts w:cs="Calibri"/>
          <w:bCs/>
        </w:rPr>
        <w:t>Links to Sunshine Laws training offered by t</w:t>
      </w:r>
      <w:r w:rsidRPr="00161750">
        <w:rPr>
          <w:rFonts w:cs="Calibri"/>
          <w:bCs/>
        </w:rPr>
        <w:t>he Auditor of State’s Office</w:t>
      </w:r>
      <w:r>
        <w:rPr>
          <w:rFonts w:cs="Calibri"/>
          <w:bCs/>
        </w:rPr>
        <w:t xml:space="preserve"> and other Sunshine Laws </w:t>
      </w:r>
      <w:r w:rsidRPr="00161750">
        <w:rPr>
          <w:rFonts w:cs="Calibri"/>
          <w:bCs/>
        </w:rPr>
        <w:t>resources.</w:t>
      </w:r>
    </w:p>
    <w:p w14:paraId="6D53747F" w14:textId="77777777" w:rsidR="007639D2" w:rsidRPr="009862CA" w:rsidRDefault="007639D2" w:rsidP="007639D2">
      <w:pPr>
        <w:jc w:val="both"/>
        <w:rPr>
          <w:rFonts w:cs="Calibri"/>
          <w:b/>
        </w:rPr>
      </w:pPr>
    </w:p>
    <w:p w14:paraId="35A91D0E" w14:textId="0B87E071" w:rsidR="007639D2" w:rsidRDefault="007639D2" w:rsidP="007639D2">
      <w:pPr>
        <w:jc w:val="both"/>
        <w:rPr>
          <w:rStyle w:val="Hyperlink"/>
          <w:rFonts w:cs="Calibri"/>
          <w:b/>
          <w:sz w:val="24"/>
        </w:rPr>
      </w:pPr>
      <w:r w:rsidRPr="009A314A">
        <w:rPr>
          <w:rFonts w:cs="Calibri"/>
          <w:b/>
          <w:sz w:val="24"/>
        </w:rPr>
        <w:t>The Ohio Court of Claims</w:t>
      </w:r>
    </w:p>
    <w:p w14:paraId="33CC71BC" w14:textId="3A363F2D" w:rsidR="007639D2" w:rsidRPr="009A314A" w:rsidRDefault="00000000" w:rsidP="007639D2">
      <w:pPr>
        <w:jc w:val="both"/>
        <w:rPr>
          <w:rFonts w:cs="Calibri"/>
          <w:bCs/>
          <w:sz w:val="24"/>
        </w:rPr>
      </w:pPr>
      <w:hyperlink r:id="rId33" w:history="1">
        <w:r w:rsidR="007639D2" w:rsidRPr="009A314A">
          <w:rPr>
            <w:rStyle w:val="Hyperlink"/>
            <w:rFonts w:cs="Calibri"/>
            <w:bCs/>
            <w:sz w:val="24"/>
          </w:rPr>
          <w:t>https://ohiocourtofclaims.gov/public-records/</w:t>
        </w:r>
      </w:hyperlink>
    </w:p>
    <w:p w14:paraId="4534165C" w14:textId="77777777" w:rsidR="007639D2" w:rsidRDefault="007639D2" w:rsidP="007639D2">
      <w:pPr>
        <w:jc w:val="both"/>
        <w:rPr>
          <w:rFonts w:cs="Calibri"/>
          <w:bCs/>
        </w:rPr>
      </w:pPr>
      <w:r w:rsidRPr="00161750">
        <w:rPr>
          <w:rFonts w:cs="Calibri"/>
          <w:bCs/>
        </w:rPr>
        <w:t>Information on how to file a public records complaint in the Ohio Court of Claims, the mediation and case management process, and the case timeline.</w:t>
      </w:r>
    </w:p>
    <w:p w14:paraId="7A4A91D3" w14:textId="77777777" w:rsidR="007639D2" w:rsidRPr="00161750" w:rsidRDefault="007639D2" w:rsidP="007639D2">
      <w:pPr>
        <w:jc w:val="both"/>
        <w:rPr>
          <w:rFonts w:cs="Calibri"/>
          <w:bCs/>
        </w:rPr>
      </w:pPr>
    </w:p>
    <w:p w14:paraId="19C933A8" w14:textId="13F9307B" w:rsidR="007639D2" w:rsidRDefault="007639D2" w:rsidP="007639D2">
      <w:pPr>
        <w:jc w:val="both"/>
        <w:rPr>
          <w:rStyle w:val="Hyperlink"/>
          <w:rFonts w:cs="Calibri"/>
          <w:b/>
          <w:sz w:val="24"/>
        </w:rPr>
      </w:pPr>
      <w:r w:rsidRPr="009A314A">
        <w:rPr>
          <w:rFonts w:cs="Calibri"/>
          <w:b/>
          <w:sz w:val="24"/>
        </w:rPr>
        <w:t>The Supreme Court of Ohio</w:t>
      </w:r>
    </w:p>
    <w:p w14:paraId="56CF6C00" w14:textId="4519C018" w:rsidR="007639D2" w:rsidRPr="009A314A" w:rsidRDefault="00000000" w:rsidP="007639D2">
      <w:pPr>
        <w:jc w:val="both"/>
        <w:rPr>
          <w:rFonts w:cs="Calibri"/>
          <w:bCs/>
          <w:sz w:val="24"/>
        </w:rPr>
      </w:pPr>
      <w:hyperlink r:id="rId34" w:history="1">
        <w:r w:rsidR="007639D2" w:rsidRPr="009A314A">
          <w:rPr>
            <w:rStyle w:val="Hyperlink"/>
            <w:rFonts w:cs="Calibri"/>
            <w:bCs/>
            <w:sz w:val="24"/>
          </w:rPr>
          <w:t>https://www.supremecourt.ohio.gov/</w:t>
        </w:r>
      </w:hyperlink>
    </w:p>
    <w:p w14:paraId="6E6F3023" w14:textId="77777777" w:rsidR="007639D2" w:rsidRDefault="007639D2" w:rsidP="007639D2">
      <w:pPr>
        <w:jc w:val="both"/>
        <w:rPr>
          <w:rFonts w:cs="Calibri"/>
          <w:b/>
          <w:sz w:val="24"/>
        </w:rPr>
      </w:pPr>
    </w:p>
    <w:p w14:paraId="3A969D62" w14:textId="56717FD6" w:rsidR="007639D2" w:rsidRDefault="007639D2" w:rsidP="007639D2">
      <w:pPr>
        <w:jc w:val="both"/>
        <w:rPr>
          <w:rStyle w:val="Hyperlink"/>
          <w:rFonts w:cs="Calibri"/>
          <w:b/>
          <w:sz w:val="24"/>
        </w:rPr>
      </w:pPr>
      <w:r w:rsidRPr="009A314A">
        <w:rPr>
          <w:rFonts w:cs="Calibri"/>
          <w:b/>
          <w:sz w:val="24"/>
        </w:rPr>
        <w:t>The Ohio General Assembly</w:t>
      </w:r>
    </w:p>
    <w:p w14:paraId="3F209D61" w14:textId="5B871F2B" w:rsidR="007639D2" w:rsidRPr="009A314A" w:rsidRDefault="00000000" w:rsidP="007639D2">
      <w:pPr>
        <w:jc w:val="both"/>
        <w:rPr>
          <w:rFonts w:cs="Calibri"/>
          <w:bCs/>
          <w:sz w:val="24"/>
        </w:rPr>
      </w:pPr>
      <w:hyperlink r:id="rId35" w:history="1">
        <w:r w:rsidR="007639D2" w:rsidRPr="009A314A">
          <w:rPr>
            <w:rStyle w:val="Hyperlink"/>
            <w:rFonts w:cs="Calibri"/>
            <w:bCs/>
            <w:sz w:val="24"/>
          </w:rPr>
          <w:t>https://www.legislature.ohio.gov/</w:t>
        </w:r>
      </w:hyperlink>
    </w:p>
    <w:p w14:paraId="614277D7" w14:textId="77777777" w:rsidR="007639D2" w:rsidRPr="009862CA" w:rsidRDefault="007639D2" w:rsidP="007639D2">
      <w:pPr>
        <w:jc w:val="both"/>
        <w:rPr>
          <w:rFonts w:cs="Calibri"/>
          <w:b/>
        </w:rPr>
      </w:pPr>
    </w:p>
    <w:p w14:paraId="4DFC58A2" w14:textId="6C8871A6" w:rsidR="007639D2" w:rsidRDefault="007639D2" w:rsidP="007639D2">
      <w:pPr>
        <w:jc w:val="both"/>
        <w:rPr>
          <w:rStyle w:val="Hyperlink"/>
          <w:rFonts w:cs="Calibri"/>
          <w:b/>
          <w:sz w:val="24"/>
        </w:rPr>
      </w:pPr>
      <w:r w:rsidRPr="009A314A">
        <w:rPr>
          <w:rFonts w:cs="Calibri"/>
          <w:b/>
          <w:sz w:val="24"/>
        </w:rPr>
        <w:t>The Ohio History Connection and State Archives</w:t>
      </w:r>
    </w:p>
    <w:p w14:paraId="64E11D69" w14:textId="1B0CF4BE" w:rsidR="007639D2" w:rsidRPr="009A314A" w:rsidRDefault="00000000" w:rsidP="007639D2">
      <w:pPr>
        <w:jc w:val="both"/>
        <w:rPr>
          <w:rFonts w:cs="Calibri"/>
          <w:bCs/>
          <w:sz w:val="24"/>
        </w:rPr>
      </w:pPr>
      <w:hyperlink r:id="rId36" w:history="1">
        <w:r w:rsidR="007639D2" w:rsidRPr="009A314A">
          <w:rPr>
            <w:rStyle w:val="Hyperlink"/>
            <w:rFonts w:cs="Calibri"/>
            <w:bCs/>
            <w:sz w:val="24"/>
          </w:rPr>
          <w:t>https://www.ohiohistory.org/</w:t>
        </w:r>
      </w:hyperlink>
    </w:p>
    <w:p w14:paraId="2B3227D4" w14:textId="77777777" w:rsidR="007639D2" w:rsidRPr="000E27DF" w:rsidRDefault="007639D2" w:rsidP="007639D2">
      <w:pPr>
        <w:jc w:val="both"/>
        <w:rPr>
          <w:rFonts w:cs="Calibri"/>
        </w:rPr>
      </w:pPr>
      <w:r>
        <w:rPr>
          <w:rFonts w:cs="Calibri"/>
        </w:rPr>
        <w:t>Resources on</w:t>
      </w:r>
      <w:r w:rsidRPr="00161750">
        <w:rPr>
          <w:rFonts w:cs="Calibri"/>
        </w:rPr>
        <w:t xml:space="preserve"> records retention</w:t>
      </w:r>
      <w:r>
        <w:rPr>
          <w:rFonts w:cs="Calibri"/>
        </w:rPr>
        <w:t xml:space="preserve"> </w:t>
      </w:r>
      <w:r w:rsidRPr="00161750">
        <w:rPr>
          <w:rFonts w:cs="Calibri"/>
        </w:rPr>
        <w:t>issue</w:t>
      </w:r>
      <w:r>
        <w:rPr>
          <w:rFonts w:cs="Calibri"/>
        </w:rPr>
        <w:t>s</w:t>
      </w:r>
      <w:r w:rsidRPr="00161750">
        <w:rPr>
          <w:rFonts w:cs="Calibri"/>
        </w:rPr>
        <w:t xml:space="preserve">, </w:t>
      </w:r>
      <w:r>
        <w:rPr>
          <w:rFonts w:cs="Calibri"/>
        </w:rPr>
        <w:t>including</w:t>
      </w:r>
      <w:r w:rsidRPr="00161750">
        <w:rPr>
          <w:rFonts w:cs="Calibri"/>
        </w:rPr>
        <w:t xml:space="preserve"> identifying and preserving records with historical value.</w:t>
      </w:r>
    </w:p>
    <w:p w14:paraId="3E2EABF5" w14:textId="77777777" w:rsidR="007639D2" w:rsidRDefault="007639D2" w:rsidP="007639D2">
      <w:pPr>
        <w:jc w:val="both"/>
        <w:rPr>
          <w:rFonts w:cs="Calibri"/>
          <w:b/>
        </w:rPr>
      </w:pPr>
    </w:p>
    <w:p w14:paraId="1F87BBD5" w14:textId="77777777" w:rsidR="007639D2" w:rsidRPr="009862CA" w:rsidRDefault="007639D2" w:rsidP="007639D2">
      <w:pPr>
        <w:jc w:val="both"/>
        <w:rPr>
          <w:rFonts w:cs="Calibri"/>
          <w:b/>
        </w:rPr>
      </w:pPr>
    </w:p>
    <w:p w14:paraId="353DAE73" w14:textId="35A4B846" w:rsidR="007639D2" w:rsidRPr="009A314A" w:rsidRDefault="007639D2" w:rsidP="007639D2">
      <w:pPr>
        <w:jc w:val="both"/>
        <w:rPr>
          <w:rFonts w:cs="Calibri"/>
          <w:b/>
          <w:sz w:val="24"/>
        </w:rPr>
      </w:pPr>
      <w:r w:rsidRPr="009A314A">
        <w:rPr>
          <w:rFonts w:cs="Calibri"/>
          <w:b/>
          <w:sz w:val="24"/>
        </w:rPr>
        <w:lastRenderedPageBreak/>
        <w:t>The Department of Administrative Services</w:t>
      </w:r>
    </w:p>
    <w:p w14:paraId="1A5A43FA" w14:textId="3A8FB1CC" w:rsidR="007639D2" w:rsidRPr="009A314A" w:rsidRDefault="00000000" w:rsidP="007639D2">
      <w:pPr>
        <w:jc w:val="both"/>
        <w:rPr>
          <w:rFonts w:cs="Calibri"/>
          <w:bCs/>
          <w:sz w:val="24"/>
        </w:rPr>
      </w:pPr>
      <w:hyperlink r:id="rId37" w:history="1">
        <w:r w:rsidR="007639D2" w:rsidRPr="009A314A">
          <w:rPr>
            <w:rStyle w:val="Hyperlink"/>
            <w:rFonts w:cs="Calibri"/>
            <w:bCs/>
            <w:sz w:val="24"/>
          </w:rPr>
          <w:t>https://das.ohio.gov/home/policy-finder/filter-policy-finder</w:t>
        </w:r>
      </w:hyperlink>
    </w:p>
    <w:p w14:paraId="13EE8B44" w14:textId="77777777" w:rsidR="007639D2" w:rsidRPr="00161750" w:rsidRDefault="007639D2" w:rsidP="007639D2">
      <w:pPr>
        <w:jc w:val="both"/>
        <w:rPr>
          <w:rFonts w:cs="Calibri"/>
        </w:rPr>
      </w:pPr>
      <w:r>
        <w:rPr>
          <w:rFonts w:cs="Calibri"/>
        </w:rPr>
        <w:t>E</w:t>
      </w:r>
      <w:r w:rsidRPr="00161750">
        <w:rPr>
          <w:rFonts w:cs="Calibri"/>
        </w:rPr>
        <w:t xml:space="preserve">xamples of </w:t>
      </w:r>
      <w:r>
        <w:rPr>
          <w:rFonts w:cs="Calibri"/>
        </w:rPr>
        <w:t xml:space="preserve">state agency </w:t>
      </w:r>
      <w:r w:rsidRPr="00161750">
        <w:rPr>
          <w:rFonts w:cs="Calibri"/>
        </w:rPr>
        <w:t>records retention schedules</w:t>
      </w:r>
      <w:r>
        <w:rPr>
          <w:rFonts w:cs="Calibri"/>
        </w:rPr>
        <w:t>,</w:t>
      </w:r>
      <w:r w:rsidRPr="00161750">
        <w:rPr>
          <w:rFonts w:cs="Calibri"/>
        </w:rPr>
        <w:t xml:space="preserve"> searchable by agency name or record category.</w:t>
      </w:r>
    </w:p>
    <w:p w14:paraId="41616115" w14:textId="77777777" w:rsidR="007639D2" w:rsidRPr="009862CA" w:rsidRDefault="007639D2" w:rsidP="007639D2">
      <w:pPr>
        <w:jc w:val="both"/>
        <w:rPr>
          <w:rFonts w:cs="Calibri"/>
        </w:rPr>
      </w:pPr>
    </w:p>
    <w:p w14:paraId="4FD63101" w14:textId="165E4BD4" w:rsidR="007639D2" w:rsidRDefault="007639D2" w:rsidP="007639D2">
      <w:pPr>
        <w:jc w:val="both"/>
        <w:rPr>
          <w:rStyle w:val="Hyperlink"/>
          <w:rFonts w:cs="Calibri"/>
          <w:b/>
          <w:bCs/>
          <w:sz w:val="24"/>
        </w:rPr>
      </w:pPr>
      <w:r w:rsidRPr="009A314A">
        <w:rPr>
          <w:rFonts w:cs="Calibri"/>
          <w:b/>
          <w:bCs/>
          <w:sz w:val="24"/>
        </w:rPr>
        <w:t>The Ohio County Archivists and Records Managers Association</w:t>
      </w:r>
    </w:p>
    <w:p w14:paraId="6722CD0D" w14:textId="2A81C172" w:rsidR="007639D2" w:rsidRPr="009A314A" w:rsidRDefault="00000000" w:rsidP="007639D2">
      <w:pPr>
        <w:jc w:val="both"/>
        <w:rPr>
          <w:rFonts w:cs="Calibri"/>
          <w:sz w:val="24"/>
        </w:rPr>
      </w:pPr>
      <w:hyperlink r:id="rId38" w:history="1">
        <w:r w:rsidR="007639D2" w:rsidRPr="009A314A">
          <w:rPr>
            <w:rStyle w:val="Hyperlink"/>
            <w:rFonts w:cs="Calibri"/>
            <w:sz w:val="24"/>
          </w:rPr>
          <w:t>https://www.ohiohistory.org/research/local-government-records-program/county-archivists-records-management-association/</w:t>
        </w:r>
      </w:hyperlink>
    </w:p>
    <w:p w14:paraId="3D2155D2" w14:textId="77777777" w:rsidR="007639D2" w:rsidRDefault="007639D2" w:rsidP="007639D2">
      <w:pPr>
        <w:jc w:val="both"/>
        <w:rPr>
          <w:rFonts w:cs="Calibri"/>
        </w:rPr>
      </w:pPr>
      <w:r>
        <w:rPr>
          <w:rFonts w:cs="Calibri"/>
        </w:rPr>
        <w:t>R</w:t>
      </w:r>
      <w:r w:rsidRPr="00161750">
        <w:rPr>
          <w:rFonts w:cs="Calibri"/>
        </w:rPr>
        <w:t>esource</w:t>
      </w:r>
      <w:r>
        <w:rPr>
          <w:rFonts w:cs="Calibri"/>
        </w:rPr>
        <w:t>s</w:t>
      </w:r>
      <w:r w:rsidRPr="00161750">
        <w:rPr>
          <w:rFonts w:cs="Calibri"/>
        </w:rPr>
        <w:t xml:space="preserve"> for county records managers.</w:t>
      </w:r>
    </w:p>
    <w:p w14:paraId="42E63AEC" w14:textId="77777777" w:rsidR="007639D2" w:rsidRPr="009862CA" w:rsidRDefault="007639D2" w:rsidP="007639D2">
      <w:pPr>
        <w:jc w:val="both"/>
        <w:rPr>
          <w:rFonts w:cs="Calibri"/>
        </w:rPr>
      </w:pPr>
    </w:p>
    <w:p w14:paraId="156F3D37" w14:textId="1CC2D16C" w:rsidR="007639D2" w:rsidRDefault="007639D2" w:rsidP="007639D2">
      <w:pPr>
        <w:jc w:val="both"/>
        <w:rPr>
          <w:rStyle w:val="Hyperlink"/>
          <w:rFonts w:cs="Calibri"/>
          <w:b/>
          <w:bCs/>
          <w:sz w:val="24"/>
        </w:rPr>
      </w:pPr>
      <w:r w:rsidRPr="009A314A">
        <w:rPr>
          <w:rFonts w:cs="Calibri"/>
          <w:b/>
          <w:bCs/>
          <w:sz w:val="24"/>
        </w:rPr>
        <w:t>The Ohio Electronic Records Committee (OhioERC)</w:t>
      </w:r>
    </w:p>
    <w:p w14:paraId="678C1369" w14:textId="3216C498" w:rsidR="007639D2" w:rsidRPr="009A314A" w:rsidRDefault="00000000" w:rsidP="007639D2">
      <w:pPr>
        <w:jc w:val="both"/>
        <w:rPr>
          <w:rFonts w:cs="Calibri"/>
          <w:sz w:val="24"/>
        </w:rPr>
      </w:pPr>
      <w:hyperlink r:id="rId39" w:history="1">
        <w:r w:rsidR="007639D2" w:rsidRPr="009A314A">
          <w:rPr>
            <w:rStyle w:val="Hyperlink"/>
            <w:rFonts w:cs="Calibri"/>
            <w:sz w:val="24"/>
          </w:rPr>
          <w:t>https://ohioerc.org/</w:t>
        </w:r>
      </w:hyperlink>
    </w:p>
    <w:p w14:paraId="03D19856" w14:textId="77777777" w:rsidR="007639D2" w:rsidRPr="00271E1E" w:rsidRDefault="007639D2" w:rsidP="007639D2">
      <w:pPr>
        <w:jc w:val="both"/>
        <w:rPr>
          <w:rFonts w:cs="Calibri"/>
        </w:rPr>
      </w:pPr>
      <w:r>
        <w:rPr>
          <w:rFonts w:cs="Calibri"/>
        </w:rPr>
        <w:t xml:space="preserve">Resources for </w:t>
      </w:r>
      <w:r w:rsidRPr="00161750">
        <w:rPr>
          <w:rFonts w:cs="Calibri"/>
        </w:rPr>
        <w:t>public offices</w:t>
      </w:r>
      <w:r>
        <w:rPr>
          <w:rFonts w:cs="Calibri"/>
        </w:rPr>
        <w:t xml:space="preserve"> </w:t>
      </w:r>
      <w:r w:rsidRPr="00161750">
        <w:rPr>
          <w:rFonts w:cs="Calibri"/>
        </w:rPr>
        <w:t>on creating, maintaining, preserving, and accessing electronic records.</w:t>
      </w:r>
    </w:p>
    <w:p w14:paraId="7EEF3CC5" w14:textId="77777777" w:rsidR="007639D2" w:rsidRDefault="007639D2">
      <w:pPr>
        <w:jc w:val="both"/>
        <w:rPr>
          <w:rFonts w:cs="Calibri"/>
        </w:rPr>
        <w:sectPr w:rsidR="007639D2" w:rsidSect="00AF6868">
          <w:endnotePr>
            <w:numFmt w:val="decimal"/>
          </w:endnotePr>
          <w:type w:val="continuous"/>
          <w:pgSz w:w="12240" w:h="15840"/>
          <w:pgMar w:top="1440" w:right="1440" w:bottom="1440" w:left="1440" w:header="720" w:footer="210" w:gutter="0"/>
          <w:pgNumType w:fmt="lowerRoman"/>
          <w:cols w:space="720"/>
          <w:docGrid w:linePitch="360"/>
        </w:sectPr>
      </w:pPr>
    </w:p>
    <w:p w14:paraId="53BC8412" w14:textId="013D46C8" w:rsidR="00974632" w:rsidRDefault="00974632" w:rsidP="000829D0">
      <w:pPr>
        <w:pStyle w:val="Heading1"/>
      </w:pPr>
      <w:bookmarkStart w:id="1" w:name="_Toc159851427"/>
      <w:bookmarkStart w:id="2" w:name="_Hlk150425632"/>
      <w:bookmarkStart w:id="3" w:name="_Hlk90899766"/>
      <w:r w:rsidRPr="0095270E">
        <w:lastRenderedPageBreak/>
        <w:t>Overview of the Ohio Public Records Act</w:t>
      </w:r>
      <w:bookmarkEnd w:id="1"/>
    </w:p>
    <w:p w14:paraId="02239A15" w14:textId="77777777" w:rsidR="00681BA7" w:rsidRDefault="00974632">
      <w:pPr>
        <w:spacing w:line="240" w:lineRule="exact"/>
        <w:jc w:val="both"/>
        <w:rPr>
          <w:rFonts w:cs="Calibri"/>
        </w:rPr>
      </w:pPr>
      <w:r>
        <w:rPr>
          <w:rFonts w:cs="Calibri"/>
        </w:rPr>
        <w:t>Ohio law has long provided for public scrutiny of state and local government records.</w:t>
      </w:r>
      <w:r w:rsidR="00433F93">
        <w:rPr>
          <w:rStyle w:val="EndnoteReference"/>
          <w:rFonts w:cs="Calibri"/>
        </w:rPr>
        <w:endnoteReference w:id="1"/>
      </w:r>
    </w:p>
    <w:p w14:paraId="2ADACE8E" w14:textId="77777777" w:rsidR="00681BA7" w:rsidRDefault="00681BA7">
      <w:pPr>
        <w:spacing w:line="240" w:lineRule="exact"/>
        <w:jc w:val="both"/>
        <w:rPr>
          <w:rFonts w:cs="Calibri"/>
        </w:rPr>
      </w:pPr>
    </w:p>
    <w:p w14:paraId="2732D689" w14:textId="3ED3F03B" w:rsidR="00681BA7" w:rsidRDefault="00681BA7">
      <w:pPr>
        <w:spacing w:line="240" w:lineRule="exact"/>
        <w:jc w:val="both"/>
        <w:rPr>
          <w:rFonts w:cs="Calibri"/>
        </w:rPr>
      </w:pPr>
      <w:r>
        <w:rPr>
          <w:rFonts w:cs="Calibri"/>
        </w:rPr>
        <w:t xml:space="preserve">Ohio’s Public Records Act details </w:t>
      </w:r>
      <w:r w:rsidR="00F6617F">
        <w:rPr>
          <w:rFonts w:cs="Calibri"/>
        </w:rPr>
        <w:t>what is a “public record</w:t>
      </w:r>
      <w:r w:rsidR="004D314B">
        <w:rPr>
          <w:rFonts w:cs="Calibri"/>
        </w:rPr>
        <w:t>,</w:t>
      </w:r>
      <w:r w:rsidR="00F6617F">
        <w:rPr>
          <w:rFonts w:cs="Calibri"/>
        </w:rPr>
        <w:t>” the obligations of a public office, and the rights and obligations of a public records requester</w:t>
      </w:r>
      <w:r>
        <w:rPr>
          <w:rFonts w:cs="Calibri"/>
        </w:rPr>
        <w:t>.  The Act also excludes certain records from disclosure and enforces production when an office denies a proper public records request.  The pages that follow will explain</w:t>
      </w:r>
      <w:r w:rsidR="00F6617F">
        <w:rPr>
          <w:rFonts w:cs="Calibri"/>
        </w:rPr>
        <w:t xml:space="preserve"> all </w:t>
      </w:r>
      <w:r>
        <w:rPr>
          <w:rFonts w:cs="Calibri"/>
        </w:rPr>
        <w:t>the</w:t>
      </w:r>
      <w:r w:rsidR="00F6617F">
        <w:rPr>
          <w:rFonts w:cs="Calibri"/>
        </w:rPr>
        <w:t xml:space="preserve">se </w:t>
      </w:r>
      <w:r>
        <w:rPr>
          <w:rFonts w:cs="Calibri"/>
        </w:rPr>
        <w:t>principles</w:t>
      </w:r>
      <w:r w:rsidR="00F6617F">
        <w:rPr>
          <w:rFonts w:cs="Calibri"/>
        </w:rPr>
        <w:t>, and below is a brief overview of them</w:t>
      </w:r>
      <w:r>
        <w:rPr>
          <w:rFonts w:cs="Calibri"/>
        </w:rPr>
        <w:t>.</w:t>
      </w:r>
    </w:p>
    <w:p w14:paraId="645D120B" w14:textId="77777777" w:rsidR="00681BA7" w:rsidRDefault="00681BA7">
      <w:pPr>
        <w:spacing w:line="240" w:lineRule="exact"/>
        <w:jc w:val="both"/>
        <w:rPr>
          <w:rFonts w:cs="Calibri"/>
        </w:rPr>
      </w:pPr>
    </w:p>
    <w:p w14:paraId="618A2CC0" w14:textId="3853671E" w:rsidR="00681BA7" w:rsidRDefault="00681BA7">
      <w:pPr>
        <w:spacing w:line="240" w:lineRule="exact"/>
        <w:jc w:val="both"/>
        <w:rPr>
          <w:rFonts w:cs="Calibri"/>
        </w:rPr>
      </w:pPr>
      <w:r>
        <w:rPr>
          <w:rFonts w:cs="Calibri"/>
        </w:rPr>
        <w:t xml:space="preserve">Any person may request to inspect or obtain copies of public records from a public office that keeps those records.  A public office must organize and maintain its public records in a manner that meets its duty to respond to public records requests and must keep a copy of its records retention schedules at a location readily available to the public.  When it receives a proper public records request, unless part or all of a record is exempt from release, a public office must </w:t>
      </w:r>
      <w:r w:rsidR="000E4ACB">
        <w:rPr>
          <w:rFonts w:cs="Calibri"/>
        </w:rPr>
        <w:t xml:space="preserve">promptly </w:t>
      </w:r>
      <w:r>
        <w:rPr>
          <w:rFonts w:cs="Calibri"/>
        </w:rPr>
        <w:t>provide inspection of the requested records</w:t>
      </w:r>
      <w:r w:rsidR="00DA5988">
        <w:rPr>
          <w:rFonts w:cs="Calibri"/>
        </w:rPr>
        <w:t xml:space="preserve"> or copies of the records</w:t>
      </w:r>
      <w:r>
        <w:rPr>
          <w:rFonts w:cs="Calibri"/>
        </w:rPr>
        <w:t xml:space="preserve"> </w:t>
      </w:r>
      <w:r w:rsidR="00DA5988">
        <w:rPr>
          <w:rFonts w:cs="Calibri"/>
        </w:rPr>
        <w:t>(</w:t>
      </w:r>
      <w:r>
        <w:rPr>
          <w:rFonts w:cs="Calibri"/>
        </w:rPr>
        <w:t xml:space="preserve">at </w:t>
      </w:r>
      <w:r w:rsidR="00DA5988">
        <w:rPr>
          <w:rFonts w:cs="Calibri"/>
        </w:rPr>
        <w:t xml:space="preserve">cost or </w:t>
      </w:r>
      <w:r>
        <w:rPr>
          <w:rFonts w:cs="Calibri"/>
        </w:rPr>
        <w:t>no cost</w:t>
      </w:r>
      <w:r w:rsidR="00DA5988">
        <w:rPr>
          <w:rFonts w:cs="Calibri"/>
        </w:rPr>
        <w:t>)</w:t>
      </w:r>
      <w:r>
        <w:rPr>
          <w:rFonts w:cs="Calibri"/>
        </w:rPr>
        <w:t xml:space="preserve"> within a reasonable period of time.</w:t>
      </w:r>
    </w:p>
    <w:p w14:paraId="0CE3AC27" w14:textId="77777777" w:rsidR="00681BA7" w:rsidRDefault="00681BA7">
      <w:pPr>
        <w:spacing w:line="240" w:lineRule="exact"/>
        <w:jc w:val="both"/>
        <w:rPr>
          <w:rFonts w:cs="Calibri"/>
        </w:rPr>
      </w:pPr>
    </w:p>
    <w:p w14:paraId="155004F3" w14:textId="3EFDAF3D" w:rsidR="00681BA7" w:rsidRDefault="00681BA7">
      <w:pPr>
        <w:spacing w:line="240" w:lineRule="exact"/>
        <w:jc w:val="both"/>
        <w:rPr>
          <w:rFonts w:cs="Calibri"/>
        </w:rPr>
      </w:pPr>
      <w:r>
        <w:rPr>
          <w:rFonts w:cs="Calibri"/>
        </w:rPr>
        <w:t xml:space="preserve">Unless a specific law states otherwise, a requester does not have to provide a reason for wanting records, </w:t>
      </w:r>
      <w:r w:rsidR="00D06000">
        <w:rPr>
          <w:rFonts w:cs="Calibri"/>
        </w:rPr>
        <w:t>give</w:t>
      </w:r>
      <w:r>
        <w:rPr>
          <w:rFonts w:cs="Calibri"/>
        </w:rPr>
        <w:t xml:space="preserve"> </w:t>
      </w:r>
      <w:r w:rsidR="00D06000">
        <w:rPr>
          <w:rFonts w:cs="Calibri"/>
        </w:rPr>
        <w:t>their</w:t>
      </w:r>
      <w:r>
        <w:rPr>
          <w:rFonts w:cs="Calibri"/>
        </w:rPr>
        <w:t xml:space="preserve"> name, or make the request in writing.  However, the request</w:t>
      </w:r>
      <w:r w:rsidR="00D06000">
        <w:rPr>
          <w:rFonts w:cs="Calibri"/>
        </w:rPr>
        <w:t>er</w:t>
      </w:r>
      <w:r>
        <w:rPr>
          <w:rFonts w:cs="Calibri"/>
        </w:rPr>
        <w:t xml:space="preserve"> does have to be clear and specific enough for the public office to reasonably identify what public records the</w:t>
      </w:r>
      <w:r w:rsidR="00D06000">
        <w:rPr>
          <w:rFonts w:cs="Calibri"/>
        </w:rPr>
        <w:t>y</w:t>
      </w:r>
      <w:r>
        <w:rPr>
          <w:rFonts w:cs="Calibri"/>
        </w:rPr>
        <w:t xml:space="preserve"> seek.  A public office can</w:t>
      </w:r>
      <w:r w:rsidR="00D65B63">
        <w:rPr>
          <w:rFonts w:cs="Calibri"/>
        </w:rPr>
        <w:t xml:space="preserve"> properly deny </w:t>
      </w:r>
      <w:r>
        <w:rPr>
          <w:rFonts w:cs="Calibri"/>
        </w:rPr>
        <w:t xml:space="preserve">a request if the office no longer keeps the records pursuant to </w:t>
      </w:r>
      <w:r w:rsidR="000E4ACB">
        <w:rPr>
          <w:rFonts w:cs="Calibri"/>
        </w:rPr>
        <w:t>its</w:t>
      </w:r>
      <w:r>
        <w:rPr>
          <w:rFonts w:cs="Calibri"/>
        </w:rPr>
        <w:t xml:space="preserve"> records retention schedules</w:t>
      </w:r>
      <w:r w:rsidR="00D06000">
        <w:rPr>
          <w:rFonts w:cs="Calibri"/>
        </w:rPr>
        <w:t>,</w:t>
      </w:r>
      <w:r>
        <w:rPr>
          <w:rFonts w:cs="Calibri"/>
        </w:rPr>
        <w:t xml:space="preserve"> if the request is for documents that are not records of the office, or if the requester does not revise an ambiguous or overly broad request.</w:t>
      </w:r>
    </w:p>
    <w:p w14:paraId="39DA9B45" w14:textId="77777777" w:rsidR="00681BA7" w:rsidRDefault="00681BA7">
      <w:pPr>
        <w:spacing w:line="240" w:lineRule="exact"/>
        <w:jc w:val="both"/>
        <w:rPr>
          <w:rFonts w:cs="Calibri"/>
        </w:rPr>
      </w:pPr>
    </w:p>
    <w:p w14:paraId="12837A5D" w14:textId="443C4516" w:rsidR="00681BA7" w:rsidRDefault="00681BA7">
      <w:pPr>
        <w:spacing w:line="240" w:lineRule="exact"/>
        <w:jc w:val="both"/>
        <w:rPr>
          <w:rFonts w:cs="Calibri"/>
        </w:rPr>
      </w:pPr>
      <w:r>
        <w:rPr>
          <w:rFonts w:cs="Calibri"/>
        </w:rPr>
        <w:t>The Ohio General Assembly has passed</w:t>
      </w:r>
      <w:r w:rsidR="00DA5988">
        <w:rPr>
          <w:rFonts w:cs="Calibri"/>
        </w:rPr>
        <w:t xml:space="preserve"> several</w:t>
      </w:r>
      <w:r>
        <w:rPr>
          <w:rFonts w:cs="Calibri"/>
        </w:rPr>
        <w:t xml:space="preserve"> laws that protect certain records by requiring or permitting a public office to withhold them from public release.  When a public office invokes one of these exemptions, the office may only withhold a record or part of a record </w:t>
      </w:r>
      <w:r w:rsidR="00CA0316">
        <w:rPr>
          <w:rFonts w:cs="Calibri"/>
        </w:rPr>
        <w:t xml:space="preserve">that is </w:t>
      </w:r>
      <w:r>
        <w:rPr>
          <w:rFonts w:cs="Calibri"/>
        </w:rPr>
        <w:t>clearly covered by the exemption</w:t>
      </w:r>
      <w:r w:rsidR="00FE2605">
        <w:rPr>
          <w:rFonts w:cs="Calibri"/>
        </w:rPr>
        <w:t>.  The public office must also</w:t>
      </w:r>
      <w:r>
        <w:rPr>
          <w:rFonts w:cs="Calibri"/>
        </w:rPr>
        <w:t xml:space="preserve"> tell the requester </w:t>
      </w:r>
      <w:r w:rsidR="00FE2605">
        <w:rPr>
          <w:rFonts w:cs="Calibri"/>
        </w:rPr>
        <w:t>the legal basis—statutory or case law</w:t>
      </w:r>
      <w:r>
        <w:rPr>
          <w:rFonts w:cs="Calibri"/>
        </w:rPr>
        <w:t xml:space="preserve"> authorit</w:t>
      </w:r>
      <w:r w:rsidR="00FE2605">
        <w:rPr>
          <w:rFonts w:cs="Calibri"/>
        </w:rPr>
        <w:t>y—of the exemption</w:t>
      </w:r>
      <w:r>
        <w:rPr>
          <w:rFonts w:cs="Calibri"/>
        </w:rPr>
        <w:t>.</w:t>
      </w:r>
    </w:p>
    <w:p w14:paraId="58FA0286" w14:textId="77777777" w:rsidR="00681BA7" w:rsidRDefault="00681BA7">
      <w:pPr>
        <w:spacing w:line="240" w:lineRule="exact"/>
        <w:jc w:val="both"/>
        <w:rPr>
          <w:rFonts w:cs="Calibri"/>
        </w:rPr>
      </w:pPr>
    </w:p>
    <w:p w14:paraId="0A3FA620" w14:textId="75381671" w:rsidR="00681BA7" w:rsidRDefault="00681BA7">
      <w:pPr>
        <w:spacing w:line="240" w:lineRule="exact"/>
        <w:jc w:val="both"/>
        <w:rPr>
          <w:rFonts w:cs="Calibri"/>
        </w:rPr>
      </w:pPr>
      <w:r>
        <w:rPr>
          <w:rFonts w:cs="Calibri"/>
        </w:rPr>
        <w:t>A person aggrieved by the alleged failure of a public office to comply with an obligation of the Public Records Act may choose to either (1) file a complaint against the public office in the Court of Claims</w:t>
      </w:r>
      <w:r w:rsidR="00225339">
        <w:rPr>
          <w:rFonts w:cs="Calibri"/>
        </w:rPr>
        <w:t xml:space="preserve"> </w:t>
      </w:r>
      <w:r>
        <w:rPr>
          <w:rFonts w:cs="Calibri"/>
        </w:rPr>
        <w:t xml:space="preserve">or (2) file a mandamus lawsuit against the public office.  </w:t>
      </w:r>
      <w:r w:rsidR="00F6617F">
        <w:rPr>
          <w:rFonts w:cs="Calibri"/>
        </w:rPr>
        <w:t>The Court of Claims process provides an expedited procedure for resolving public records disputes.</w:t>
      </w:r>
      <w:r>
        <w:rPr>
          <w:rFonts w:cs="Calibri"/>
        </w:rPr>
        <w:t xml:space="preserve">  To commence an action in the Court of Claims, the requester must file a specified complaint form, attaching the original public records request and any written responses.  The case will first be referred to mediation, and then, if mediation is unsuccessful, proceed on a “fast track” resolution process that is overseen by a special master.  In a mandamus lawsuit, the requester will have the burden of showing that he or she made a proper public records request, and the public office will have the burden of showing the court that it complied with the obligation(s) allegedly violated.  If </w:t>
      </w:r>
      <w:r w:rsidR="00BA61FF">
        <w:rPr>
          <w:rFonts w:cs="Calibri"/>
        </w:rPr>
        <w:t xml:space="preserve">the public office </w:t>
      </w:r>
      <w:r>
        <w:rPr>
          <w:rFonts w:cs="Calibri"/>
        </w:rPr>
        <w:t>cannot</w:t>
      </w:r>
      <w:r w:rsidR="00BA61FF">
        <w:rPr>
          <w:rFonts w:cs="Calibri"/>
        </w:rPr>
        <w:t xml:space="preserve"> show </w:t>
      </w:r>
      <w:r w:rsidR="00F6617F">
        <w:rPr>
          <w:rFonts w:cs="Calibri"/>
        </w:rPr>
        <w:t xml:space="preserve">that </w:t>
      </w:r>
      <w:r w:rsidR="00BA61FF">
        <w:rPr>
          <w:rFonts w:cs="Calibri"/>
        </w:rPr>
        <w:t>it complied with its legal obligation</w:t>
      </w:r>
      <w:r w:rsidR="00DA5988">
        <w:rPr>
          <w:rFonts w:cs="Calibri"/>
        </w:rPr>
        <w:t>(s)</w:t>
      </w:r>
      <w:r>
        <w:rPr>
          <w:rFonts w:cs="Calibri"/>
        </w:rPr>
        <w:t>, the court will order the public office to provide any improperly withheld record, and the public office may be required to pay a civil penalty and attorney fees.</w:t>
      </w:r>
    </w:p>
    <w:p w14:paraId="46D4CC20" w14:textId="77777777" w:rsidR="00433F93" w:rsidRDefault="00433F93" w:rsidP="0085553E">
      <w:pPr>
        <w:pStyle w:val="Heading1"/>
      </w:pPr>
    </w:p>
    <w:p w14:paraId="6CA7D1CC" w14:textId="77777777" w:rsidR="00433F93" w:rsidRDefault="00433F93" w:rsidP="0085553E">
      <w:pPr>
        <w:pStyle w:val="Heading1"/>
      </w:pPr>
    </w:p>
    <w:p w14:paraId="7D2867B5" w14:textId="77777777" w:rsidR="00433F93" w:rsidRDefault="00433F93" w:rsidP="0085553E">
      <w:pPr>
        <w:pStyle w:val="Heading1"/>
      </w:pPr>
    </w:p>
    <w:p w14:paraId="5CAA4733" w14:textId="77777777" w:rsidR="00433F93" w:rsidRDefault="00433F93" w:rsidP="0085553E">
      <w:pPr>
        <w:pStyle w:val="Heading1"/>
      </w:pPr>
    </w:p>
    <w:p w14:paraId="0B7A682A" w14:textId="73B630F4" w:rsidR="00681BA7" w:rsidRPr="00E864C3" w:rsidRDefault="00681BA7" w:rsidP="0085553E">
      <w:pPr>
        <w:pStyle w:val="Heading1"/>
      </w:pPr>
      <w:bookmarkStart w:id="4" w:name="_Toc159851428"/>
      <w:r w:rsidRPr="00E864C3">
        <w:lastRenderedPageBreak/>
        <w:t>I.</w:t>
      </w:r>
      <w:r w:rsidRPr="00E864C3">
        <w:tab/>
        <w:t>Chapter One:  Public Records Defined</w:t>
      </w:r>
      <w:bookmarkEnd w:id="4"/>
    </w:p>
    <w:p w14:paraId="71FAD7AA" w14:textId="6BF3FA57" w:rsidR="00681BA7" w:rsidRDefault="00681BA7">
      <w:pPr>
        <w:spacing w:line="220" w:lineRule="exact"/>
        <w:jc w:val="both"/>
        <w:rPr>
          <w:rFonts w:cs="Calibri"/>
        </w:rPr>
      </w:pPr>
      <w:r>
        <w:rPr>
          <w:rFonts w:cs="Calibri"/>
        </w:rPr>
        <w:t xml:space="preserve">The Public Records Act applies </w:t>
      </w:r>
      <w:r w:rsidRPr="008E2969">
        <w:rPr>
          <w:rFonts w:cs="Calibri"/>
          <w:i/>
        </w:rPr>
        <w:t>only</w:t>
      </w:r>
      <w:r>
        <w:rPr>
          <w:rFonts w:cs="Calibri"/>
        </w:rPr>
        <w:t xml:space="preserve"> to “public records,” which the Act defines as “records kept by a</w:t>
      </w:r>
      <w:r w:rsidR="001D14CA">
        <w:rPr>
          <w:rFonts w:cs="Calibri"/>
        </w:rPr>
        <w:t>ny</w:t>
      </w:r>
      <w:r>
        <w:rPr>
          <w:rFonts w:cs="Calibri"/>
        </w:rPr>
        <w:t xml:space="preserve"> public office.”</w:t>
      </w:r>
      <w:r>
        <w:rPr>
          <w:rStyle w:val="EndnoteReference"/>
        </w:rPr>
        <w:endnoteReference w:id="2"/>
      </w:r>
      <w:r>
        <w:rPr>
          <w:rFonts w:cs="Calibri"/>
        </w:rPr>
        <w:t xml:space="preserve">  When making or responding to a public records request, it is important to first establish whether the items sought are really “records,” and if so, whether they are currently being “kept by” an organization that meets the definition of a “public office.”  This </w:t>
      </w:r>
      <w:r w:rsidR="0049072B">
        <w:rPr>
          <w:rFonts w:cs="Calibri"/>
        </w:rPr>
        <w:t>C</w:t>
      </w:r>
      <w:r>
        <w:rPr>
          <w:rFonts w:cs="Calibri"/>
        </w:rPr>
        <w:t>hapter will review the definitions of each of these key terms and how Ohio courts have applied them.</w:t>
      </w:r>
    </w:p>
    <w:p w14:paraId="60CECD3E" w14:textId="0B034B63" w:rsidR="00681BA7" w:rsidRPr="00322085" w:rsidRDefault="009966FC" w:rsidP="00322085">
      <w:pPr>
        <w:pStyle w:val="Heading2"/>
      </w:pPr>
      <w:bookmarkStart w:id="6" w:name="_Toc159851429"/>
      <w:r w:rsidRPr="00322085">
        <w:t>A</w:t>
      </w:r>
      <w:r w:rsidR="00681BA7" w:rsidRPr="00322085">
        <w:t>.</w:t>
      </w:r>
      <w:r w:rsidR="00681BA7" w:rsidRPr="00322085">
        <w:tab/>
        <w:t xml:space="preserve">What </w:t>
      </w:r>
      <w:r w:rsidR="00760E6F" w:rsidRPr="00322085">
        <w:t>A</w:t>
      </w:r>
      <w:r w:rsidR="00681BA7" w:rsidRPr="00322085">
        <w:t>re “</w:t>
      </w:r>
      <w:r w:rsidR="00760E6F" w:rsidRPr="00322085">
        <w:t>R</w:t>
      </w:r>
      <w:r w:rsidR="00681BA7" w:rsidRPr="00322085">
        <w:t>ecords”?</w:t>
      </w:r>
      <w:bookmarkEnd w:id="6"/>
    </w:p>
    <w:p w14:paraId="78A4B20A" w14:textId="132E3983" w:rsidR="00681BA7" w:rsidRPr="00322085" w:rsidRDefault="00681BA7" w:rsidP="00322085">
      <w:pPr>
        <w:pStyle w:val="Heading3"/>
      </w:pPr>
      <w:bookmarkStart w:id="7" w:name="_Toc159851430"/>
      <w:r w:rsidRPr="00322085">
        <w:t>1.</w:t>
      </w:r>
      <w:r w:rsidRPr="00322085">
        <w:tab/>
        <w:t>Statutory definition – R.C. 149.011(G)</w:t>
      </w:r>
      <w:bookmarkEnd w:id="7"/>
    </w:p>
    <w:p w14:paraId="614F26C3" w14:textId="77777777" w:rsidR="00681BA7" w:rsidRDefault="00681BA7">
      <w:pPr>
        <w:spacing w:line="220" w:lineRule="exact"/>
        <w:ind w:left="360"/>
        <w:jc w:val="both"/>
      </w:pPr>
      <w:r>
        <w:t>The term “records” includes “any document, device, or item, regardless of physical form or characteristic, including an electronic record as defined in [R.C. 1306.01], created or received by or coming under the jurisdiction of any public office of the state or its political subdivisions, which serves to document the organization, functions, policies, decisions, procedures, operations, or other activities of the office.”</w:t>
      </w:r>
    </w:p>
    <w:p w14:paraId="33F9F90D" w14:textId="77777777" w:rsidR="00322085" w:rsidRDefault="00322085">
      <w:pPr>
        <w:spacing w:line="220" w:lineRule="exact"/>
        <w:ind w:left="360"/>
        <w:jc w:val="both"/>
      </w:pPr>
    </w:p>
    <w:p w14:paraId="348EEDDE" w14:textId="57E72068" w:rsidR="00681BA7" w:rsidRDefault="00681BA7" w:rsidP="00322085">
      <w:pPr>
        <w:pStyle w:val="Heading3"/>
      </w:pPr>
      <w:bookmarkStart w:id="8" w:name="_Toc159851431"/>
      <w:r>
        <w:t>2.</w:t>
      </w:r>
      <w:r>
        <w:tab/>
        <w:t>Records and non-records</w:t>
      </w:r>
      <w:bookmarkEnd w:id="8"/>
    </w:p>
    <w:p w14:paraId="3B336547" w14:textId="7A9ABE5D" w:rsidR="009D2836" w:rsidRDefault="00681BA7" w:rsidP="009D2836">
      <w:pPr>
        <w:spacing w:line="220" w:lineRule="exact"/>
        <w:ind w:left="360"/>
        <w:jc w:val="both"/>
      </w:pPr>
      <w:r>
        <w:t xml:space="preserve">If a document or other item does not meet all three parts of the definition of a “record,” then it is a non-record and is </w:t>
      </w:r>
      <w:r w:rsidRPr="008E2969">
        <w:rPr>
          <w:i/>
        </w:rPr>
        <w:t xml:space="preserve">not </w:t>
      </w:r>
      <w:r>
        <w:t>subject to the Public Records Act or Ohio’s records retention requirements.  The next paragraphs explain how items in a public office might meet or fail to meet the three parts of the definition of a record in R.C. 149.011(G).</w:t>
      </w:r>
      <w:r>
        <w:rPr>
          <w:rStyle w:val="EndnoteReference"/>
        </w:rPr>
        <w:endnoteReference w:id="3"/>
      </w:r>
    </w:p>
    <w:p w14:paraId="35B3CE3F" w14:textId="77777777" w:rsidR="009D2836" w:rsidRPr="009D2836" w:rsidRDefault="009D2836" w:rsidP="009D2836">
      <w:pPr>
        <w:spacing w:line="220" w:lineRule="exact"/>
        <w:ind w:left="360"/>
        <w:jc w:val="both"/>
      </w:pPr>
    </w:p>
    <w:p w14:paraId="6E1E383F" w14:textId="3FA86B91" w:rsidR="00681BA7" w:rsidRDefault="00681BA7" w:rsidP="009D2836">
      <w:pPr>
        <w:ind w:left="360"/>
        <w:jc w:val="both"/>
        <w:rPr>
          <w:b/>
        </w:rPr>
      </w:pPr>
      <w:r>
        <w:rPr>
          <w:b/>
        </w:rPr>
        <w:t xml:space="preserve">Part 1: “[A]ny document, device, or item, regardless of physical form or characteristic, including an electronic record as defined in section 1306.01 of the Revised Code </w:t>
      </w:r>
      <w:r w:rsidR="00DA4FDD">
        <w:rPr>
          <w:b/>
        </w:rPr>
        <w:t>. . .</w:t>
      </w:r>
      <w:r>
        <w:rPr>
          <w:b/>
        </w:rPr>
        <w:t>”</w:t>
      </w:r>
    </w:p>
    <w:p w14:paraId="1860B2B0" w14:textId="1D9ACB68" w:rsidR="00681BA7" w:rsidRDefault="00681BA7">
      <w:pPr>
        <w:spacing w:line="220" w:lineRule="exact"/>
        <w:ind w:left="360"/>
        <w:jc w:val="both"/>
      </w:pPr>
      <w:r>
        <w:t>This first element of the definition of a record focuses on the existence of a recording medium; in other words, something that contains information in fixed form.  The physical form of an item does not matter so long as it can record information.  A paper or electronic document, email,</w:t>
      </w:r>
      <w:r>
        <w:rPr>
          <w:rStyle w:val="EndnoteReference"/>
        </w:rPr>
        <w:t xml:space="preserve"> </w:t>
      </w:r>
      <w:r>
        <w:rPr>
          <w:rStyle w:val="EndnoteReference"/>
        </w:rPr>
        <w:endnoteReference w:id="4"/>
      </w:r>
      <w:r>
        <w:t xml:space="preserve"> video,</w:t>
      </w:r>
      <w:r>
        <w:rPr>
          <w:rStyle w:val="EndnoteReference"/>
        </w:rPr>
        <w:endnoteReference w:id="5"/>
      </w:r>
      <w:r>
        <w:t xml:space="preserve"> map, blueprint, photograph, voicemail message,</w:t>
      </w:r>
      <w:r w:rsidR="00CC6869">
        <w:t xml:space="preserve"> text message,</w:t>
      </w:r>
      <w:r w:rsidR="00CC6869">
        <w:rPr>
          <w:rStyle w:val="EndnoteReference"/>
        </w:rPr>
        <w:endnoteReference w:id="6"/>
      </w:r>
      <w:r>
        <w:t xml:space="preserve"> or any other reproducible storage medium could be a record.  This element is broad</w:t>
      </w:r>
      <w:r w:rsidR="00C433AF">
        <w:t xml:space="preserve"> and w</w:t>
      </w:r>
      <w:r>
        <w:t>ith the exemption of one’s thoughts and unrecorded conversation</w:t>
      </w:r>
      <w:r w:rsidR="00DA4FDD">
        <w:t>s</w:t>
      </w:r>
      <w:r>
        <w:t>, most public office information is stored on a fixed medium of some sort.  A request for unrecorded or not-currently-recorded information (a request for advice, interpretation, referral, or research)</w:t>
      </w:r>
      <w:r>
        <w:rPr>
          <w:rStyle w:val="EndnoteReference"/>
        </w:rPr>
        <w:endnoteReference w:id="7"/>
      </w:r>
      <w:r>
        <w:t xml:space="preserve"> made to a public office, rather than a request for a specific, existing document, device, or item containing such information, would fail this part of the definition of a “record.”</w:t>
      </w:r>
      <w:r>
        <w:rPr>
          <w:rStyle w:val="EndnoteReference"/>
        </w:rPr>
        <w:endnoteReference w:id="8"/>
      </w:r>
      <w:r>
        <w:t xml:space="preserve">  A public office has discretion to determine the form in which it will keep its records.</w:t>
      </w:r>
      <w:r>
        <w:rPr>
          <w:rStyle w:val="EndnoteReference"/>
        </w:rPr>
        <w:endnoteReference w:id="9"/>
      </w:r>
      <w:r>
        <w:t xml:space="preserve">  </w:t>
      </w:r>
    </w:p>
    <w:p w14:paraId="50B3CFB2" w14:textId="77777777" w:rsidR="00681BA7" w:rsidRDefault="00681BA7">
      <w:pPr>
        <w:spacing w:line="220" w:lineRule="exact"/>
        <w:ind w:left="360"/>
        <w:jc w:val="both"/>
      </w:pPr>
    </w:p>
    <w:p w14:paraId="1D33BDA0" w14:textId="51743641" w:rsidR="00681BA7" w:rsidRDefault="00681BA7">
      <w:pPr>
        <w:ind w:left="360"/>
        <w:jc w:val="both"/>
        <w:rPr>
          <w:b/>
        </w:rPr>
      </w:pPr>
      <w:r>
        <w:rPr>
          <w:b/>
        </w:rPr>
        <w:t>Part 2: “</w:t>
      </w:r>
      <w:r w:rsidR="00DA4FDD">
        <w:rPr>
          <w:b/>
        </w:rPr>
        <w:t xml:space="preserve">. . . </w:t>
      </w:r>
      <w:r>
        <w:rPr>
          <w:b/>
        </w:rPr>
        <w:t xml:space="preserve">created or received by or coming under the jurisdiction of any public office </w:t>
      </w:r>
      <w:r w:rsidR="00DA4FDD">
        <w:rPr>
          <w:b/>
        </w:rPr>
        <w:t>. . .</w:t>
      </w:r>
      <w:r>
        <w:rPr>
          <w:b/>
        </w:rPr>
        <w:t>”</w:t>
      </w:r>
    </w:p>
    <w:p w14:paraId="64FE746C" w14:textId="77777777" w:rsidR="00681BA7" w:rsidRDefault="00681BA7">
      <w:pPr>
        <w:spacing w:line="220" w:lineRule="exact"/>
        <w:ind w:left="360"/>
        <w:jc w:val="both"/>
      </w:pPr>
      <w:r>
        <w:t>It is usually clear when items are created or received by a public office.  However, even if an item is not in the public office’s physical possession, it may still be considered a “record” of that office.</w:t>
      </w:r>
      <w:r>
        <w:rPr>
          <w:rStyle w:val="EndnoteReference"/>
        </w:rPr>
        <w:endnoteReference w:id="10"/>
      </w:r>
      <w:r>
        <w:t xml:space="preserve">  If records are held or created by another entity that is performing a public function for a public office, those records may be “under the </w:t>
      </w:r>
      <w:r w:rsidR="00CC6869">
        <w:t>jurisdiction of any public office</w:t>
      </w:r>
      <w:r>
        <w:t>.”</w:t>
      </w:r>
      <w:r>
        <w:rPr>
          <w:rStyle w:val="EndnoteReference"/>
        </w:rPr>
        <w:endnoteReference w:id="11"/>
      </w:r>
    </w:p>
    <w:p w14:paraId="10C53026" w14:textId="77777777" w:rsidR="00681BA7" w:rsidRDefault="00681BA7">
      <w:pPr>
        <w:spacing w:line="220" w:lineRule="exact"/>
        <w:ind w:left="360"/>
        <w:jc w:val="both"/>
      </w:pPr>
    </w:p>
    <w:p w14:paraId="77D4DE45" w14:textId="1ED52D76" w:rsidR="00681BA7" w:rsidRDefault="00681BA7">
      <w:pPr>
        <w:ind w:left="360"/>
        <w:jc w:val="both"/>
        <w:rPr>
          <w:b/>
        </w:rPr>
      </w:pPr>
      <w:r>
        <w:rPr>
          <w:b/>
        </w:rPr>
        <w:t>Part 3: “</w:t>
      </w:r>
      <w:r w:rsidR="00DA4FDD">
        <w:rPr>
          <w:b/>
        </w:rPr>
        <w:t xml:space="preserve">. . . </w:t>
      </w:r>
      <w:r>
        <w:rPr>
          <w:b/>
        </w:rPr>
        <w:t>which serves to document the organization, functions, policies, decisions, procedures, operations, or other activities of the office.”</w:t>
      </w:r>
    </w:p>
    <w:p w14:paraId="3C5FED4F" w14:textId="733DC6BB" w:rsidR="00681BA7" w:rsidRDefault="00681BA7">
      <w:pPr>
        <w:spacing w:line="220" w:lineRule="exact"/>
        <w:ind w:left="360"/>
        <w:jc w:val="both"/>
      </w:pPr>
      <w:r>
        <w:t>In addition to obvious non-records such as junk mail and electronic “spam,” some items found in the possession of a public office do not meet the definition of a record because they do not “document the activities of a public office.”</w:t>
      </w:r>
      <w:r>
        <w:rPr>
          <w:rStyle w:val="EndnoteReference"/>
        </w:rPr>
        <w:endnoteReference w:id="12"/>
      </w:r>
      <w:r>
        <w:t xml:space="preserve">  It is the message or content, not the medium on which it exists, that makes a document a record of a public office.</w:t>
      </w:r>
      <w:r>
        <w:rPr>
          <w:rStyle w:val="EndnoteReference"/>
        </w:rPr>
        <w:endnoteReference w:id="13"/>
      </w:r>
      <w:r>
        <w:t xml:space="preserve">  The Supreme Court </w:t>
      </w:r>
      <w:r w:rsidR="0040318D">
        <w:t xml:space="preserve">of Ohio </w:t>
      </w:r>
      <w:r>
        <w:t>has noted that “disclosure [of non-records] would not help to monitor the conduct of state government.”</w:t>
      </w:r>
      <w:r>
        <w:rPr>
          <w:rStyle w:val="EndnoteReference"/>
        </w:rPr>
        <w:endnoteReference w:id="14"/>
      </w:r>
      <w:r>
        <w:t xml:space="preserve">  Some items that have been found not to document the activities, etc., of public offices include public employee home addresses kept by the employer solely for administrative (i.e., management) convenience,</w:t>
      </w:r>
      <w:r>
        <w:rPr>
          <w:rStyle w:val="EndnoteReference"/>
        </w:rPr>
        <w:endnoteReference w:id="15"/>
      </w:r>
      <w:r>
        <w:t xml:space="preserve"> retired municipal government employee home addresses kept by the municipal </w:t>
      </w:r>
      <w:r>
        <w:lastRenderedPageBreak/>
        <w:t>retirement system,</w:t>
      </w:r>
      <w:r>
        <w:rPr>
          <w:rStyle w:val="EndnoteReference"/>
        </w:rPr>
        <w:endnoteReference w:id="16"/>
      </w:r>
      <w:r>
        <w:t xml:space="preserve"> mailing lists</w:t>
      </w:r>
      <w:r w:rsidR="00463508">
        <w:t>,</w:t>
      </w:r>
      <w:r w:rsidR="005B2331">
        <w:rPr>
          <w:rStyle w:val="EndnoteReference"/>
        </w:rPr>
        <w:endnoteReference w:id="17"/>
      </w:r>
      <w:r>
        <w:t xml:space="preserve"> personal calendars and appointment books,</w:t>
      </w:r>
      <w:r>
        <w:rPr>
          <w:rStyle w:val="EndnoteReference"/>
        </w:rPr>
        <w:endnoteReference w:id="18"/>
      </w:r>
      <w:r>
        <w:t xml:space="preserve"> juror contact information and other juror questionnaire responses,</w:t>
      </w:r>
      <w:r>
        <w:rPr>
          <w:rStyle w:val="EndnoteReference"/>
        </w:rPr>
        <w:endnoteReference w:id="19"/>
      </w:r>
      <w:r>
        <w:t xml:space="preserve"> personal information about children who use public recreational facilities,</w:t>
      </w:r>
      <w:r>
        <w:rPr>
          <w:rStyle w:val="EndnoteReference"/>
        </w:rPr>
        <w:endnoteReference w:id="20"/>
      </w:r>
      <w:r>
        <w:t xml:space="preserve"> personal identifying information in housing authority lead-poisoning documents,</w:t>
      </w:r>
      <w:r>
        <w:rPr>
          <w:rStyle w:val="EndnoteReference"/>
        </w:rPr>
        <w:endnoteReference w:id="21"/>
      </w:r>
      <w:r>
        <w:t xml:space="preserve"> and non-record items and information contained in employee personnel files.</w:t>
      </w:r>
      <w:r>
        <w:rPr>
          <w:rStyle w:val="EndnoteReference"/>
        </w:rPr>
        <w:endnoteReference w:id="22"/>
      </w:r>
      <w:r>
        <w:t xml:space="preserve">  </w:t>
      </w:r>
      <w:r w:rsidR="00F6617F">
        <w:t xml:space="preserve">On the other hand, the </w:t>
      </w:r>
      <w:r>
        <w:t>names and contact information of some licensees,</w:t>
      </w:r>
      <w:r>
        <w:rPr>
          <w:rStyle w:val="EndnoteReference"/>
        </w:rPr>
        <w:endnoteReference w:id="23"/>
      </w:r>
      <w:r>
        <w:t xml:space="preserve"> contractors,</w:t>
      </w:r>
      <w:r>
        <w:rPr>
          <w:rStyle w:val="EndnoteReference"/>
        </w:rPr>
        <w:endnoteReference w:id="24"/>
      </w:r>
      <w:r>
        <w:t xml:space="preserve"> lessees,</w:t>
      </w:r>
      <w:r>
        <w:rPr>
          <w:rStyle w:val="EndnoteReference"/>
        </w:rPr>
        <w:endnoteReference w:id="25"/>
      </w:r>
      <w:r>
        <w:t xml:space="preserve"> customers,</w:t>
      </w:r>
      <w:r>
        <w:rPr>
          <w:rStyle w:val="EndnoteReference"/>
        </w:rPr>
        <w:endnoteReference w:id="26"/>
      </w:r>
      <w:r>
        <w:t xml:space="preserve"> and other non-employees of a public office</w:t>
      </w:r>
      <w:r>
        <w:rPr>
          <w:rStyle w:val="EndnoteReference"/>
        </w:rPr>
        <w:endnoteReference w:id="27"/>
      </w:r>
      <w:r>
        <w:t xml:space="preserve"> have been found to be “records” when they actually document the formal activities of a particular office.  Proprietary software needed to access stored records on magnetic tapes</w:t>
      </w:r>
      <w:r w:rsidR="00DA4FDD">
        <w:t>,</w:t>
      </w:r>
      <w:r>
        <w:t xml:space="preserve"> or other similar format, is a means to provide access, </w:t>
      </w:r>
      <w:r w:rsidR="00D65B63">
        <w:t xml:space="preserve">but is </w:t>
      </w:r>
      <w:r>
        <w:t xml:space="preserve">not </w:t>
      </w:r>
      <w:r w:rsidR="00D65B63">
        <w:t xml:space="preserve">itself, </w:t>
      </w:r>
      <w:r>
        <w:t>a record because it does not itself document the activities, etc., of a public office.</w:t>
      </w:r>
      <w:r>
        <w:rPr>
          <w:rStyle w:val="EndnoteReference"/>
        </w:rPr>
        <w:endnoteReference w:id="28"/>
      </w:r>
      <w:r>
        <w:t xml:space="preserve">  Personal correspondence or personal email addresses that do not document any activity of the office are non-records.</w:t>
      </w:r>
      <w:r>
        <w:rPr>
          <w:rStyle w:val="EndnoteReference"/>
        </w:rPr>
        <w:endnoteReference w:id="29"/>
      </w:r>
      <w:r>
        <w:t xml:space="preserve">  Finally, the Attorney General has opined that a piece of physical evidence in the hands of a prosecuting attorney (e.g., a cigarette butt) is not a record of that office.</w:t>
      </w:r>
      <w:r>
        <w:rPr>
          <w:rStyle w:val="EndnoteReference"/>
        </w:rPr>
        <w:endnoteReference w:id="30"/>
      </w:r>
    </w:p>
    <w:p w14:paraId="52F8F99C" w14:textId="77777777" w:rsidR="00322085" w:rsidRDefault="00322085">
      <w:pPr>
        <w:spacing w:line="220" w:lineRule="exact"/>
        <w:ind w:left="360"/>
        <w:jc w:val="both"/>
      </w:pPr>
    </w:p>
    <w:p w14:paraId="471FCD6F" w14:textId="2B3D9344" w:rsidR="00681BA7" w:rsidRDefault="00681BA7" w:rsidP="00322085">
      <w:pPr>
        <w:pStyle w:val="Heading3"/>
      </w:pPr>
      <w:bookmarkStart w:id="9" w:name="_Toc159851432"/>
      <w:r>
        <w:t>3.</w:t>
      </w:r>
      <w:r>
        <w:tab/>
        <w:t>The effect of “actual use”</w:t>
      </w:r>
      <w:bookmarkEnd w:id="9"/>
    </w:p>
    <w:p w14:paraId="72C6AAFC" w14:textId="4A9A817A" w:rsidR="00FA4632" w:rsidRDefault="00681BA7" w:rsidP="00FA4632">
      <w:pPr>
        <w:spacing w:line="220" w:lineRule="exact"/>
        <w:ind w:left="360"/>
        <w:jc w:val="both"/>
      </w:pPr>
      <w:r>
        <w:t xml:space="preserve">An item received by a public office is not a record simply because the public office </w:t>
      </w:r>
      <w:r>
        <w:rPr>
          <w:i/>
        </w:rPr>
        <w:t>could</w:t>
      </w:r>
      <w:r>
        <w:t xml:space="preserve"> use the item to carry out its duties and responsibilities.</w:t>
      </w:r>
      <w:r>
        <w:rPr>
          <w:rStyle w:val="EndnoteReference"/>
        </w:rPr>
        <w:endnoteReference w:id="31"/>
      </w:r>
      <w:r>
        <w:t xml:space="preserve">  However, if the public office </w:t>
      </w:r>
      <w:r>
        <w:rPr>
          <w:i/>
        </w:rPr>
        <w:t>actually</w:t>
      </w:r>
      <w:r>
        <w:t xml:space="preserve"> uses the item, it may thereby document the office’s activities and become a record.</w:t>
      </w:r>
      <w:r>
        <w:rPr>
          <w:rStyle w:val="EndnoteReference"/>
        </w:rPr>
        <w:endnoteReference w:id="32"/>
      </w:r>
      <w:r>
        <w:t xml:space="preserve">  For example, where a school board invited job applicants to send applications to a post office box, any applications received in that post office box did not become records of the office until the board retrieved and reviewed, or otherwise used and relied on them.</w:t>
      </w:r>
      <w:r>
        <w:rPr>
          <w:rStyle w:val="EndnoteReference"/>
        </w:rPr>
        <w:endnoteReference w:id="33"/>
      </w:r>
      <w:r>
        <w:t xml:space="preserve">  Personal, otherwise non-record correspondence that is actually used to document a decision to discipline a public employee qualifies as a “record.”</w:t>
      </w:r>
      <w:r>
        <w:rPr>
          <w:rStyle w:val="EndnoteReference"/>
        </w:rPr>
        <w:endnoteReference w:id="34"/>
      </w:r>
    </w:p>
    <w:p w14:paraId="7A7E7C98" w14:textId="77777777" w:rsidR="00FA4632" w:rsidRDefault="00FA4632" w:rsidP="00FA4632">
      <w:pPr>
        <w:spacing w:line="220" w:lineRule="exact"/>
        <w:ind w:left="360"/>
        <w:jc w:val="both"/>
      </w:pPr>
    </w:p>
    <w:p w14:paraId="5192AA04" w14:textId="77777777" w:rsidR="00322085" w:rsidRPr="00322085" w:rsidRDefault="00681BA7" w:rsidP="00322085">
      <w:pPr>
        <w:pStyle w:val="Heading3"/>
      </w:pPr>
      <w:bookmarkStart w:id="10" w:name="_Toc159851433"/>
      <w:r w:rsidRPr="00322085">
        <w:t>4.</w:t>
      </w:r>
      <w:r w:rsidRPr="00322085">
        <w:tab/>
        <w:t>“Is this item a record?” – Some common applications</w:t>
      </w:r>
      <w:bookmarkEnd w:id="10"/>
    </w:p>
    <w:p w14:paraId="4F7E45D7" w14:textId="7B38EE7E" w:rsidR="00681BA7" w:rsidRPr="00BD2AE1" w:rsidRDefault="00681BA7" w:rsidP="00BD2AE1">
      <w:pPr>
        <w:pStyle w:val="Heading4"/>
      </w:pPr>
      <w:bookmarkStart w:id="11" w:name="_Toc159851434"/>
      <w:r w:rsidRPr="00BD2AE1">
        <w:t>a.</w:t>
      </w:r>
      <w:r w:rsidR="00BD2AE1" w:rsidRPr="00BD2AE1">
        <w:tab/>
      </w:r>
      <w:r w:rsidR="00BD2AE1" w:rsidRPr="00BD2AE1">
        <w:tab/>
      </w:r>
      <w:r w:rsidRPr="00BD2AE1">
        <w:t>Email</w:t>
      </w:r>
      <w:bookmarkEnd w:id="11"/>
    </w:p>
    <w:p w14:paraId="3A4A1D8D" w14:textId="54707C17" w:rsidR="00681BA7" w:rsidRDefault="00681BA7">
      <w:pPr>
        <w:spacing w:line="220" w:lineRule="exact"/>
        <w:ind w:left="360"/>
        <w:jc w:val="both"/>
      </w:pPr>
      <w:r>
        <w:t>A public office must analyze an email message like any other item</w:t>
      </w:r>
      <w:r w:rsidR="00F6617F">
        <w:t xml:space="preserve">—by its </w:t>
      </w:r>
      <w:r w:rsidR="00F6617F">
        <w:rPr>
          <w:i/>
        </w:rPr>
        <w:t>content</w:t>
      </w:r>
      <w:r w:rsidR="00CB29E4">
        <w:rPr>
          <w:i/>
        </w:rPr>
        <w:t xml:space="preserve"> </w:t>
      </w:r>
      <w:r w:rsidR="00CB29E4" w:rsidRPr="00CB29E4">
        <w:rPr>
          <w:iCs/>
        </w:rPr>
        <w:t>or</w:t>
      </w:r>
      <w:r w:rsidR="00CB29E4">
        <w:rPr>
          <w:i/>
        </w:rPr>
        <w:t xml:space="preserve"> information</w:t>
      </w:r>
      <w:r w:rsidR="00F6617F">
        <w:t xml:space="preserve">—to </w:t>
      </w:r>
      <w:r>
        <w:t>determine if it meets the definition of a record.  As electronic documents, all emails are items containing information stored on a fixed medium (the first part of the definition).  If an email is received by, created by, or comes under the jurisdiction of a public office (the second part of the definition), then its status as a record depends on the content of the message.  If an email created by, received by, or coming under the jurisdiction of a public office also serves to document the activities</w:t>
      </w:r>
      <w:r w:rsidR="00F6617F">
        <w:t xml:space="preserve"> </w:t>
      </w:r>
      <w:r>
        <w:t>of the public office, then it meets all three parts of the definition of a record.</w:t>
      </w:r>
      <w:r>
        <w:rPr>
          <w:rStyle w:val="EndnoteReference"/>
        </w:rPr>
        <w:endnoteReference w:id="35"/>
      </w:r>
      <w:r>
        <w:t xml:space="preserve">  If an email does not serve to document the activities of the office, then it does not meet the definition of a record.</w:t>
      </w:r>
      <w:r>
        <w:rPr>
          <w:rStyle w:val="EndnoteReference"/>
        </w:rPr>
        <w:endnoteReference w:id="36"/>
      </w:r>
    </w:p>
    <w:p w14:paraId="485C78E6" w14:textId="77777777" w:rsidR="00681BA7" w:rsidRDefault="00681BA7">
      <w:pPr>
        <w:spacing w:line="220" w:lineRule="exact"/>
        <w:ind w:left="360"/>
        <w:jc w:val="both"/>
      </w:pPr>
    </w:p>
    <w:p w14:paraId="1E96DEC2" w14:textId="20F09541" w:rsidR="00681BA7" w:rsidRDefault="00681BA7">
      <w:pPr>
        <w:spacing w:line="220" w:lineRule="exact"/>
        <w:ind w:left="360"/>
        <w:jc w:val="both"/>
      </w:pPr>
      <w:r>
        <w:t>Although the Supreme Court</w:t>
      </w:r>
      <w:r w:rsidR="0040318D">
        <w:t xml:space="preserve"> of Ohio</w:t>
      </w:r>
      <w:r>
        <w:t xml:space="preserve"> has not ruled directly on whether communications of public employees to or from private email accounts</w:t>
      </w:r>
      <w:r w:rsidR="00DA4FDD">
        <w:t>,</w:t>
      </w:r>
      <w:r>
        <w:t xml:space="preserve"> that otherwise meet the definition of a record</w:t>
      </w:r>
      <w:r w:rsidR="00DA4FDD">
        <w:t>,</w:t>
      </w:r>
      <w:r>
        <w:t xml:space="preserve"> are subject to the Public Records Act,</w:t>
      </w:r>
      <w:r>
        <w:rPr>
          <w:rStyle w:val="EndnoteReference"/>
        </w:rPr>
        <w:endnoteReference w:id="37"/>
      </w:r>
      <w:r>
        <w:t xml:space="preserve"> </w:t>
      </w:r>
      <w:r w:rsidR="00D65B63">
        <w:t>the Ohio Court of Claims has held that they are.</w:t>
      </w:r>
      <w:r w:rsidR="00D65B63">
        <w:rPr>
          <w:rStyle w:val="EndnoteReference"/>
        </w:rPr>
        <w:endnoteReference w:id="38"/>
      </w:r>
      <w:r w:rsidR="00D65B63">
        <w:t xml:space="preserve"> T</w:t>
      </w:r>
      <w:r>
        <w:t>he issue is analogous to mailing a record from one’s home, versus mailing it from the office</w:t>
      </w:r>
      <w:r w:rsidR="00DA4FDD">
        <w:t xml:space="preserve"> -- </w:t>
      </w:r>
      <w:r>
        <w:t>the location from which the item is sent does not change its status as a record.  Records transmitted via email, like all other records, must be maintained in accordance with the office’s relevant records retention schedules, based on content.</w:t>
      </w:r>
      <w:r>
        <w:rPr>
          <w:rStyle w:val="EndnoteReference"/>
        </w:rPr>
        <w:endnoteReference w:id="39"/>
      </w:r>
    </w:p>
    <w:p w14:paraId="6165EB5A" w14:textId="77777777" w:rsidR="00322085" w:rsidRDefault="00322085">
      <w:pPr>
        <w:spacing w:line="220" w:lineRule="exact"/>
        <w:ind w:left="360"/>
        <w:jc w:val="both"/>
      </w:pPr>
    </w:p>
    <w:p w14:paraId="4E26D803" w14:textId="38940EB5" w:rsidR="00CB29E4" w:rsidRDefault="00681BA7" w:rsidP="00BD2AE1">
      <w:pPr>
        <w:pStyle w:val="Heading4"/>
      </w:pPr>
      <w:bookmarkStart w:id="12" w:name="_Toc159851435"/>
      <w:r>
        <w:t>b.</w:t>
      </w:r>
      <w:r w:rsidR="00BD2AE1">
        <w:tab/>
      </w:r>
      <w:r>
        <w:tab/>
      </w:r>
      <w:r w:rsidR="00CB29E4">
        <w:t>Text messages</w:t>
      </w:r>
      <w:bookmarkEnd w:id="12"/>
    </w:p>
    <w:p w14:paraId="258E6C99" w14:textId="66029877" w:rsidR="00CB29E4" w:rsidRDefault="00CB29E4" w:rsidP="00FA4632">
      <w:pPr>
        <w:spacing w:line="220" w:lineRule="exact"/>
        <w:ind w:left="360"/>
        <w:jc w:val="both"/>
      </w:pPr>
      <w:r>
        <w:t>Like email messages, a text message may be a public record if the content or information in the message documents the activities of the public office.</w:t>
      </w:r>
      <w:r w:rsidR="00855F4E">
        <w:rPr>
          <w:rStyle w:val="EndnoteReference"/>
        </w:rPr>
        <w:endnoteReference w:id="40"/>
      </w:r>
      <w:r w:rsidR="00855F4E">
        <w:t xml:space="preserve"> The Ohio Court of Claims held that text messages on public employees’ personal phones were public records because the content of the messages documented the activities of the office.</w:t>
      </w:r>
      <w:r w:rsidR="00855F4E">
        <w:rPr>
          <w:rStyle w:val="EndnoteReference"/>
        </w:rPr>
        <w:endnoteReference w:id="41"/>
      </w:r>
    </w:p>
    <w:p w14:paraId="0BFA87BA" w14:textId="77777777" w:rsidR="00322085" w:rsidRDefault="00322085" w:rsidP="00FA4632">
      <w:pPr>
        <w:spacing w:line="220" w:lineRule="exact"/>
        <w:ind w:left="360"/>
        <w:jc w:val="both"/>
      </w:pPr>
    </w:p>
    <w:p w14:paraId="1CEC6BBB" w14:textId="12F7DA1F" w:rsidR="00681BA7" w:rsidRDefault="00CB29E4" w:rsidP="00BD2AE1">
      <w:pPr>
        <w:pStyle w:val="Heading4"/>
      </w:pPr>
      <w:bookmarkStart w:id="13" w:name="_Toc159851436"/>
      <w:r>
        <w:t>c.</w:t>
      </w:r>
      <w:r w:rsidR="00BD2AE1">
        <w:tab/>
      </w:r>
      <w:r>
        <w:tab/>
      </w:r>
      <w:r w:rsidR="00681BA7">
        <w:t>Notes</w:t>
      </w:r>
      <w:bookmarkEnd w:id="13"/>
    </w:p>
    <w:p w14:paraId="3E284D2D" w14:textId="00234633" w:rsidR="00681BA7" w:rsidRDefault="00681BA7" w:rsidP="00FA4632">
      <w:pPr>
        <w:spacing w:line="220" w:lineRule="exact"/>
        <w:ind w:left="360"/>
        <w:jc w:val="both"/>
      </w:pPr>
      <w:r>
        <w:t>Not every piece of paper on which a public official or employee writes something meets the definition of a record.</w:t>
      </w:r>
      <w:r>
        <w:rPr>
          <w:rStyle w:val="EndnoteReference"/>
        </w:rPr>
        <w:endnoteReference w:id="42"/>
      </w:r>
      <w:r>
        <w:t xml:space="preserve">  Personal notes generally do not constitute records.</w:t>
      </w:r>
      <w:r>
        <w:rPr>
          <w:rStyle w:val="EndnoteReference"/>
        </w:rPr>
        <w:endnoteReference w:id="43"/>
      </w:r>
      <w:r>
        <w:t xml:space="preserve">  Employee notes have been found </w:t>
      </w:r>
      <w:r>
        <w:lastRenderedPageBreak/>
        <w:t>not to be public records if they are</w:t>
      </w:r>
      <w:r w:rsidR="00FA4632">
        <w:t xml:space="preserve"> </w:t>
      </w:r>
      <w:r>
        <w:t>kept as personal papers, not official records;</w:t>
      </w:r>
      <w:r w:rsidR="00FA4632">
        <w:t xml:space="preserve"> </w:t>
      </w:r>
      <w:r>
        <w:t>kept for the employee’s own convenience (for example, to help recall events</w:t>
      </w:r>
      <w:r w:rsidRPr="00075491">
        <w:t>); and</w:t>
      </w:r>
      <w:r w:rsidR="00FA4632">
        <w:t xml:space="preserve"> </w:t>
      </w:r>
      <w:r>
        <w:t>other employees did not use or have access to the notes.</w:t>
      </w:r>
      <w:r>
        <w:rPr>
          <w:rStyle w:val="EndnoteReference"/>
        </w:rPr>
        <w:endnoteReference w:id="44"/>
      </w:r>
    </w:p>
    <w:p w14:paraId="2B25929D" w14:textId="77777777" w:rsidR="00681BA7" w:rsidRDefault="00681BA7">
      <w:pPr>
        <w:spacing w:line="220" w:lineRule="exact"/>
        <w:jc w:val="both"/>
      </w:pPr>
    </w:p>
    <w:p w14:paraId="5B764DA7" w14:textId="28747490" w:rsidR="00681BA7" w:rsidRDefault="00681BA7">
      <w:pPr>
        <w:spacing w:line="220" w:lineRule="exact"/>
        <w:ind w:left="360"/>
        <w:jc w:val="both"/>
      </w:pPr>
      <w:r>
        <w:t>Such personal notes do not meet the third part of the definition of a record because they do not document the activities, etc., of the public office.  The Supreme Court has held in several cases that, in the context of a public court hearing or administrative proceeding, personal notes that meet the above criteria need not be retained as records because no information will be lost to the public.</w:t>
      </w:r>
      <w:r>
        <w:rPr>
          <w:rStyle w:val="EndnoteReference"/>
        </w:rPr>
        <w:endnoteReference w:id="45"/>
      </w:r>
      <w:r>
        <w:t xml:space="preserve">  However, if any one of these factors does not apply (for instance, if the notes are</w:t>
      </w:r>
      <w:r w:rsidR="00D52F57">
        <w:t xml:space="preserve"> shared or</w:t>
      </w:r>
      <w:r>
        <w:t xml:space="preserve"> used to create official minutes), then the notes are likely to be considered a record.</w:t>
      </w:r>
      <w:r>
        <w:rPr>
          <w:rStyle w:val="EndnoteReference"/>
        </w:rPr>
        <w:endnoteReference w:id="46"/>
      </w:r>
    </w:p>
    <w:p w14:paraId="603D019E" w14:textId="77777777" w:rsidR="00322085" w:rsidRDefault="00322085">
      <w:pPr>
        <w:spacing w:line="220" w:lineRule="exact"/>
        <w:ind w:left="360"/>
        <w:jc w:val="both"/>
      </w:pPr>
    </w:p>
    <w:p w14:paraId="648DD77B" w14:textId="08F2D345" w:rsidR="00681BA7" w:rsidRDefault="00855F4E" w:rsidP="00BD2AE1">
      <w:pPr>
        <w:pStyle w:val="Heading4"/>
      </w:pPr>
      <w:bookmarkStart w:id="14" w:name="_Toc159851437"/>
      <w:r>
        <w:t>d</w:t>
      </w:r>
      <w:r w:rsidR="00681BA7">
        <w:t>.</w:t>
      </w:r>
      <w:r w:rsidR="00681BA7">
        <w:tab/>
      </w:r>
      <w:r w:rsidR="00BD2AE1">
        <w:tab/>
      </w:r>
      <w:r w:rsidR="00681BA7">
        <w:t>Drafts</w:t>
      </w:r>
      <w:bookmarkEnd w:id="14"/>
    </w:p>
    <w:p w14:paraId="30908564" w14:textId="1AD72106" w:rsidR="00681BA7" w:rsidRDefault="00681BA7">
      <w:pPr>
        <w:spacing w:line="220" w:lineRule="exact"/>
        <w:ind w:left="360"/>
        <w:jc w:val="both"/>
      </w:pPr>
      <w:r>
        <w:t>If a draft document kept by a public office meets the three-part definition of a record, it is subject to both the Public Records Act and records retention law.</w:t>
      </w:r>
      <w:r>
        <w:rPr>
          <w:rStyle w:val="EndnoteReference"/>
        </w:rPr>
        <w:endnoteReference w:id="47"/>
      </w:r>
      <w:r>
        <w:t xml:space="preserve">  For example, the Supreme Court</w:t>
      </w:r>
      <w:r w:rsidR="0040318D">
        <w:t xml:space="preserve"> of Ohio</w:t>
      </w:r>
      <w:r w:rsidR="00895DF5">
        <w:t xml:space="preserve"> hel</w:t>
      </w:r>
      <w:r>
        <w:t>d that a written draft of an oral collective bargaining agreement submitted to a city council for its approval documented the city’s version of the oral agreement, and therefore, met the definition of a record.</w:t>
      </w:r>
      <w:r>
        <w:rPr>
          <w:rStyle w:val="EndnoteReference"/>
        </w:rPr>
        <w:endnoteReference w:id="48"/>
      </w:r>
      <w:r>
        <w:t xml:space="preserve">  A public office may address the length of time it must keep drafts through its records retention schedules.</w:t>
      </w:r>
      <w:r>
        <w:rPr>
          <w:rStyle w:val="EndnoteReference"/>
        </w:rPr>
        <w:endnoteReference w:id="49"/>
      </w:r>
    </w:p>
    <w:p w14:paraId="3606136E" w14:textId="77777777" w:rsidR="00322085" w:rsidRDefault="00322085">
      <w:pPr>
        <w:spacing w:line="220" w:lineRule="exact"/>
        <w:ind w:left="360"/>
        <w:jc w:val="both"/>
      </w:pPr>
    </w:p>
    <w:p w14:paraId="335A22E6" w14:textId="15DE4505" w:rsidR="00681BA7" w:rsidRDefault="00855F4E" w:rsidP="00BD2AE1">
      <w:pPr>
        <w:pStyle w:val="Heading4"/>
      </w:pPr>
      <w:bookmarkStart w:id="15" w:name="_Toc159851438"/>
      <w:r>
        <w:t>e</w:t>
      </w:r>
      <w:r w:rsidR="00681BA7">
        <w:t>.</w:t>
      </w:r>
      <w:r w:rsidR="00681BA7">
        <w:tab/>
      </w:r>
      <w:r w:rsidR="00BD2AE1">
        <w:tab/>
      </w:r>
      <w:r w:rsidR="00681BA7">
        <w:t>Electronic database contents</w:t>
      </w:r>
      <w:bookmarkEnd w:id="15"/>
    </w:p>
    <w:p w14:paraId="468B6106" w14:textId="2EB653AD" w:rsidR="00DA4FDD" w:rsidRDefault="00681BA7" w:rsidP="00310038">
      <w:pPr>
        <w:spacing w:line="220" w:lineRule="exact"/>
        <w:ind w:left="360"/>
        <w:jc w:val="both"/>
      </w:pPr>
      <w:r>
        <w:t>A database is an organized collection of related data.  The Public Records Act does not require a public office to search a database for information and compile or summarize it to create new records.</w:t>
      </w:r>
      <w:r>
        <w:rPr>
          <w:rStyle w:val="EndnoteReference"/>
        </w:rPr>
        <w:endnoteReference w:id="50"/>
      </w:r>
      <w:r>
        <w:t xml:space="preserve">  However, if the public office already uses a computer program that can perform the search and produce the compilation or summary described by the requester, the Supreme Court </w:t>
      </w:r>
      <w:r w:rsidR="0040318D">
        <w:t xml:space="preserve">of Ohio </w:t>
      </w:r>
      <w:r>
        <w:t xml:space="preserve">has </w:t>
      </w:r>
      <w:r w:rsidR="00895DF5">
        <w:t>hel</w:t>
      </w:r>
      <w:r>
        <w:t>d that the output already “exists” as a record for the purposes of the Public Records Act.</w:t>
      </w:r>
      <w:r>
        <w:rPr>
          <w:rStyle w:val="EndnoteReference"/>
        </w:rPr>
        <w:endnoteReference w:id="51"/>
      </w:r>
      <w:r>
        <w:t xml:space="preserve">  In contrast, where the public office would have to reprogram its computer system to produce the requested output, the </w:t>
      </w:r>
      <w:r w:rsidR="002E3FC2">
        <w:t xml:space="preserve">Supreme </w:t>
      </w:r>
      <w:r>
        <w:t>Court h</w:t>
      </w:r>
      <w:r w:rsidR="002E3FC2">
        <w:t>eld</w:t>
      </w:r>
      <w:r>
        <w:t xml:space="preserve"> that the public office does not have that output as an existing record of the office.</w:t>
      </w:r>
      <w:r>
        <w:rPr>
          <w:rStyle w:val="EndnoteReference"/>
        </w:rPr>
        <w:endnoteReference w:id="52"/>
      </w:r>
    </w:p>
    <w:p w14:paraId="4E428F8E" w14:textId="15EF559A" w:rsidR="00DA4FDD" w:rsidRDefault="00855F4E" w:rsidP="00BD2AE1">
      <w:pPr>
        <w:pStyle w:val="Heading4"/>
      </w:pPr>
      <w:bookmarkStart w:id="16" w:name="_Toc159851439"/>
      <w:r>
        <w:t>f</w:t>
      </w:r>
      <w:r w:rsidR="00DA4FDD">
        <w:t>.</w:t>
      </w:r>
      <w:r w:rsidR="00BD2AE1">
        <w:tab/>
      </w:r>
      <w:r w:rsidR="00DA4FDD">
        <w:tab/>
        <w:t>Metadata</w:t>
      </w:r>
      <w:bookmarkEnd w:id="16"/>
    </w:p>
    <w:p w14:paraId="72B2F087" w14:textId="6BEB7F91" w:rsidR="00DA4FDD" w:rsidRPr="00DA4FDD" w:rsidRDefault="00DA4FDD" w:rsidP="002A248B">
      <w:pPr>
        <w:spacing w:before="220" w:after="220" w:line="220" w:lineRule="exact"/>
        <w:ind w:left="360"/>
        <w:jc w:val="both"/>
      </w:pPr>
      <w:r>
        <w:t>Metadata is defined as “[s]econdary data that organize, manage, and facilitate the use and understanding of primary data.”</w:t>
      </w:r>
      <w:r>
        <w:rPr>
          <w:rStyle w:val="EndnoteReference"/>
        </w:rPr>
        <w:endnoteReference w:id="53"/>
      </w:r>
      <w:r>
        <w:t xml:space="preserve"> Some examples of metadata include, among other things, author, date, version, and GPS information in an electronic document.</w:t>
      </w:r>
      <w:r>
        <w:rPr>
          <w:rStyle w:val="EndnoteReference"/>
        </w:rPr>
        <w:endnoteReference w:id="54"/>
      </w:r>
      <w:r w:rsidR="001A4694">
        <w:t xml:space="preserve"> Metadata information can be considered a “public record,” subject to the Public Records Act. If it “serves to document the organization, functions, policies, decisions, procedures, operations, or other activities of the office.”</w:t>
      </w:r>
      <w:r w:rsidR="001A4694">
        <w:rPr>
          <w:rStyle w:val="EndnoteReference"/>
        </w:rPr>
        <w:endnoteReference w:id="55"/>
      </w:r>
      <w:r w:rsidR="001A4694">
        <w:t xml:space="preserve"> A public office is not entitled to produce metadata, unless the requester specifically asks for it. </w:t>
      </w:r>
      <w:r w:rsidR="001A4694">
        <w:rPr>
          <w:rStyle w:val="EndnoteReference"/>
        </w:rPr>
        <w:endnoteReference w:id="56"/>
      </w:r>
      <w:r w:rsidR="001A4694">
        <w:t xml:space="preserve"> However, a public office must provide records complete and unaltered, which means that the office cannot deliberately impair records by stripping them of their metadata.</w:t>
      </w:r>
      <w:r w:rsidR="001A4694">
        <w:rPr>
          <w:rStyle w:val="EndnoteReference"/>
        </w:rPr>
        <w:endnoteReference w:id="57"/>
      </w:r>
      <w:r w:rsidR="001A4694">
        <w:t xml:space="preserve"> An otherwise identical record may not be considered the same or a duplication if it contains additional metadata information.</w:t>
      </w:r>
      <w:r w:rsidR="001A4694">
        <w:rPr>
          <w:rStyle w:val="EndnoteReference"/>
        </w:rPr>
        <w:endnoteReference w:id="58"/>
      </w:r>
    </w:p>
    <w:p w14:paraId="080AE626" w14:textId="28B00B72" w:rsidR="00681BA7" w:rsidRPr="009966FC" w:rsidRDefault="009966FC" w:rsidP="00322085">
      <w:pPr>
        <w:pStyle w:val="Heading2"/>
      </w:pPr>
      <w:bookmarkStart w:id="17" w:name="_Toc159851440"/>
      <w:r>
        <w:t>B</w:t>
      </w:r>
      <w:r w:rsidR="00681BA7" w:rsidRPr="004735C3">
        <w:t>.</w:t>
      </w:r>
      <w:r w:rsidR="00681BA7" w:rsidRPr="004735C3">
        <w:tab/>
        <w:t>Wh</w:t>
      </w:r>
      <w:r>
        <w:t xml:space="preserve">en is a Record </w:t>
      </w:r>
      <w:r w:rsidR="00681BA7" w:rsidRPr="004735C3">
        <w:t>“</w:t>
      </w:r>
      <w:r>
        <w:t>Kept By</w:t>
      </w:r>
      <w:r w:rsidR="00681BA7" w:rsidRPr="004735C3">
        <w:t>”</w:t>
      </w:r>
      <w:r>
        <w:t xml:space="preserve"> a Public Office</w:t>
      </w:r>
      <w:r w:rsidR="00681BA7" w:rsidRPr="004735C3">
        <w:t>?</w:t>
      </w:r>
      <w:bookmarkEnd w:id="17"/>
    </w:p>
    <w:p w14:paraId="7937BCD9" w14:textId="5A5ADD4F" w:rsidR="00855F4E" w:rsidRDefault="00681BA7" w:rsidP="009966FC">
      <w:pPr>
        <w:spacing w:line="220" w:lineRule="exact"/>
        <w:ind w:left="360"/>
        <w:jc w:val="both"/>
      </w:pPr>
      <w:r>
        <w:t>A record is only a public record if it is “kept by” a public office.</w:t>
      </w:r>
      <w:r>
        <w:rPr>
          <w:rStyle w:val="EndnoteReference"/>
        </w:rPr>
        <w:endnoteReference w:id="59"/>
      </w:r>
      <w:r>
        <w:t xml:space="preserve">  Records that do not yet exist – for example, future minutes of a meeting that has not yet taken place – are not records, much less public records, until actually in existence and “kept</w:t>
      </w:r>
      <w:r w:rsidR="009E6AD6">
        <w:t xml:space="preserve"> </w:t>
      </w:r>
      <w:r>
        <w:t>by</w:t>
      </w:r>
      <w:r w:rsidR="009E6AD6">
        <w:t>”</w:t>
      </w:r>
      <w:r>
        <w:t xml:space="preserve"> the public office.</w:t>
      </w:r>
      <w:r>
        <w:rPr>
          <w:rStyle w:val="EndnoteReference"/>
        </w:rPr>
        <w:endnoteReference w:id="60"/>
      </w:r>
      <w:r>
        <w:t xml:space="preserve">  A public office has no duty to furnish records that are not in its possession or control.</w:t>
      </w:r>
      <w:r>
        <w:rPr>
          <w:rStyle w:val="EndnoteReference"/>
        </w:rPr>
        <w:endnoteReference w:id="61"/>
      </w:r>
      <w:r>
        <w:t xml:space="preserve">  Similarly, if the office kept a record in the past, but has properly disposed of the record, then it is no longer a record of that office.</w:t>
      </w:r>
      <w:r>
        <w:rPr>
          <w:rStyle w:val="EndnoteReference"/>
        </w:rPr>
        <w:endnoteReference w:id="62"/>
      </w:r>
      <w:r>
        <w:t xml:space="preserve">  For example, where a school board first received and then returned superintendent candidates’ application materials to the applicants, those materials were no longer “public records” responsive to a newspaper’s request.</w:t>
      </w:r>
      <w:r>
        <w:rPr>
          <w:rStyle w:val="EndnoteReference"/>
        </w:rPr>
        <w:endnoteReference w:id="63"/>
      </w:r>
      <w:r>
        <w:t xml:space="preserve">  But “‘so long as a public record is kept by a government agency, it can never lose its status as a public record.’”</w:t>
      </w:r>
      <w:r>
        <w:rPr>
          <w:rStyle w:val="EndnoteReference"/>
        </w:rPr>
        <w:endnoteReference w:id="64"/>
      </w:r>
      <w:r w:rsidR="009E6AD6">
        <w:t xml:space="preserve"> Merely attaching a document to a public record does not </w:t>
      </w:r>
      <w:r w:rsidR="009E6AD6">
        <w:lastRenderedPageBreak/>
        <w:t>automatically incorporate that document into the public record – the document must be affirmatively incorporated by making a notation on it referring to the public record to which it is attached.</w:t>
      </w:r>
      <w:r w:rsidR="009E6AD6">
        <w:rPr>
          <w:rStyle w:val="EndnoteReference"/>
        </w:rPr>
        <w:endnoteReference w:id="65"/>
      </w:r>
    </w:p>
    <w:p w14:paraId="44318CF8" w14:textId="77777777" w:rsidR="009966FC" w:rsidRDefault="009966FC" w:rsidP="009966FC">
      <w:pPr>
        <w:spacing w:line="220" w:lineRule="exact"/>
        <w:ind w:left="360"/>
        <w:jc w:val="both"/>
      </w:pPr>
    </w:p>
    <w:p w14:paraId="78B31A9D" w14:textId="475537CA" w:rsidR="009966FC" w:rsidRDefault="00855F4E" w:rsidP="009966FC">
      <w:pPr>
        <w:spacing w:line="220" w:lineRule="exact"/>
        <w:ind w:left="360"/>
        <w:jc w:val="both"/>
      </w:pPr>
      <w:r>
        <w:t>Emails or text messages stored on personal accounts or devices may be considered “kept by” the public office if the content or information in the messages document the activities of the public office.</w:t>
      </w:r>
      <w:r>
        <w:rPr>
          <w:rStyle w:val="EndnoteReference"/>
        </w:rPr>
        <w:endnoteReference w:id="66"/>
      </w:r>
      <w:r>
        <w:t xml:space="preserve"> </w:t>
      </w:r>
      <w:r w:rsidRPr="00855F4E">
        <w:t xml:space="preserve">The Ohio Court of Claims held that text messages </w:t>
      </w:r>
      <w:r>
        <w:t xml:space="preserve">stored </w:t>
      </w:r>
      <w:r w:rsidRPr="00855F4E">
        <w:t xml:space="preserve">on public employees’ personal phones were </w:t>
      </w:r>
      <w:r w:rsidR="001F7BE0">
        <w:t xml:space="preserve">“kept by” the public office and subject to disclosure </w:t>
      </w:r>
      <w:r w:rsidRPr="00855F4E">
        <w:t>because the content of the messages documented the activities of the office.</w:t>
      </w:r>
      <w:r>
        <w:rPr>
          <w:rStyle w:val="EndnoteReference"/>
        </w:rPr>
        <w:endnoteReference w:id="67"/>
      </w:r>
    </w:p>
    <w:p w14:paraId="234D65A9" w14:textId="7AE892D0" w:rsidR="009966FC" w:rsidRPr="004735C3" w:rsidRDefault="009966FC" w:rsidP="00322085">
      <w:pPr>
        <w:pStyle w:val="Heading2"/>
      </w:pPr>
      <w:bookmarkStart w:id="18" w:name="_Toc159851441"/>
      <w:r>
        <w:t>C</w:t>
      </w:r>
      <w:r w:rsidRPr="004735C3">
        <w:t>.</w:t>
      </w:r>
      <w:r w:rsidRPr="004735C3">
        <w:tab/>
        <w:t>What Is a “</w:t>
      </w:r>
      <w:r>
        <w:t>P</w:t>
      </w:r>
      <w:r w:rsidRPr="004735C3">
        <w:t xml:space="preserve">ublic </w:t>
      </w:r>
      <w:r>
        <w:t>O</w:t>
      </w:r>
      <w:r w:rsidRPr="004735C3">
        <w:t>ffice”?</w:t>
      </w:r>
      <w:bookmarkEnd w:id="18"/>
    </w:p>
    <w:p w14:paraId="6B41CE1F" w14:textId="77777777" w:rsidR="009966FC" w:rsidRDefault="009966FC" w:rsidP="00322085">
      <w:pPr>
        <w:pStyle w:val="Heading3"/>
      </w:pPr>
      <w:bookmarkStart w:id="19" w:name="_Toc159851442"/>
      <w:r>
        <w:t>1.</w:t>
      </w:r>
      <w:r>
        <w:tab/>
        <w:t>Statutory definition – R.C. 149.011(A)</w:t>
      </w:r>
      <w:bookmarkEnd w:id="19"/>
    </w:p>
    <w:p w14:paraId="568D7146" w14:textId="63A39E06" w:rsidR="009966FC" w:rsidRDefault="009966FC" w:rsidP="009966FC">
      <w:pPr>
        <w:spacing w:line="220" w:lineRule="exact"/>
        <w:ind w:left="360"/>
        <w:jc w:val="both"/>
      </w:pPr>
      <w:r>
        <w:t>R.C. 149.011(A) defines a “public office” as “any state agency, public institution, political subdivision, or other organized body, office, agency, institution, or entity established by the laws of this state for the exercise of any function of government.”</w:t>
      </w:r>
      <w:r>
        <w:rPr>
          <w:rStyle w:val="EndnoteReference"/>
        </w:rPr>
        <w:endnoteReference w:id="68"/>
      </w:r>
      <w:r>
        <w:t xml:space="preserve">  If any entity meets this definition, it must make its records available under the Public Records Act.</w:t>
      </w:r>
      <w:r>
        <w:rPr>
          <w:rStyle w:val="EndnoteReference"/>
        </w:rPr>
        <w:endnoteReference w:id="69"/>
      </w:r>
      <w:r>
        <w:t xml:space="preserve">  An organization that meets the statutory definition of a “public body” under the Open Meetings Act (</w:t>
      </w:r>
      <w:r w:rsidRPr="0049072B">
        <w:rPr>
          <w:i/>
          <w:iCs/>
        </w:rPr>
        <w:t>see</w:t>
      </w:r>
      <w:r>
        <w:rPr>
          <w:i/>
        </w:rPr>
        <w:t xml:space="preserve"> </w:t>
      </w:r>
      <w:r>
        <w:t xml:space="preserve">Chapter </w:t>
      </w:r>
      <w:r w:rsidR="0049072B">
        <w:t>Eight</w:t>
      </w:r>
      <w:r>
        <w:t>: A.</w:t>
      </w:r>
      <w:r w:rsidR="0049072B">
        <w:t>,</w:t>
      </w:r>
      <w:r>
        <w:t xml:space="preserve"> “Public Body”) does not automatically meet the definition of a “public office” for purposes of the Public Records Act.</w:t>
      </w:r>
      <w:r>
        <w:rPr>
          <w:rStyle w:val="EndnoteReference"/>
        </w:rPr>
        <w:endnoteReference w:id="70"/>
      </w:r>
    </w:p>
    <w:p w14:paraId="0B3F6792" w14:textId="77777777" w:rsidR="009966FC" w:rsidRDefault="009966FC" w:rsidP="009966FC">
      <w:pPr>
        <w:spacing w:line="220" w:lineRule="exact"/>
        <w:ind w:left="360"/>
        <w:jc w:val="both"/>
      </w:pPr>
    </w:p>
    <w:p w14:paraId="1A74F70D" w14:textId="77777777" w:rsidR="009966FC" w:rsidRDefault="009966FC" w:rsidP="009966FC">
      <w:pPr>
        <w:spacing w:line="220" w:lineRule="exact"/>
        <w:ind w:left="360"/>
        <w:jc w:val="both"/>
      </w:pPr>
      <w:r>
        <w:t>This definition includes all state and local government offices, as well as many agencies not directly operated by a political subdivision, such as police departments operated by private universities.</w:t>
      </w:r>
      <w:r>
        <w:rPr>
          <w:rStyle w:val="EndnoteReference"/>
        </w:rPr>
        <w:endnoteReference w:id="71"/>
      </w:r>
      <w:r>
        <w:t xml:space="preserve">  Examples of entities that previously have been determined to be “public offices” (prior to the </w:t>
      </w:r>
      <w:r>
        <w:rPr>
          <w:i/>
        </w:rPr>
        <w:t>Oriana House</w:t>
      </w:r>
      <w:r>
        <w:rPr>
          <w:rStyle w:val="EndnoteReference"/>
        </w:rPr>
        <w:endnoteReference w:id="72"/>
      </w:r>
      <w:r>
        <w:t xml:space="preserve"> decision) include:</w:t>
      </w:r>
    </w:p>
    <w:p w14:paraId="14366B3E" w14:textId="77777777" w:rsidR="009966FC" w:rsidRDefault="009966FC" w:rsidP="009966FC">
      <w:pPr>
        <w:spacing w:line="220" w:lineRule="exact"/>
        <w:ind w:left="360"/>
        <w:jc w:val="both"/>
      </w:pPr>
    </w:p>
    <w:p w14:paraId="06BCE1E0" w14:textId="77777777" w:rsidR="009966FC" w:rsidRDefault="009966FC" w:rsidP="009966FC">
      <w:pPr>
        <w:numPr>
          <w:ilvl w:val="0"/>
          <w:numId w:val="2"/>
        </w:numPr>
        <w:spacing w:line="220" w:lineRule="exact"/>
        <w:ind w:left="1440"/>
        <w:jc w:val="both"/>
      </w:pPr>
      <w:r>
        <w:t>Certain public hospitals and health care providers;</w:t>
      </w:r>
      <w:r>
        <w:rPr>
          <w:rStyle w:val="EndnoteReference"/>
        </w:rPr>
        <w:endnoteReference w:id="73"/>
      </w:r>
    </w:p>
    <w:p w14:paraId="1731F245" w14:textId="77777777" w:rsidR="009966FC" w:rsidRDefault="009966FC" w:rsidP="009966FC">
      <w:pPr>
        <w:spacing w:line="220" w:lineRule="exact"/>
        <w:ind w:left="1440"/>
        <w:jc w:val="both"/>
      </w:pPr>
    </w:p>
    <w:p w14:paraId="7227F4C4" w14:textId="77777777" w:rsidR="009966FC" w:rsidRDefault="009966FC" w:rsidP="009966FC">
      <w:pPr>
        <w:numPr>
          <w:ilvl w:val="0"/>
          <w:numId w:val="2"/>
        </w:numPr>
        <w:spacing w:line="220" w:lineRule="exact"/>
        <w:ind w:left="1440"/>
        <w:jc w:val="both"/>
      </w:pPr>
      <w:r>
        <w:t>Community action agencies;</w:t>
      </w:r>
      <w:r>
        <w:rPr>
          <w:rStyle w:val="EndnoteReference"/>
        </w:rPr>
        <w:t xml:space="preserve"> </w:t>
      </w:r>
      <w:r>
        <w:rPr>
          <w:rStyle w:val="EndnoteReference"/>
        </w:rPr>
        <w:endnoteReference w:id="74"/>
      </w:r>
    </w:p>
    <w:p w14:paraId="01E5E9C9" w14:textId="77777777" w:rsidR="009966FC" w:rsidRDefault="009966FC" w:rsidP="009966FC">
      <w:pPr>
        <w:spacing w:line="220" w:lineRule="exact"/>
        <w:ind w:left="1440"/>
        <w:jc w:val="both"/>
      </w:pPr>
    </w:p>
    <w:p w14:paraId="6C466AC1" w14:textId="77777777" w:rsidR="009966FC" w:rsidRDefault="009966FC" w:rsidP="009966FC">
      <w:pPr>
        <w:numPr>
          <w:ilvl w:val="0"/>
          <w:numId w:val="2"/>
        </w:numPr>
        <w:spacing w:line="220" w:lineRule="exact"/>
        <w:ind w:left="1440"/>
        <w:jc w:val="both"/>
      </w:pPr>
      <w:r>
        <w:t>Private non-profit water corporations supported by public money;</w:t>
      </w:r>
      <w:r>
        <w:rPr>
          <w:rStyle w:val="EndnoteReference"/>
        </w:rPr>
        <w:endnoteReference w:id="75"/>
      </w:r>
    </w:p>
    <w:p w14:paraId="647A6ACB" w14:textId="77777777" w:rsidR="009966FC" w:rsidRDefault="009966FC" w:rsidP="009966FC">
      <w:pPr>
        <w:spacing w:line="220" w:lineRule="exact"/>
        <w:ind w:left="1440"/>
        <w:jc w:val="both"/>
      </w:pPr>
    </w:p>
    <w:p w14:paraId="475FE841" w14:textId="77777777" w:rsidR="009966FC" w:rsidRDefault="009966FC" w:rsidP="009966FC">
      <w:pPr>
        <w:numPr>
          <w:ilvl w:val="0"/>
          <w:numId w:val="2"/>
        </w:numPr>
        <w:spacing w:line="220" w:lineRule="exact"/>
        <w:ind w:left="1440"/>
        <w:jc w:val="both"/>
      </w:pPr>
      <w:r>
        <w:t>Private non-profit PASSPORT administrative agencies;</w:t>
      </w:r>
      <w:r>
        <w:rPr>
          <w:rStyle w:val="EndnoteReference"/>
        </w:rPr>
        <w:endnoteReference w:id="76"/>
      </w:r>
    </w:p>
    <w:p w14:paraId="455DDEC7" w14:textId="77777777" w:rsidR="009966FC" w:rsidRDefault="009966FC" w:rsidP="009966FC">
      <w:pPr>
        <w:spacing w:line="220" w:lineRule="exact"/>
        <w:ind w:left="1440"/>
        <w:jc w:val="both"/>
      </w:pPr>
    </w:p>
    <w:p w14:paraId="3D3857FA" w14:textId="77777777" w:rsidR="009966FC" w:rsidRDefault="009966FC" w:rsidP="009966FC">
      <w:pPr>
        <w:numPr>
          <w:ilvl w:val="0"/>
          <w:numId w:val="2"/>
        </w:numPr>
        <w:spacing w:line="220" w:lineRule="exact"/>
        <w:ind w:left="1440"/>
        <w:jc w:val="both"/>
      </w:pPr>
      <w:r>
        <w:t>Private equity funds that receive public money and are essentially owned by a state agency;</w:t>
      </w:r>
      <w:r>
        <w:rPr>
          <w:rStyle w:val="EndnoteReference"/>
        </w:rPr>
        <w:endnoteReference w:id="77"/>
      </w:r>
    </w:p>
    <w:p w14:paraId="3593E9F0" w14:textId="77777777" w:rsidR="009966FC" w:rsidRDefault="009966FC" w:rsidP="009966FC">
      <w:pPr>
        <w:spacing w:line="220" w:lineRule="exact"/>
        <w:ind w:left="1440"/>
        <w:jc w:val="both"/>
      </w:pPr>
    </w:p>
    <w:p w14:paraId="0682670B" w14:textId="77777777" w:rsidR="009966FC" w:rsidRDefault="009966FC" w:rsidP="009966FC">
      <w:pPr>
        <w:numPr>
          <w:ilvl w:val="0"/>
          <w:numId w:val="2"/>
        </w:numPr>
        <w:spacing w:line="220" w:lineRule="exact"/>
        <w:ind w:left="1440"/>
        <w:jc w:val="both"/>
      </w:pPr>
      <w:r>
        <w:t>Non-profit corporations that receive and solicit gifts for a public university and receive support from taxation;</w:t>
      </w:r>
      <w:r>
        <w:rPr>
          <w:rStyle w:val="EndnoteReference"/>
        </w:rPr>
        <w:endnoteReference w:id="78"/>
      </w:r>
    </w:p>
    <w:p w14:paraId="53B7D614" w14:textId="77777777" w:rsidR="009966FC" w:rsidRDefault="009966FC" w:rsidP="009966FC">
      <w:pPr>
        <w:spacing w:line="220" w:lineRule="exact"/>
        <w:ind w:left="1440"/>
        <w:jc w:val="both"/>
      </w:pPr>
    </w:p>
    <w:p w14:paraId="4E9CA93D" w14:textId="77777777" w:rsidR="009966FC" w:rsidRDefault="009966FC" w:rsidP="009966FC">
      <w:pPr>
        <w:numPr>
          <w:ilvl w:val="0"/>
          <w:numId w:val="2"/>
        </w:numPr>
        <w:spacing w:line="220" w:lineRule="exact"/>
        <w:ind w:left="1440"/>
        <w:jc w:val="both"/>
      </w:pPr>
      <w:r>
        <w:t>Private non-profit county ombudsman offices;</w:t>
      </w:r>
      <w:r>
        <w:rPr>
          <w:rStyle w:val="EndnoteReference"/>
        </w:rPr>
        <w:endnoteReference w:id="79"/>
      </w:r>
      <w:r>
        <w:t xml:space="preserve"> and</w:t>
      </w:r>
    </w:p>
    <w:p w14:paraId="6B15592E" w14:textId="77777777" w:rsidR="009966FC" w:rsidRDefault="009966FC" w:rsidP="009966FC">
      <w:pPr>
        <w:spacing w:line="220" w:lineRule="exact"/>
        <w:ind w:left="1440"/>
        <w:jc w:val="both"/>
      </w:pPr>
    </w:p>
    <w:p w14:paraId="2D0B399D" w14:textId="77777777" w:rsidR="009966FC" w:rsidRDefault="009966FC" w:rsidP="009966FC">
      <w:pPr>
        <w:numPr>
          <w:ilvl w:val="0"/>
          <w:numId w:val="2"/>
        </w:numPr>
        <w:spacing w:line="220" w:lineRule="exact"/>
        <w:ind w:left="1440"/>
        <w:jc w:val="both"/>
      </w:pPr>
      <w:r>
        <w:t>County emergency medical services organizations.</w:t>
      </w:r>
      <w:r>
        <w:rPr>
          <w:rStyle w:val="EndnoteReference"/>
        </w:rPr>
        <w:endnoteReference w:id="80"/>
      </w:r>
    </w:p>
    <w:p w14:paraId="22AE1846" w14:textId="77777777" w:rsidR="009966FC" w:rsidRDefault="009966FC" w:rsidP="009966FC">
      <w:pPr>
        <w:spacing w:line="220" w:lineRule="exact"/>
        <w:ind w:left="1440"/>
        <w:jc w:val="both"/>
      </w:pPr>
    </w:p>
    <w:p w14:paraId="0BE5FFE9" w14:textId="77777777" w:rsidR="009966FC" w:rsidRDefault="009966FC" w:rsidP="00322085">
      <w:pPr>
        <w:pStyle w:val="Heading3"/>
      </w:pPr>
      <w:bookmarkStart w:id="20" w:name="_Toc159851443"/>
      <w:r>
        <w:t>2.</w:t>
      </w:r>
      <w:r>
        <w:tab/>
        <w:t>Private entities can be “public offices”</w:t>
      </w:r>
      <w:bookmarkEnd w:id="20"/>
    </w:p>
    <w:p w14:paraId="11975641" w14:textId="77777777" w:rsidR="009966FC" w:rsidRDefault="009966FC" w:rsidP="009966FC">
      <w:pPr>
        <w:spacing w:line="220" w:lineRule="exact"/>
        <w:ind w:left="360"/>
        <w:jc w:val="both"/>
      </w:pPr>
      <w:r>
        <w:t>Private entities can be considered “public offices” and thus subject to the Public Records Act.</w:t>
      </w:r>
      <w:r>
        <w:rPr>
          <w:rStyle w:val="EndnoteReference"/>
        </w:rPr>
        <w:endnoteReference w:id="81"/>
      </w:r>
      <w:r>
        <w:t xml:space="preserve">  A private entity may qualify as a public office under the plain language of R.C. 149.011(A).</w:t>
      </w:r>
      <w:r>
        <w:rPr>
          <w:rStyle w:val="EndnoteReference"/>
        </w:rPr>
        <w:endnoteReference w:id="82"/>
      </w:r>
      <w:r>
        <w:t xml:space="preserve">  If a private entity does not qualify as a public office under R.C. 149.011(A), it may be subject to the Public Records Act if there is clear and convincing evidence that a private entity is the “functional equivalent” of a public office.</w:t>
      </w:r>
      <w:r>
        <w:rPr>
          <w:rStyle w:val="EndnoteReference"/>
        </w:rPr>
        <w:endnoteReference w:id="83"/>
      </w:r>
      <w:r>
        <w:t xml:space="preserve">  Under the functional-equivalency test, a court must analyze: (1) whether the entity performs a governmental function; (2) the level of government funding; (3) the extent of government involvement or regulation; and (4) whether the entity was created by the government to avoid the requirements of the Public Records Act.</w:t>
      </w:r>
      <w:r>
        <w:rPr>
          <w:rStyle w:val="EndnoteReference"/>
        </w:rPr>
        <w:endnoteReference w:id="84"/>
      </w:r>
      <w:r>
        <w:t xml:space="preserve"> The functional-equivalency test “is best suited to the overriding purpose of the Public Records Act, which is ‘to allow public scrutiny of public offices, not of all entities that receive funds that at one time were controlled by the government.’”</w:t>
      </w:r>
      <w:r>
        <w:rPr>
          <w:rStyle w:val="EndnoteReference"/>
        </w:rPr>
        <w:endnoteReference w:id="85"/>
      </w:r>
      <w:r>
        <w:t xml:space="preserve">  In general, the more it can be shown that a private entity is performing a government function, as well as the </w:t>
      </w:r>
      <w:r>
        <w:lastRenderedPageBreak/>
        <w:t>extent to which the entity is funded, controlled, regulated, and/or created by the government, the more likely a court will determine that it is a “public institution,” and therefore, a “public office” subject to the Public Records Act.</w:t>
      </w:r>
    </w:p>
    <w:p w14:paraId="75D4AF76" w14:textId="77777777" w:rsidR="009966FC" w:rsidRDefault="009966FC" w:rsidP="009966FC">
      <w:pPr>
        <w:spacing w:line="220" w:lineRule="exact"/>
        <w:ind w:left="360"/>
        <w:jc w:val="both"/>
      </w:pPr>
    </w:p>
    <w:p w14:paraId="7B5C3661" w14:textId="77777777" w:rsidR="009966FC" w:rsidRDefault="009966FC" w:rsidP="008346E8">
      <w:pPr>
        <w:pStyle w:val="Heading3"/>
        <w:ind w:left="2160" w:hanging="720"/>
      </w:pPr>
      <w:bookmarkStart w:id="22" w:name="_Toc159851444"/>
      <w:r>
        <w:t>3.</w:t>
      </w:r>
      <w:r>
        <w:tab/>
        <w:t>Quasi-agency – A private entity, even if not a “public office,” can be “a person responsible for public records”</w:t>
      </w:r>
      <w:bookmarkEnd w:id="22"/>
    </w:p>
    <w:p w14:paraId="1B9F1277" w14:textId="77777777" w:rsidR="009966FC" w:rsidRDefault="009966FC" w:rsidP="009966FC">
      <w:pPr>
        <w:spacing w:line="220" w:lineRule="exact"/>
        <w:ind w:left="360"/>
        <w:jc w:val="both"/>
      </w:pPr>
      <w:r>
        <w:t>When a public office contracts with a private entity to perform government work, the records related to that work may be public records, even if they are solely in the possession of the private entity.</w:t>
      </w:r>
      <w:r>
        <w:rPr>
          <w:rStyle w:val="EndnoteReference"/>
        </w:rPr>
        <w:endnoteReference w:id="86"/>
      </w:r>
      <w:r>
        <w:t xml:space="preserve">  Traditionally, these records were considered public records when three conditions were met:  (1) the private entity prepared the records to perform responsibilities normally belonging to the public office; (2) the public office is able to monitor the private entity’s performance; </w:t>
      </w:r>
      <w:r>
        <w:rPr>
          <w:i/>
        </w:rPr>
        <w:t>and</w:t>
      </w:r>
      <w:r>
        <w:t xml:space="preserve"> (3) the public office may access the records itself.</w:t>
      </w:r>
      <w:r>
        <w:rPr>
          <w:rStyle w:val="EndnoteReference"/>
        </w:rPr>
        <w:endnoteReference w:id="87"/>
      </w:r>
      <w:r>
        <w:t xml:space="preserve">  The Supreme Court of Ohio recently modified the quasi-agency test, giving more weight to the first prong.  Adequate proof of a delegated public duty by itself could establish that the records relating to the delegated functions are public records.</w:t>
      </w:r>
      <w:r>
        <w:rPr>
          <w:rStyle w:val="EndnoteReference"/>
        </w:rPr>
        <w:endnoteReference w:id="88"/>
      </w:r>
      <w:r>
        <w:t xml:space="preserve">  Under these circumstances, the public office is subject to requests for the public records under its jurisdiction, and the private entity itself may have become a “person</w:t>
      </w:r>
      <w:r>
        <w:rPr>
          <w:rStyle w:val="EndnoteReference"/>
        </w:rPr>
        <w:endnoteReference w:id="89"/>
      </w:r>
      <w:r>
        <w:t xml:space="preserve"> responsible for public records”</w:t>
      </w:r>
      <w:r>
        <w:rPr>
          <w:rStyle w:val="EndnoteReference"/>
        </w:rPr>
        <w:endnoteReference w:id="90"/>
      </w:r>
      <w:r>
        <w:t xml:space="preserve"> for purposes of the Public Records Act.</w:t>
      </w:r>
      <w:r>
        <w:rPr>
          <w:rStyle w:val="EndnoteReference"/>
        </w:rPr>
        <w:endnoteReference w:id="91"/>
      </w:r>
      <w:r>
        <w:t xml:space="preserve">  For example, a public office’s obligation to turn over application materials and resumes extends to records of private search firms the public office used in the hiring process.</w:t>
      </w:r>
      <w:r>
        <w:rPr>
          <w:rStyle w:val="EndnoteReference"/>
        </w:rPr>
        <w:endnoteReference w:id="92"/>
      </w:r>
      <w:r>
        <w:t xml:space="preserve">  Even if the public office does not have control over or access to such records, the records may still be public.</w:t>
      </w:r>
      <w:r>
        <w:rPr>
          <w:rStyle w:val="EndnoteReference"/>
        </w:rPr>
        <w:endnoteReference w:id="93"/>
      </w:r>
      <w:r>
        <w:t xml:space="preserve">  A public office cannot avoid its responsibility for public records by transferring custody of records or the record-making function to a private entity.</w:t>
      </w:r>
      <w:r>
        <w:rPr>
          <w:rStyle w:val="EndnoteReference"/>
        </w:rPr>
        <w:endnoteReference w:id="94"/>
      </w:r>
      <w:r>
        <w:t xml:space="preserve">  However, a public office may not be responsible for records of a private entity that performs related functions that are not activities of the public office.</w:t>
      </w:r>
      <w:r>
        <w:rPr>
          <w:rStyle w:val="EndnoteReference"/>
        </w:rPr>
        <w:endnoteReference w:id="95"/>
      </w:r>
      <w:r>
        <w:t xml:space="preserve">  A person who works in a governmental subdivision and discusses a request is not thereby a “person responsible” for records outside of his or her own public office within the governmental subdivision.</w:t>
      </w:r>
      <w:r>
        <w:rPr>
          <w:rStyle w:val="EndnoteReference"/>
        </w:rPr>
        <w:endnoteReference w:id="96"/>
      </w:r>
      <w:r>
        <w:t xml:space="preserve"> Requesters are entitled to records if they can show “the records sought are related to a delegated governmental function.”</w:t>
      </w:r>
      <w:r>
        <w:rPr>
          <w:rStyle w:val="EndnoteReference"/>
        </w:rPr>
        <w:endnoteReference w:id="97"/>
      </w:r>
    </w:p>
    <w:p w14:paraId="6A908F0E" w14:textId="77777777" w:rsidR="00322085" w:rsidRDefault="00322085" w:rsidP="009966FC">
      <w:pPr>
        <w:spacing w:line="220" w:lineRule="exact"/>
        <w:ind w:left="360"/>
        <w:jc w:val="both"/>
      </w:pPr>
    </w:p>
    <w:p w14:paraId="40941002" w14:textId="77777777" w:rsidR="009966FC" w:rsidRDefault="009966FC" w:rsidP="00322085">
      <w:pPr>
        <w:pStyle w:val="Heading3"/>
      </w:pPr>
      <w:bookmarkStart w:id="23" w:name="_Toc159851445"/>
      <w:r>
        <w:t>4.</w:t>
      </w:r>
      <w:r>
        <w:tab/>
        <w:t>Public office is responsible for its own records</w:t>
      </w:r>
      <w:bookmarkEnd w:id="23"/>
    </w:p>
    <w:p w14:paraId="246E2851" w14:textId="11655DD3" w:rsidR="00681BA7" w:rsidRPr="009966FC" w:rsidRDefault="009966FC" w:rsidP="009966FC">
      <w:pPr>
        <w:spacing w:line="220" w:lineRule="exact"/>
        <w:ind w:left="360"/>
        <w:jc w:val="both"/>
      </w:pPr>
      <w:r>
        <w:t>Only a public office or person who is actually responsible for the record sought is responsible for providing inspection or copies.</w:t>
      </w:r>
      <w:r>
        <w:rPr>
          <w:rStyle w:val="EndnoteReference"/>
        </w:rPr>
        <w:endnoteReference w:id="98"/>
      </w:r>
      <w:r>
        <w:t xml:space="preserve">  When statutes impose a duty on a particular official to oversee records, that official is the “person responsible” within the meaning of the Public Records Act.</w:t>
      </w:r>
      <w:r>
        <w:rPr>
          <w:rStyle w:val="EndnoteReference"/>
        </w:rPr>
        <w:endnoteReference w:id="99"/>
      </w:r>
      <w:r>
        <w:t xml:space="preserve">  A requester may wish to avoid any delay by initially asking a public office to whom in the office they should make the public records request, but the courts will construe the Public Records Act liberally in favor of broad access when, for example, the request is served on any member of a committee from which the requester seeks records.</w:t>
      </w:r>
      <w:r>
        <w:rPr>
          <w:rStyle w:val="EndnoteReference"/>
        </w:rPr>
        <w:endnoteReference w:id="100"/>
      </w:r>
      <w:r>
        <w:t xml:space="preserve">  The same document may be kept as a record by more than one public office.</w:t>
      </w:r>
      <w:r>
        <w:rPr>
          <w:rStyle w:val="EndnoteReference"/>
        </w:rPr>
        <w:endnoteReference w:id="101"/>
      </w:r>
      <w:r>
        <w:t xml:space="preserve">  One appellate court has held that one public office may provide responsive documents on behalf of several related public offices that receive the same request and are keeping identical documents as records.</w:t>
      </w:r>
      <w:r>
        <w:rPr>
          <w:rStyle w:val="EndnoteReference"/>
        </w:rPr>
        <w:endnoteReference w:id="102"/>
      </w:r>
    </w:p>
    <w:p w14:paraId="6E8D7592" w14:textId="77777777" w:rsidR="00681BA7" w:rsidRDefault="00B367D9">
      <w:pPr>
        <w:jc w:val="both"/>
      </w:pPr>
      <w:r>
        <w:br w:type="page"/>
      </w:r>
    </w:p>
    <w:p w14:paraId="43E45B20" w14:textId="77777777" w:rsidR="00681BA7" w:rsidRDefault="00B57E9E" w:rsidP="00CF25DA">
      <w:pPr>
        <w:jc w:val="both"/>
        <w:sectPr w:rsidR="00681BA7" w:rsidSect="00AF6868">
          <w:headerReference w:type="default" r:id="rId40"/>
          <w:footerReference w:type="default" r:id="rId41"/>
          <w:endnotePr>
            <w:numFmt w:val="decimal"/>
          </w:endnotePr>
          <w:pgSz w:w="12240" w:h="15840"/>
          <w:pgMar w:top="1440" w:right="1440" w:bottom="1440" w:left="1440" w:header="720" w:footer="210" w:gutter="0"/>
          <w:pgNumType w:start="1"/>
          <w:cols w:space="720"/>
          <w:docGrid w:linePitch="360"/>
        </w:sectPr>
      </w:pPr>
      <w:r>
        <w:lastRenderedPageBreak/>
        <w:t>Notes</w:t>
      </w:r>
      <w:r w:rsidR="00782AA0">
        <w:t>:</w:t>
      </w:r>
    </w:p>
    <w:p w14:paraId="2A88A27C" w14:textId="5F5B7A4E" w:rsidR="00681BA7" w:rsidRPr="00E864C3" w:rsidRDefault="00681BA7" w:rsidP="0085553E">
      <w:pPr>
        <w:pStyle w:val="Heading1"/>
      </w:pPr>
      <w:bookmarkStart w:id="24" w:name="_Toc159851446"/>
      <w:bookmarkStart w:id="25" w:name="_Hlk90900172"/>
      <w:bookmarkStart w:id="26" w:name="_Hlk150425811"/>
      <w:bookmarkEnd w:id="2"/>
      <w:r w:rsidRPr="00E864C3">
        <w:lastRenderedPageBreak/>
        <w:t>II.</w:t>
      </w:r>
      <w:r w:rsidRPr="00E864C3">
        <w:tab/>
        <w:t>Chapter Two:  Requesting Public Rec</w:t>
      </w:r>
      <w:bookmarkEnd w:id="3"/>
      <w:r w:rsidRPr="00E864C3">
        <w:t>ords</w:t>
      </w:r>
      <w:bookmarkEnd w:id="24"/>
    </w:p>
    <w:p w14:paraId="56CE29F0" w14:textId="0DD911DB" w:rsidR="00681BA7" w:rsidRDefault="00681BA7">
      <w:pPr>
        <w:spacing w:line="220" w:lineRule="exact"/>
        <w:jc w:val="both"/>
      </w:pPr>
      <w:r>
        <w:t>The Public Records Act sets out procedures, limits, and requirements designed to maximize requester success in obtaining access to public records and to minimize the burden on public offices when possible.  When making or responding to a public records request, it is important to be familiar with these statutory provisions to achieve a cooperative, efficient, and satisfactory outcome.</w:t>
      </w:r>
    </w:p>
    <w:p w14:paraId="3E2BD38C" w14:textId="4A1E9559" w:rsidR="00681BA7" w:rsidRPr="00345637" w:rsidRDefault="00681BA7" w:rsidP="00322085">
      <w:pPr>
        <w:pStyle w:val="Heading2"/>
      </w:pPr>
      <w:bookmarkStart w:id="27" w:name="_Toc159851447"/>
      <w:r w:rsidRPr="00345637">
        <w:t>A.</w:t>
      </w:r>
      <w:r w:rsidRPr="00345637">
        <w:tab/>
        <w:t>Rights and Obligations of Public Records Requesters and Public Offices</w:t>
      </w:r>
      <w:bookmarkEnd w:id="27"/>
    </w:p>
    <w:p w14:paraId="325F8943" w14:textId="501B0DA4" w:rsidR="00681BA7" w:rsidRDefault="00681BA7" w:rsidP="001235DC">
      <w:pPr>
        <w:spacing w:line="220" w:lineRule="exact"/>
        <w:ind w:left="360"/>
        <w:jc w:val="both"/>
      </w:pPr>
      <w:r>
        <w:t xml:space="preserve">Every public office must organize and maintain public records in a manner that they can be made available in response to public records requests.  A public office must also maintain </w:t>
      </w:r>
      <w:r w:rsidR="00B65943">
        <w:t>copies</w:t>
      </w:r>
      <w:r>
        <w:t xml:space="preserve"> of its current records retention schedules at a location readily available to the public.</w:t>
      </w:r>
    </w:p>
    <w:p w14:paraId="16219C4B" w14:textId="77777777" w:rsidR="00681BA7" w:rsidRDefault="00681BA7" w:rsidP="001235DC">
      <w:pPr>
        <w:spacing w:line="220" w:lineRule="exact"/>
        <w:ind w:left="360"/>
        <w:jc w:val="both"/>
      </w:pPr>
    </w:p>
    <w:p w14:paraId="2275B1A1" w14:textId="6DA21052" w:rsidR="00681BA7" w:rsidRDefault="00681BA7" w:rsidP="001235DC">
      <w:pPr>
        <w:spacing w:line="220" w:lineRule="exact"/>
        <w:ind w:left="360"/>
        <w:jc w:val="both"/>
      </w:pPr>
      <w:r>
        <w:t>Any person can make a request for public records by asking a public office or person responsible for public records for specific, existing records.  The requester may make a request in any manner the requester chooses: by phone, in</w:t>
      </w:r>
      <w:r w:rsidR="00683108">
        <w:t>-</w:t>
      </w:r>
      <w:r>
        <w:t xml:space="preserve">person, or in an email or letter.  A public office cannot require the requester to identify </w:t>
      </w:r>
      <w:r w:rsidR="00683108">
        <w:t>themselves</w:t>
      </w:r>
      <w:r>
        <w:t xml:space="preserve"> or indicate why </w:t>
      </w:r>
      <w:r w:rsidR="00683108">
        <w:t>they are</w:t>
      </w:r>
      <w:r>
        <w:t xml:space="preserve"> requesting the records unless a specific law permits or requires it.  Often, however, a discussion about the requester’s purpose or interest in seeking certain information can aid the public office in locating and producing the desired records more efficiently.</w:t>
      </w:r>
    </w:p>
    <w:p w14:paraId="182C32CD" w14:textId="77777777" w:rsidR="00681BA7" w:rsidRDefault="00681BA7" w:rsidP="001235DC">
      <w:pPr>
        <w:spacing w:line="220" w:lineRule="exact"/>
        <w:ind w:left="360"/>
        <w:jc w:val="both"/>
      </w:pPr>
    </w:p>
    <w:p w14:paraId="72A5969F" w14:textId="6E843618" w:rsidR="00681BA7" w:rsidRDefault="00681BA7" w:rsidP="001235DC">
      <w:pPr>
        <w:spacing w:line="220" w:lineRule="exact"/>
        <w:ind w:left="360"/>
        <w:jc w:val="both"/>
      </w:pPr>
      <w:r>
        <w:t xml:space="preserve">Upon receiving a request </w:t>
      </w:r>
      <w:r w:rsidR="00683108">
        <w:t>to inspect</w:t>
      </w:r>
      <w:r>
        <w:t xml:space="preserve"> specific, existing public records, a public office must provide prompt inspection at no cost during regular business hours</w:t>
      </w:r>
      <w:r w:rsidR="00683108">
        <w:t xml:space="preserve">. </w:t>
      </w:r>
      <w:r w:rsidR="000564A6">
        <w:t xml:space="preserve"> </w:t>
      </w:r>
      <w:r w:rsidR="00683108">
        <w:t>Upon receiving a request for copies of specific, existing public records, a public office must provide copies within a reasonable period of time. The public office may charge the requester the actual cost of copi</w:t>
      </w:r>
      <w:r w:rsidR="000564A6">
        <w:t>e</w:t>
      </w:r>
      <w:r w:rsidR="00683108">
        <w:t>s made and may require payment of copying costs in advance.</w:t>
      </w:r>
      <w:r>
        <w:t xml:space="preserve"> </w:t>
      </w:r>
      <w:r w:rsidR="000564A6">
        <w:t xml:space="preserve"> </w:t>
      </w:r>
      <w:r>
        <w:t xml:space="preserve">The public office may withhold or redact specific records that are covered by an exemption to the Public Records Act but is required to give the requester an explanation, including legal authority, for each denial.  The Public Records Act </w:t>
      </w:r>
      <w:r w:rsidR="00D52F57">
        <w:t>requires</w:t>
      </w:r>
      <w:r>
        <w:t xml:space="preserve"> negotiation and clarification to help identify, locate, and deliver requested records if</w:t>
      </w:r>
      <w:r w:rsidR="000564A6">
        <w:t xml:space="preserve"> </w:t>
      </w:r>
      <w:r>
        <w:t>a requester makes an ambiguous or overly broad request</w:t>
      </w:r>
      <w:r w:rsidR="00D52F57">
        <w:t>.  Similarly, if the</w:t>
      </w:r>
      <w:r>
        <w:t xml:space="preserve"> public office believes that asking for </w:t>
      </w:r>
      <w:r w:rsidR="00D52F57">
        <w:t>a</w:t>
      </w:r>
      <w:r>
        <w:t xml:space="preserve"> request in writing, </w:t>
      </w:r>
      <w:r w:rsidR="00D52F57">
        <w:t>asking for</w:t>
      </w:r>
      <w:r>
        <w:t xml:space="preserve"> the requester’s identity, or</w:t>
      </w:r>
      <w:r w:rsidR="00D52F57">
        <w:t xml:space="preserve"> asking for</w:t>
      </w:r>
      <w:r>
        <w:t xml:space="preserve"> the intended use of the requested information would enhance the ability of the public office to provide the records</w:t>
      </w:r>
      <w:r w:rsidR="00D52F57">
        <w:t>, it may ask for the information (though the requester is not required to provide it, and must be informed as such)</w:t>
      </w:r>
      <w:r>
        <w:t>.</w:t>
      </w:r>
    </w:p>
    <w:p w14:paraId="663814E3" w14:textId="77777777" w:rsidR="00322085" w:rsidRDefault="00322085" w:rsidP="001235DC">
      <w:pPr>
        <w:spacing w:line="220" w:lineRule="exact"/>
        <w:ind w:left="360"/>
        <w:jc w:val="both"/>
      </w:pPr>
    </w:p>
    <w:p w14:paraId="55903BC9" w14:textId="1815DC62" w:rsidR="00681BA7" w:rsidRDefault="00681BA7" w:rsidP="00322085">
      <w:pPr>
        <w:pStyle w:val="Heading3"/>
      </w:pPr>
      <w:bookmarkStart w:id="28" w:name="_Toc159851448"/>
      <w:r>
        <w:t>1.</w:t>
      </w:r>
      <w:r>
        <w:tab/>
        <w:t>Organization and maintenance of public records</w:t>
      </w:r>
      <w:bookmarkEnd w:id="28"/>
    </w:p>
    <w:p w14:paraId="195268C3" w14:textId="1FFF395F" w:rsidR="00681BA7" w:rsidRDefault="00681BA7">
      <w:pPr>
        <w:spacing w:line="220" w:lineRule="exact"/>
        <w:ind w:left="360"/>
        <w:jc w:val="both"/>
      </w:pPr>
      <w:r>
        <w:t>“To facilitate broader access to public records, a public office … shall organize and maintain public records in a manner that they can be made available for inspection or copying” in response to public records requests.</w:t>
      </w:r>
      <w:r>
        <w:rPr>
          <w:rStyle w:val="EndnoteReference"/>
        </w:rPr>
        <w:endnoteReference w:id="103"/>
      </w:r>
      <w:r>
        <w:t xml:space="preserve">  The fact that the office uses an organizational system that is different from, </w:t>
      </w:r>
      <w:r w:rsidR="001235DC">
        <w:t>or</w:t>
      </w:r>
      <w:r>
        <w:t xml:space="preserve"> inconsistent with, the form of a given request does not mean that the public office has violated this duty.</w:t>
      </w:r>
      <w:r>
        <w:rPr>
          <w:rStyle w:val="EndnoteReference"/>
        </w:rPr>
        <w:endnoteReference w:id="104"/>
      </w:r>
      <w:r>
        <w:t xml:space="preserve">  For </w:t>
      </w:r>
      <w:r w:rsidR="00683108">
        <w:t>example</w:t>
      </w:r>
      <w:r>
        <w:t>, if a person requests copies of all police service calls for a particular geographical area identified by street names</w:t>
      </w:r>
      <w:r w:rsidR="00683108">
        <w:t>, but the office does not maintain its service call records according to geographical area or street name, the office does not have a duty to fulfill that request.</w:t>
      </w:r>
      <w:r>
        <w:rPr>
          <w:rStyle w:val="EndnoteReference"/>
        </w:rPr>
        <w:endnoteReference w:id="105"/>
      </w:r>
      <w:r>
        <w:t xml:space="preserve">  The Public Records Act does not require a public office or person responsible for public records to post its public records on the office’s website</w:t>
      </w:r>
      <w:r>
        <w:rPr>
          <w:rStyle w:val="EndnoteReference"/>
        </w:rPr>
        <w:endnoteReference w:id="106"/>
      </w:r>
      <w:r>
        <w:t xml:space="preserve"> (but doing so may reduce the number of public records requests the office receives for posted records).  A public office is not required to create new records to respond to a public records request, even if it is only a matter of compiling information from existing records.</w:t>
      </w:r>
      <w:r>
        <w:rPr>
          <w:rStyle w:val="EndnoteReference"/>
        </w:rPr>
        <w:endnoteReference w:id="107"/>
      </w:r>
    </w:p>
    <w:p w14:paraId="0989B30C" w14:textId="77777777" w:rsidR="00681BA7" w:rsidRDefault="00681BA7">
      <w:pPr>
        <w:spacing w:line="220" w:lineRule="exact"/>
        <w:ind w:left="360"/>
        <w:jc w:val="both"/>
      </w:pPr>
    </w:p>
    <w:p w14:paraId="02A67B4D" w14:textId="7D590695" w:rsidR="00681BA7" w:rsidRDefault="00681BA7">
      <w:pPr>
        <w:spacing w:line="220" w:lineRule="exact"/>
        <w:ind w:left="360"/>
        <w:jc w:val="both"/>
      </w:pPr>
      <w:r>
        <w:t xml:space="preserve">A public office must have </w:t>
      </w:r>
      <w:r w:rsidR="00683108">
        <w:t>copies</w:t>
      </w:r>
      <w:r>
        <w:t xml:space="preserve"> of its current records retention schedule</w:t>
      </w:r>
      <w:r w:rsidR="00683108">
        <w:t>s</w:t>
      </w:r>
      <w:r>
        <w:t xml:space="preserve"> at a location readily available to the public.</w:t>
      </w:r>
      <w:r>
        <w:rPr>
          <w:rStyle w:val="EndnoteReference"/>
        </w:rPr>
        <w:endnoteReference w:id="108"/>
      </w:r>
      <w:r>
        <w:t xml:space="preserve">  </w:t>
      </w:r>
      <w:r w:rsidR="00683108">
        <w:t xml:space="preserve">It may be worthwhile for a requester to review a public office’s records retention schedules to see how the office organizes its records before making a public records request. </w:t>
      </w:r>
      <w:r w:rsidR="000564A6">
        <w:t xml:space="preserve"> </w:t>
      </w:r>
      <w:r w:rsidR="00683108">
        <w:t>Referring requesters to retention schedules can also be a useful way for public offices to explain how the office organizes and maintain</w:t>
      </w:r>
      <w:r w:rsidR="00D96E27">
        <w:t>s</w:t>
      </w:r>
      <w:r w:rsidR="00683108">
        <w:t xml:space="preserve"> its records.</w:t>
      </w:r>
    </w:p>
    <w:p w14:paraId="181055B4" w14:textId="77777777" w:rsidR="000564A6" w:rsidRDefault="000564A6">
      <w:pPr>
        <w:spacing w:line="220" w:lineRule="exact"/>
        <w:ind w:left="360"/>
        <w:jc w:val="both"/>
      </w:pPr>
    </w:p>
    <w:p w14:paraId="47D4E554" w14:textId="2BB10159" w:rsidR="00681BA7" w:rsidRDefault="00681BA7" w:rsidP="00322085">
      <w:pPr>
        <w:pStyle w:val="Heading3"/>
      </w:pPr>
      <w:bookmarkStart w:id="29" w:name="_Toc159851449"/>
      <w:r>
        <w:lastRenderedPageBreak/>
        <w:t>2.</w:t>
      </w:r>
      <w:r>
        <w:tab/>
        <w:t>“Any person” may make a request</w:t>
      </w:r>
      <w:bookmarkEnd w:id="29"/>
    </w:p>
    <w:p w14:paraId="4D6EB5BD" w14:textId="264FA509" w:rsidR="00681BA7" w:rsidRDefault="00683108">
      <w:pPr>
        <w:spacing w:line="220" w:lineRule="exact"/>
        <w:ind w:left="360"/>
        <w:jc w:val="both"/>
      </w:pPr>
      <w:r>
        <w:t xml:space="preserve">Any person can make a public records request. </w:t>
      </w:r>
      <w:r w:rsidR="000564A6">
        <w:t xml:space="preserve"> </w:t>
      </w:r>
      <w:r w:rsidR="00681BA7">
        <w:t xml:space="preserve">The requesting “person” need not be an Ohio or United States resident.  In fact, in the absence of a </w:t>
      </w:r>
      <w:r w:rsidR="000564A6">
        <w:t xml:space="preserve">specific </w:t>
      </w:r>
      <w:r w:rsidR="00681BA7">
        <w:t>law to the contrary, foreign individuals and entities domiciled in a foreign country are entitled to inspect and copy public records.</w:t>
      </w:r>
      <w:r w:rsidR="00681BA7">
        <w:rPr>
          <w:rStyle w:val="EndnoteReference"/>
        </w:rPr>
        <w:endnoteReference w:id="109"/>
      </w:r>
      <w:r w:rsidR="00681BA7">
        <w:t xml:space="preserve">  The requester need not be an individual, but may be a corporation, trust, or other body.</w:t>
      </w:r>
      <w:r w:rsidR="00681BA7">
        <w:rPr>
          <w:rStyle w:val="EndnoteReference"/>
        </w:rPr>
        <w:endnoteReference w:id="110"/>
      </w:r>
    </w:p>
    <w:p w14:paraId="5EAFEDED" w14:textId="77777777" w:rsidR="0076586C" w:rsidRDefault="0076586C">
      <w:pPr>
        <w:spacing w:line="220" w:lineRule="exact"/>
        <w:ind w:left="360"/>
        <w:jc w:val="both"/>
      </w:pPr>
    </w:p>
    <w:p w14:paraId="2B3EE58F" w14:textId="02AE234A" w:rsidR="00681BA7" w:rsidRDefault="00681BA7" w:rsidP="00322085">
      <w:pPr>
        <w:pStyle w:val="Heading3"/>
      </w:pPr>
      <w:bookmarkStart w:id="30" w:name="_Toc159851450"/>
      <w:r>
        <w:t>3.</w:t>
      </w:r>
      <w:r>
        <w:tab/>
        <w:t>The request must be for the public office’s existing records</w:t>
      </w:r>
      <w:bookmarkEnd w:id="30"/>
    </w:p>
    <w:p w14:paraId="3DDE2693" w14:textId="3976BE18" w:rsidR="00683108" w:rsidRDefault="00681BA7">
      <w:pPr>
        <w:spacing w:line="220" w:lineRule="exact"/>
        <w:ind w:left="360"/>
        <w:jc w:val="both"/>
      </w:pPr>
      <w:r>
        <w:t xml:space="preserve">The proper subject of a public records request is a </w:t>
      </w:r>
      <w:r w:rsidRPr="005D4449">
        <w:rPr>
          <w:i/>
        </w:rPr>
        <w:t>record</w:t>
      </w:r>
      <w:r>
        <w:t xml:space="preserve"> that </w:t>
      </w:r>
      <w:r w:rsidR="00701AA1">
        <w:t>exists</w:t>
      </w:r>
      <w:r>
        <w:t xml:space="preserve"> at the time of the request</w:t>
      </w:r>
      <w:r w:rsidR="00683108">
        <w:t>.</w:t>
      </w:r>
      <w:r>
        <w:rPr>
          <w:rStyle w:val="EndnoteReference"/>
        </w:rPr>
        <w:endnoteReference w:id="111"/>
      </w:r>
      <w:r>
        <w:t xml:space="preserve"> </w:t>
      </w:r>
      <w:r w:rsidR="000564A6">
        <w:t xml:space="preserve"> </w:t>
      </w:r>
      <w:r w:rsidR="00683108">
        <w:t>Records may not exist if the public office properly disposed of the records pursuant to a records retention schedule.</w:t>
      </w:r>
      <w:r w:rsidR="00683108">
        <w:rPr>
          <w:rStyle w:val="EndnoteReference"/>
        </w:rPr>
        <w:endnoteReference w:id="112"/>
      </w:r>
    </w:p>
    <w:p w14:paraId="1373B144" w14:textId="77777777" w:rsidR="00683108" w:rsidRDefault="00683108">
      <w:pPr>
        <w:spacing w:line="220" w:lineRule="exact"/>
        <w:ind w:left="360"/>
        <w:jc w:val="both"/>
      </w:pPr>
    </w:p>
    <w:p w14:paraId="25AD6489" w14:textId="2CE6A8F1" w:rsidR="0076586C" w:rsidRDefault="00AB39F8" w:rsidP="003B1BE3">
      <w:pPr>
        <w:spacing w:line="220" w:lineRule="exact"/>
        <w:ind w:left="360"/>
        <w:jc w:val="both"/>
      </w:pPr>
      <w:r>
        <w:t>The office need not conduct a search for and retrieve records that contain described information that is of interest to the requester.</w:t>
      </w:r>
      <w:r w:rsidR="00681BA7">
        <w:rPr>
          <w:rStyle w:val="EndnoteReference"/>
        </w:rPr>
        <w:endnoteReference w:id="113"/>
      </w:r>
      <w:r w:rsidR="00681BA7">
        <w:t xml:space="preserve">  </w:t>
      </w:r>
      <w:r>
        <w:t>A public office is also not required to create new records to respond to a public records request, even if it is only a matter of compiling information from existing records.</w:t>
      </w:r>
      <w:r>
        <w:rPr>
          <w:rStyle w:val="EndnoteReference"/>
        </w:rPr>
        <w:endnoteReference w:id="114"/>
      </w:r>
      <w:r>
        <w:t xml:space="preserve"> </w:t>
      </w:r>
      <w:r w:rsidR="000564A6">
        <w:t xml:space="preserve"> </w:t>
      </w:r>
      <w:r w:rsidR="00681BA7">
        <w:t>For example, if a person asks a public office for a list of court cases pending against it, but the office does not keep such a list, the public office is under no duty to create a list to respond to the request.</w:t>
      </w:r>
      <w:r w:rsidR="00681BA7">
        <w:rPr>
          <w:rStyle w:val="EndnoteReference"/>
        </w:rPr>
        <w:endnoteReference w:id="115"/>
      </w:r>
      <w:r w:rsidR="00681BA7">
        <w:t xml:space="preserve">  Additionally, there is no duty to provide records that were not in existence at the time of the request</w:t>
      </w:r>
      <w:r w:rsidR="00681BA7">
        <w:rPr>
          <w:rStyle w:val="EndnoteReference"/>
        </w:rPr>
        <w:endnoteReference w:id="116"/>
      </w:r>
      <w:r w:rsidR="00681BA7">
        <w:t xml:space="preserve"> or that the public office does not possess,</w:t>
      </w:r>
      <w:r w:rsidR="00681BA7">
        <w:rPr>
          <w:rStyle w:val="EndnoteReference"/>
        </w:rPr>
        <w:endnoteReference w:id="117"/>
      </w:r>
      <w:r w:rsidR="00681BA7">
        <w:t xml:space="preserve"> including records that later come into existence.</w:t>
      </w:r>
      <w:r w:rsidR="00681BA7">
        <w:rPr>
          <w:rStyle w:val="EndnoteReference"/>
        </w:rPr>
        <w:endnoteReference w:id="118"/>
      </w:r>
    </w:p>
    <w:p w14:paraId="30357BB5" w14:textId="77777777" w:rsidR="00D96E27" w:rsidRDefault="00D96E27" w:rsidP="003B1BE3">
      <w:pPr>
        <w:spacing w:line="220" w:lineRule="exact"/>
        <w:ind w:left="360"/>
        <w:jc w:val="both"/>
      </w:pPr>
    </w:p>
    <w:p w14:paraId="02B65D88" w14:textId="31B2FD49" w:rsidR="00D96E27" w:rsidRDefault="00D96E27" w:rsidP="003B1BE3">
      <w:pPr>
        <w:spacing w:line="220" w:lineRule="exact"/>
        <w:ind w:left="360"/>
        <w:jc w:val="both"/>
        <w:rPr>
          <w:i/>
          <w:iCs/>
        </w:rPr>
      </w:pPr>
      <w:r>
        <w:t xml:space="preserve">If a public office has a legal duty to maintain a requested record, but the public office fails to do so, the Public Records Act does not provide relief. The Act requires public offices to provide access to specific and existing records, not records that </w:t>
      </w:r>
      <w:r w:rsidRPr="00D96E27">
        <w:rPr>
          <w:i/>
          <w:iCs/>
        </w:rPr>
        <w:t>should exist.</w:t>
      </w:r>
      <w:r>
        <w:rPr>
          <w:rStyle w:val="EndnoteReference"/>
          <w:i/>
          <w:iCs/>
        </w:rPr>
        <w:endnoteReference w:id="119"/>
      </w:r>
    </w:p>
    <w:p w14:paraId="2CB129A4" w14:textId="77777777" w:rsidR="00CC3906" w:rsidRPr="00D96E27" w:rsidRDefault="00CC3906" w:rsidP="003B1BE3">
      <w:pPr>
        <w:spacing w:line="220" w:lineRule="exact"/>
        <w:ind w:left="360"/>
        <w:jc w:val="both"/>
      </w:pPr>
    </w:p>
    <w:p w14:paraId="48ECADF7" w14:textId="1D6C43A0" w:rsidR="00681BA7" w:rsidRDefault="00681BA7" w:rsidP="00322085">
      <w:pPr>
        <w:pStyle w:val="Heading3"/>
      </w:pPr>
      <w:bookmarkStart w:id="32" w:name="_Toc159851451"/>
      <w:r>
        <w:t>4.</w:t>
      </w:r>
      <w:r>
        <w:tab/>
        <w:t xml:space="preserve">A request must be specific enough for the public office to </w:t>
      </w:r>
      <w:r w:rsidR="00CC3906">
        <w:tab/>
      </w:r>
      <w:r w:rsidR="00CC3906">
        <w:tab/>
      </w:r>
      <w:r w:rsidR="00CC3906">
        <w:tab/>
      </w:r>
      <w:r>
        <w:t>reasonably identify responsive records</w:t>
      </w:r>
      <w:bookmarkEnd w:id="32"/>
    </w:p>
    <w:p w14:paraId="3ADAA99C" w14:textId="77777777" w:rsidR="00681BA7" w:rsidRDefault="00681BA7">
      <w:pPr>
        <w:spacing w:line="220" w:lineRule="exact"/>
        <w:ind w:left="360"/>
        <w:jc w:val="both"/>
      </w:pPr>
      <w:r>
        <w:t>A requester must identify the records he or she is seeking “with reasonable clarity,”</w:t>
      </w:r>
      <w:r>
        <w:rPr>
          <w:rStyle w:val="EndnoteReference"/>
        </w:rPr>
        <w:endnoteReference w:id="120"/>
      </w:r>
      <w:r>
        <w:t xml:space="preserve"> so that the public office can identify responsive records based on the manner in which it ordinarily maintains and accesses the public records it keeps.</w:t>
      </w:r>
      <w:r>
        <w:rPr>
          <w:rStyle w:val="EndnoteReference"/>
        </w:rPr>
        <w:endnoteReference w:id="121"/>
      </w:r>
      <w:r>
        <w:t xml:space="preserve">  The request must fairly and specifically describe what the requester is seeking.</w:t>
      </w:r>
      <w:r>
        <w:rPr>
          <w:rStyle w:val="EndnoteReference"/>
        </w:rPr>
        <w:endnoteReference w:id="122"/>
      </w:r>
      <w:r>
        <w:t xml:space="preserve">  A court will not compel a public office to produce public records when the underlying request is ambiguous or overly broad, or the requester has difficulty making a request such that the public office cannot reasonably identify what public records are being requested.</w:t>
      </w:r>
      <w:r>
        <w:rPr>
          <w:rStyle w:val="EndnoteReference"/>
        </w:rPr>
        <w:endnoteReference w:id="123"/>
      </w:r>
    </w:p>
    <w:p w14:paraId="29EDEEA9" w14:textId="77777777" w:rsidR="006A47ED" w:rsidRDefault="006A47ED">
      <w:pPr>
        <w:spacing w:line="220" w:lineRule="exact"/>
        <w:ind w:left="360"/>
        <w:jc w:val="both"/>
      </w:pPr>
    </w:p>
    <w:p w14:paraId="68B17C32" w14:textId="634BCBF9" w:rsidR="006A47ED" w:rsidRDefault="006A47ED" w:rsidP="00322085">
      <w:pPr>
        <w:pStyle w:val="Heading3"/>
      </w:pPr>
      <w:bookmarkStart w:id="33" w:name="_Toc159851452"/>
      <w:r w:rsidRPr="006A47ED">
        <w:t>5.</w:t>
      </w:r>
      <w:r w:rsidRPr="006A47ED">
        <w:tab/>
      </w:r>
      <w:r w:rsidR="002421E7">
        <w:t>Overly broad or a</w:t>
      </w:r>
      <w:r w:rsidRPr="006A47ED">
        <w:t>mbiguous requests</w:t>
      </w:r>
      <w:bookmarkEnd w:id="33"/>
    </w:p>
    <w:p w14:paraId="7BF67E13" w14:textId="76135A64" w:rsidR="006A47ED" w:rsidRPr="002421E7" w:rsidRDefault="002421E7" w:rsidP="002421E7">
      <w:pPr>
        <w:spacing w:line="220" w:lineRule="exact"/>
        <w:ind w:left="360"/>
        <w:jc w:val="both"/>
      </w:pPr>
      <w:r w:rsidRPr="002421E7">
        <w:t>If a requester does</w:t>
      </w:r>
      <w:r>
        <w:t xml:space="preserve"> </w:t>
      </w:r>
      <w:r w:rsidRPr="002421E7">
        <w:t>n</w:t>
      </w:r>
      <w:r>
        <w:t>o</w:t>
      </w:r>
      <w:r w:rsidRPr="002421E7">
        <w:t xml:space="preserve">t do </w:t>
      </w:r>
      <w:r>
        <w:t>describe the records he or she is seeking “with reasonable clarity,”</w:t>
      </w:r>
      <w:r w:rsidRPr="002421E7">
        <w:t xml:space="preserve"> the request might be considered overly broad or ambiguous, and the public office can deny the request.</w:t>
      </w:r>
      <w:r>
        <w:t xml:space="preserve"> </w:t>
      </w:r>
      <w:r w:rsidRPr="002421E7">
        <w:t xml:space="preserve">A request can be overly broad </w:t>
      </w:r>
      <w:r>
        <w:t>if</w:t>
      </w:r>
      <w:r w:rsidRPr="002421E7">
        <w:t xml:space="preserve"> it is so over-inclusive that the public office is unable to identify the records sought based on the way the office routinely organizes and accesses records. </w:t>
      </w:r>
      <w:r w:rsidR="006A47ED" w:rsidRPr="002421E7">
        <w:t xml:space="preserve">An ambiguous request is one that lacks the clarity a public office needs to determine what the requester is seeking and where to look for records that might be responsive, and/or when the wording of the request is vague or subject to interpretation. </w:t>
      </w:r>
    </w:p>
    <w:p w14:paraId="6D1B543D" w14:textId="77777777" w:rsidR="00971900" w:rsidRPr="002421E7" w:rsidRDefault="00971900" w:rsidP="002421E7">
      <w:pPr>
        <w:spacing w:line="220" w:lineRule="exact"/>
        <w:ind w:left="360"/>
        <w:jc w:val="both"/>
      </w:pPr>
    </w:p>
    <w:p w14:paraId="3D30D9C7" w14:textId="41FF59EB" w:rsidR="006A47ED" w:rsidRDefault="002421E7" w:rsidP="002421E7">
      <w:pPr>
        <w:spacing w:line="220" w:lineRule="exact"/>
        <w:ind w:left="360"/>
        <w:jc w:val="both"/>
      </w:pPr>
      <w:r>
        <w:t>W</w:t>
      </w:r>
      <w:r w:rsidRPr="002421E7">
        <w:t>hether a request is overly broad or ambiguous will depend on the facts and circumstances of the request</w:t>
      </w:r>
      <w:r>
        <w:t xml:space="preserve"> and</w:t>
      </w:r>
      <w:r w:rsidR="00971900" w:rsidRPr="002421E7">
        <w:t xml:space="preserve"> court</w:t>
      </w:r>
      <w:r>
        <w:t>s</w:t>
      </w:r>
      <w:r w:rsidR="00971900" w:rsidRPr="002421E7">
        <w:t xml:space="preserve"> will look at several factors to decide if a public office properly denied a r</w:t>
      </w:r>
      <w:r>
        <w:t>equest on this basis</w:t>
      </w:r>
      <w:r w:rsidR="00971900" w:rsidRPr="002421E7">
        <w:t>.</w:t>
      </w:r>
      <w:r>
        <w:t xml:space="preserve"> Courts have found that requests are overly broad when the requests sought:</w:t>
      </w:r>
    </w:p>
    <w:p w14:paraId="583DBA14" w14:textId="77777777" w:rsidR="002421E7" w:rsidRPr="002421E7" w:rsidRDefault="002421E7" w:rsidP="002421E7">
      <w:pPr>
        <w:spacing w:line="220" w:lineRule="exact"/>
        <w:ind w:left="360"/>
        <w:jc w:val="both"/>
      </w:pPr>
    </w:p>
    <w:p w14:paraId="161F80D6" w14:textId="23B92E88" w:rsidR="006A47ED" w:rsidRPr="002421E7" w:rsidRDefault="006A47ED" w:rsidP="002421E7">
      <w:pPr>
        <w:spacing w:line="220" w:lineRule="exact"/>
        <w:ind w:left="1080"/>
        <w:jc w:val="both"/>
      </w:pPr>
      <w:bookmarkStart w:id="34" w:name="_Hlk159510125"/>
      <w:r w:rsidRPr="002421E7">
        <w:t>•</w:t>
      </w:r>
      <w:r w:rsidRPr="002421E7">
        <w:tab/>
        <w:t>All records containing</w:t>
      </w:r>
      <w:r w:rsidR="00EF196B">
        <w:t xml:space="preserve"> certain</w:t>
      </w:r>
      <w:r w:rsidRPr="002421E7">
        <w:t xml:space="preserve"> names or words;</w:t>
      </w:r>
      <w:r w:rsidR="00971900" w:rsidRPr="002421E7">
        <w:rPr>
          <w:rStyle w:val="EndnoteReference"/>
        </w:rPr>
        <w:endnoteReference w:id="124"/>
      </w:r>
      <w:r w:rsidRPr="002421E7">
        <w:t xml:space="preserve"> </w:t>
      </w:r>
    </w:p>
    <w:p w14:paraId="114E6F3B" w14:textId="77777777" w:rsidR="00971900" w:rsidRPr="002421E7" w:rsidRDefault="00971900" w:rsidP="002421E7">
      <w:pPr>
        <w:spacing w:line="220" w:lineRule="exact"/>
        <w:ind w:left="1080"/>
        <w:jc w:val="both"/>
      </w:pPr>
    </w:p>
    <w:p w14:paraId="519E478A" w14:textId="43F6FC0F" w:rsidR="006A47ED" w:rsidRPr="002421E7" w:rsidRDefault="006A47ED" w:rsidP="002421E7">
      <w:pPr>
        <w:spacing w:line="220" w:lineRule="exact"/>
        <w:ind w:left="1440" w:hanging="360"/>
        <w:jc w:val="both"/>
      </w:pPr>
      <w:r w:rsidRPr="002421E7">
        <w:t>•</w:t>
      </w:r>
      <w:r w:rsidRPr="002421E7">
        <w:tab/>
      </w:r>
      <w:r w:rsidR="002421E7">
        <w:t>A complete d</w:t>
      </w:r>
      <w:r w:rsidRPr="002421E7">
        <w:t>uplication of all records having to do with a particular topic, or all records of a particular type;</w:t>
      </w:r>
      <w:r w:rsidR="00971900" w:rsidRPr="002421E7">
        <w:rPr>
          <w:rStyle w:val="EndnoteReference"/>
        </w:rPr>
        <w:endnoteReference w:id="125"/>
      </w:r>
      <w:r w:rsidRPr="002421E7">
        <w:t xml:space="preserve"> </w:t>
      </w:r>
    </w:p>
    <w:p w14:paraId="74F59A94" w14:textId="77777777" w:rsidR="00971900" w:rsidRPr="002421E7" w:rsidRDefault="00971900" w:rsidP="002421E7">
      <w:pPr>
        <w:spacing w:line="220" w:lineRule="exact"/>
        <w:ind w:left="1440" w:hanging="360"/>
        <w:jc w:val="both"/>
      </w:pPr>
    </w:p>
    <w:p w14:paraId="402B6302" w14:textId="7945CEE9" w:rsidR="006A47ED" w:rsidRPr="002421E7" w:rsidRDefault="006A47ED" w:rsidP="002421E7">
      <w:pPr>
        <w:spacing w:line="220" w:lineRule="exact"/>
        <w:ind w:left="1440" w:hanging="360"/>
        <w:jc w:val="both"/>
      </w:pPr>
      <w:r w:rsidRPr="002421E7">
        <w:lastRenderedPageBreak/>
        <w:t>•</w:t>
      </w:r>
      <w:r w:rsidRPr="002421E7">
        <w:tab/>
        <w:t>Every report filed with the public office for a particular time period (if the office does not organize records in that manner);</w:t>
      </w:r>
      <w:r w:rsidR="00971900" w:rsidRPr="002421E7">
        <w:rPr>
          <w:rStyle w:val="EndnoteReference"/>
        </w:rPr>
        <w:endnoteReference w:id="126"/>
      </w:r>
      <w:r w:rsidRPr="002421E7">
        <w:t xml:space="preserve"> </w:t>
      </w:r>
      <w:r w:rsidR="002421E7">
        <w:t xml:space="preserve">and </w:t>
      </w:r>
    </w:p>
    <w:p w14:paraId="3D9999FB" w14:textId="77777777" w:rsidR="00971900" w:rsidRPr="002421E7" w:rsidRDefault="00971900" w:rsidP="002421E7">
      <w:pPr>
        <w:spacing w:line="220" w:lineRule="exact"/>
        <w:ind w:left="1440" w:hanging="360"/>
        <w:jc w:val="both"/>
      </w:pPr>
    </w:p>
    <w:p w14:paraId="5B821074" w14:textId="6433D138" w:rsidR="006A47ED" w:rsidRPr="002421E7" w:rsidRDefault="006A47ED" w:rsidP="002421E7">
      <w:pPr>
        <w:spacing w:line="220" w:lineRule="exact"/>
        <w:ind w:left="1440" w:hanging="360"/>
        <w:jc w:val="both"/>
      </w:pPr>
      <w:r w:rsidRPr="002421E7">
        <w:t>•</w:t>
      </w:r>
      <w:r w:rsidRPr="002421E7">
        <w:tab/>
        <w:t>Discovery-style requests that seek all records relating to or reflecting certain types of information.</w:t>
      </w:r>
      <w:r w:rsidR="00971900" w:rsidRPr="002421E7">
        <w:rPr>
          <w:rStyle w:val="EndnoteReference"/>
        </w:rPr>
        <w:endnoteReference w:id="127"/>
      </w:r>
      <w:r w:rsidRPr="002421E7">
        <w:t xml:space="preserve"> </w:t>
      </w:r>
    </w:p>
    <w:bookmarkEnd w:id="34"/>
    <w:p w14:paraId="64AF32F2" w14:textId="77777777" w:rsidR="00971900" w:rsidRPr="002421E7" w:rsidRDefault="00971900" w:rsidP="002421E7">
      <w:pPr>
        <w:spacing w:line="220" w:lineRule="exact"/>
        <w:ind w:left="1440" w:hanging="360"/>
        <w:jc w:val="both"/>
      </w:pPr>
    </w:p>
    <w:p w14:paraId="4E33ECE9" w14:textId="5A1CC2E3" w:rsidR="006477B4" w:rsidRDefault="006A47ED" w:rsidP="006B3C4E">
      <w:pPr>
        <w:spacing w:line="220" w:lineRule="exact"/>
        <w:ind w:left="360"/>
        <w:jc w:val="both"/>
      </w:pPr>
      <w:r w:rsidRPr="002421E7">
        <w:t xml:space="preserve">Requesters </w:t>
      </w:r>
      <w:r w:rsidR="00935645">
        <w:t>may</w:t>
      </w:r>
      <w:r w:rsidRPr="002421E7">
        <w:t xml:space="preserve"> seek “all emails” of a public office. Requesters may limit the request to “all emails” between certain senders and recipients, “all emails” within a certain timeframe, or “all emails” with certain keywords. Whether these requests are overly broad depends upon the facts and circumstances of the request and must be analyzed on a case-by-case basis.</w:t>
      </w:r>
      <w:r w:rsidR="00971900" w:rsidRPr="002421E7">
        <w:rPr>
          <w:rStyle w:val="EndnoteReference"/>
        </w:rPr>
        <w:endnoteReference w:id="128"/>
      </w:r>
      <w:r w:rsidRPr="002421E7">
        <w:t xml:space="preserve">  A public office cannot, for example, categorically deny a request for “all emails” between two employees because the requester did not provide search terms.</w:t>
      </w:r>
      <w:r w:rsidR="00971900" w:rsidRPr="002421E7">
        <w:rPr>
          <w:rStyle w:val="EndnoteReference"/>
        </w:rPr>
        <w:endnoteReference w:id="129"/>
      </w:r>
    </w:p>
    <w:p w14:paraId="4C0A739E" w14:textId="74E832F1" w:rsidR="006B3C4E" w:rsidRDefault="00935645" w:rsidP="00B825D7">
      <w:pPr>
        <w:spacing w:before="120" w:line="220" w:lineRule="exact"/>
        <w:ind w:left="360"/>
        <w:jc w:val="both"/>
      </w:pPr>
      <w:r>
        <w:t>A</w:t>
      </w:r>
      <w:r w:rsidR="005D4449">
        <w:t xml:space="preserve"> public office waives its ability to assert in litigation that a request is overly broad if the public office failed to deny the request as overly broad when first responding to it.</w:t>
      </w:r>
      <w:r w:rsidR="005D4449">
        <w:rPr>
          <w:rStyle w:val="EndnoteReference"/>
        </w:rPr>
        <w:endnoteReference w:id="130"/>
      </w:r>
    </w:p>
    <w:p w14:paraId="70F21334" w14:textId="77777777" w:rsidR="00CC3906" w:rsidRDefault="00CC3906" w:rsidP="00B825D7">
      <w:pPr>
        <w:spacing w:before="120" w:line="220" w:lineRule="exact"/>
        <w:ind w:left="360"/>
        <w:jc w:val="both"/>
      </w:pPr>
    </w:p>
    <w:p w14:paraId="7C492791" w14:textId="3C75ED69" w:rsidR="00681BA7" w:rsidRDefault="006A47ED" w:rsidP="004F015A">
      <w:pPr>
        <w:pStyle w:val="Heading3"/>
        <w:ind w:left="2160" w:hanging="720"/>
      </w:pPr>
      <w:bookmarkStart w:id="35" w:name="_Toc159851453"/>
      <w:r>
        <w:t>6</w:t>
      </w:r>
      <w:r w:rsidR="00681BA7">
        <w:t>.</w:t>
      </w:r>
      <w:r w:rsidR="00681BA7">
        <w:tab/>
        <w:t>Denying, and then clarifying, an ambiguous or overly broad request</w:t>
      </w:r>
      <w:bookmarkEnd w:id="35"/>
    </w:p>
    <w:p w14:paraId="1D7FD459" w14:textId="771C8424" w:rsidR="00681BA7" w:rsidRDefault="00701AA1" w:rsidP="006B3C4E">
      <w:pPr>
        <w:spacing w:line="220" w:lineRule="exact"/>
        <w:ind w:left="360"/>
        <w:jc w:val="both"/>
      </w:pPr>
      <w:r>
        <w:t>A</w:t>
      </w:r>
      <w:r w:rsidR="00681BA7">
        <w:t xml:space="preserve"> public office </w:t>
      </w:r>
      <w:r>
        <w:t>may</w:t>
      </w:r>
      <w:r w:rsidR="00681BA7">
        <w:t xml:space="preserve"> deny any part of a public records request that is ambiguous or overly broad</w:t>
      </w:r>
      <w:r w:rsidR="008956D4">
        <w:t>,</w:t>
      </w:r>
      <w:r w:rsidR="00681BA7">
        <w:t xml:space="preserve"> as defined above.  However, the </w:t>
      </w:r>
      <w:r>
        <w:t xml:space="preserve">Public Records Act </w:t>
      </w:r>
      <w:r w:rsidR="00681BA7">
        <w:t>requires</w:t>
      </w:r>
      <w:r w:rsidR="001B051A">
        <w:t xml:space="preserve"> that</w:t>
      </w:r>
      <w:r w:rsidR="00681BA7">
        <w:t xml:space="preserve"> the public office give the requester the opportunity to revise the denied request, by informing the requester how the office ordinarily maintains and accesses its records.</w:t>
      </w:r>
      <w:r w:rsidR="00681BA7">
        <w:rPr>
          <w:rStyle w:val="EndnoteReference"/>
        </w:rPr>
        <w:endnoteReference w:id="131"/>
      </w:r>
      <w:r w:rsidR="00681BA7">
        <w:t xml:space="preserve">  </w:t>
      </w:r>
      <w:r w:rsidR="001B051A">
        <w:t>In this way</w:t>
      </w:r>
      <w:r w:rsidR="00681BA7">
        <w:t xml:space="preserve">, the Public Records Act expressly promotes cooperation to clarify and narrow requests that are ambiguous or overly broad, </w:t>
      </w:r>
      <w:r w:rsidR="00E60C5A">
        <w:t>to</w:t>
      </w:r>
      <w:r w:rsidR="00681BA7">
        <w:t xml:space="preserve"> craft a successful, revised request.</w:t>
      </w:r>
    </w:p>
    <w:p w14:paraId="4C0218BF" w14:textId="77777777" w:rsidR="00681BA7" w:rsidRDefault="00681BA7">
      <w:pPr>
        <w:spacing w:line="220" w:lineRule="exact"/>
        <w:ind w:left="360"/>
        <w:jc w:val="both"/>
      </w:pPr>
    </w:p>
    <w:p w14:paraId="3655792E" w14:textId="2EE37AA9" w:rsidR="005D4449" w:rsidRDefault="00681BA7" w:rsidP="002421E7">
      <w:pPr>
        <w:spacing w:line="220" w:lineRule="exact"/>
        <w:ind w:left="360"/>
        <w:jc w:val="both"/>
      </w:pPr>
      <w:r>
        <w:t>The public office can inform the requester how the office ordinarily maintains and accesses records through a verbal or written explanation.</w:t>
      </w:r>
      <w:r>
        <w:rPr>
          <w:rStyle w:val="EndnoteReference"/>
        </w:rPr>
        <w:endnoteReference w:id="132"/>
      </w:r>
      <w:r>
        <w:t xml:space="preserve">  Giving the requester a copy of the public office’s relevant records retention schedules can be a helpful starting point in explaining the office’s records organization and access.</w:t>
      </w:r>
      <w:r>
        <w:rPr>
          <w:rStyle w:val="EndnoteReference"/>
        </w:rPr>
        <w:endnoteReference w:id="133"/>
      </w:r>
      <w:r>
        <w:t xml:space="preserve">  Retention schedules categorize records based on how they are used and the purpose they serve, and well-drafted schedules provide details of record subcategories, content, and duration, </w:t>
      </w:r>
      <w:r w:rsidR="008956D4">
        <w:t xml:space="preserve">all of </w:t>
      </w:r>
      <w:r>
        <w:t xml:space="preserve">which can help a requester revise and narrow the request.  Ohio courts </w:t>
      </w:r>
      <w:r w:rsidR="00E60C5A">
        <w:t>look</w:t>
      </w:r>
      <w:r>
        <w:t xml:space="preserve"> favorably </w:t>
      </w:r>
      <w:r w:rsidR="00E60C5A">
        <w:t xml:space="preserve">at </w:t>
      </w:r>
      <w:r>
        <w:t xml:space="preserve">an office’s invitation to discuss revision of an overly broad request as </w:t>
      </w:r>
      <w:r w:rsidR="00D52F57">
        <w:t>evidence</w:t>
      </w:r>
      <w:r>
        <w:t xml:space="preserve"> supporting compliance</w:t>
      </w:r>
      <w:r w:rsidR="00D52F57">
        <w:t xml:space="preserve"> with the Public Records Act</w:t>
      </w:r>
      <w:r>
        <w:t>.</w:t>
      </w:r>
      <w:r>
        <w:rPr>
          <w:rStyle w:val="EndnoteReference"/>
        </w:rPr>
        <w:endnoteReference w:id="134"/>
      </w:r>
    </w:p>
    <w:p w14:paraId="7C9E22EE" w14:textId="77777777" w:rsidR="00CC3906" w:rsidRDefault="00CC3906" w:rsidP="002421E7">
      <w:pPr>
        <w:spacing w:line="220" w:lineRule="exact"/>
        <w:ind w:left="360"/>
        <w:jc w:val="both"/>
      </w:pPr>
    </w:p>
    <w:p w14:paraId="443C9B70" w14:textId="7BB9128E" w:rsidR="00681BA7" w:rsidRDefault="00D759A1" w:rsidP="00322085">
      <w:pPr>
        <w:pStyle w:val="Heading3"/>
      </w:pPr>
      <w:bookmarkStart w:id="36" w:name="_Toc159851454"/>
      <w:r>
        <w:t>7</w:t>
      </w:r>
      <w:r w:rsidR="00681BA7">
        <w:t>.</w:t>
      </w:r>
      <w:r w:rsidR="00681BA7">
        <w:tab/>
        <w:t xml:space="preserve">Unless a specific law provides otherwise, requests can be for any </w:t>
      </w:r>
      <w:r w:rsidR="00CC3906">
        <w:tab/>
      </w:r>
      <w:r w:rsidR="00CC3906">
        <w:tab/>
      </w:r>
      <w:r w:rsidR="00681BA7">
        <w:t xml:space="preserve">purpose, and need not identify the requester or be made in </w:t>
      </w:r>
      <w:r w:rsidR="00CC3906">
        <w:tab/>
      </w:r>
      <w:r w:rsidR="00CC3906">
        <w:tab/>
      </w:r>
      <w:r w:rsidR="00CC3906">
        <w:tab/>
      </w:r>
      <w:r w:rsidR="00681BA7">
        <w:t>writing</w:t>
      </w:r>
      <w:bookmarkEnd w:id="36"/>
    </w:p>
    <w:p w14:paraId="6423F63F" w14:textId="1316BDDE" w:rsidR="00681BA7" w:rsidRDefault="00681BA7">
      <w:pPr>
        <w:spacing w:line="220" w:lineRule="exact"/>
        <w:ind w:left="360"/>
        <w:jc w:val="both"/>
      </w:pPr>
      <w:r>
        <w:t>A public records request does not need to be in writing or identify the person making the request.</w:t>
      </w:r>
      <w:r>
        <w:rPr>
          <w:rStyle w:val="EndnoteReference"/>
        </w:rPr>
        <w:endnoteReference w:id="135"/>
      </w:r>
      <w:r>
        <w:t xml:space="preserve">  If the request is verbal, it is recommended that the public employee receiving the request write down the complete request and confirm the wording with the requester to </w:t>
      </w:r>
      <w:r w:rsidR="001B051A">
        <w:t>en</w:t>
      </w:r>
      <w:r>
        <w:t xml:space="preserve">sure accuracy.  In most circumstances, the Public Records Act </w:t>
      </w:r>
      <w:r w:rsidR="00B825D7">
        <w:t xml:space="preserve">does not </w:t>
      </w:r>
      <w:r>
        <w:t>require</w:t>
      </w:r>
      <w:r w:rsidR="00B825D7">
        <w:t xml:space="preserve"> that a</w:t>
      </w:r>
      <w:r>
        <w:t xml:space="preserve"> requester specify the reason for the request</w:t>
      </w:r>
      <w:r>
        <w:rPr>
          <w:rStyle w:val="EndnoteReference"/>
        </w:rPr>
        <w:endnoteReference w:id="136"/>
      </w:r>
      <w:r>
        <w:t xml:space="preserve"> </w:t>
      </w:r>
      <w:r w:rsidR="00B825D7">
        <w:t>or</w:t>
      </w:r>
      <w:r>
        <w:t xml:space="preserve"> use </w:t>
      </w:r>
      <w:r w:rsidR="00701AA1">
        <w:t>specific</w:t>
      </w:r>
      <w:r>
        <w:t xml:space="preserve"> word</w:t>
      </w:r>
      <w:r w:rsidR="00701AA1">
        <w:t>s or language</w:t>
      </w:r>
      <w:r>
        <w:t xml:space="preserve"> to make a request.</w:t>
      </w:r>
      <w:r>
        <w:rPr>
          <w:rStyle w:val="EndnoteReference"/>
        </w:rPr>
        <w:endnoteReference w:id="137"/>
      </w:r>
      <w:r>
        <w:t xml:space="preserve">  Any requirement by the public office that the requester disclose his or her identity or the intended use of the requested public record constitutes a denial of the request.</w:t>
      </w:r>
      <w:r>
        <w:rPr>
          <w:rStyle w:val="EndnoteReference"/>
        </w:rPr>
        <w:endnoteReference w:id="138"/>
      </w:r>
    </w:p>
    <w:p w14:paraId="60BE1CD6" w14:textId="77777777" w:rsidR="00CC3906" w:rsidRDefault="00CC3906">
      <w:pPr>
        <w:spacing w:line="220" w:lineRule="exact"/>
        <w:ind w:left="360"/>
        <w:jc w:val="both"/>
      </w:pPr>
    </w:p>
    <w:p w14:paraId="47100ED0" w14:textId="77777777" w:rsidR="00CC3906" w:rsidRDefault="00CC3906">
      <w:pPr>
        <w:spacing w:line="220" w:lineRule="exact"/>
        <w:ind w:left="360"/>
        <w:jc w:val="both"/>
      </w:pPr>
    </w:p>
    <w:p w14:paraId="1C755CD3" w14:textId="77777777" w:rsidR="00CC3906" w:rsidRDefault="00CC3906">
      <w:pPr>
        <w:spacing w:line="220" w:lineRule="exact"/>
        <w:ind w:left="360"/>
        <w:jc w:val="both"/>
      </w:pPr>
    </w:p>
    <w:p w14:paraId="38B440CE" w14:textId="77777777" w:rsidR="00CC3906" w:rsidRDefault="00CC3906">
      <w:pPr>
        <w:spacing w:line="220" w:lineRule="exact"/>
        <w:ind w:left="360"/>
        <w:jc w:val="both"/>
      </w:pPr>
    </w:p>
    <w:p w14:paraId="52AAB191" w14:textId="2C5D1603" w:rsidR="00681BA7" w:rsidRDefault="00D759A1" w:rsidP="00322085">
      <w:pPr>
        <w:pStyle w:val="Heading3"/>
      </w:pPr>
      <w:bookmarkStart w:id="37" w:name="_Toc159851455"/>
      <w:r>
        <w:lastRenderedPageBreak/>
        <w:t>8</w:t>
      </w:r>
      <w:r w:rsidR="00681BA7">
        <w:t>.</w:t>
      </w:r>
      <w:r w:rsidR="00681BA7">
        <w:tab/>
        <w:t xml:space="preserve">Optional negotiation when identity, purpose, or request in </w:t>
      </w:r>
      <w:r w:rsidR="00CC3906">
        <w:tab/>
      </w:r>
      <w:r w:rsidR="00CC3906">
        <w:tab/>
      </w:r>
      <w:r w:rsidR="00CC3906">
        <w:tab/>
      </w:r>
      <w:r w:rsidR="00681BA7">
        <w:t xml:space="preserve">writing would assist identifying, locating, or delivering </w:t>
      </w:r>
      <w:r w:rsidR="00CC3906">
        <w:tab/>
      </w:r>
      <w:r w:rsidR="00CC3906">
        <w:tab/>
      </w:r>
      <w:r w:rsidR="00CC3906">
        <w:tab/>
      </w:r>
      <w:r w:rsidR="00CC3906">
        <w:tab/>
      </w:r>
      <w:r w:rsidR="00681BA7">
        <w:t>requested records</w:t>
      </w:r>
      <w:bookmarkEnd w:id="37"/>
    </w:p>
    <w:p w14:paraId="70080CD4" w14:textId="4FA824C7" w:rsidR="00822D48" w:rsidRDefault="00822D48" w:rsidP="009966FC">
      <w:pPr>
        <w:spacing w:line="220" w:lineRule="exact"/>
        <w:ind w:left="360"/>
        <w:jc w:val="both"/>
      </w:pPr>
      <w:r>
        <w:t>I</w:t>
      </w:r>
      <w:r w:rsidR="00E32A00">
        <w:t xml:space="preserve">f </w:t>
      </w:r>
      <w:r w:rsidR="00681BA7">
        <w:t xml:space="preserve">a public office believes that </w:t>
      </w:r>
      <w:r w:rsidR="005D4449">
        <w:t>(</w:t>
      </w:r>
      <w:r w:rsidR="00681BA7">
        <w:t xml:space="preserve">1) </w:t>
      </w:r>
      <w:r w:rsidR="00E32A00">
        <w:t>having a request in writing,</w:t>
      </w:r>
      <w:r w:rsidR="00681BA7">
        <w:t xml:space="preserve"> </w:t>
      </w:r>
      <w:r w:rsidR="005D4449">
        <w:t>(</w:t>
      </w:r>
      <w:r w:rsidR="00681BA7">
        <w:t xml:space="preserve">2) knowing the intended use of the information, or </w:t>
      </w:r>
      <w:r w:rsidR="005D4449">
        <w:t>(</w:t>
      </w:r>
      <w:r w:rsidR="00681BA7">
        <w:t xml:space="preserve">3) knowing the requester’s identity would benefit the requester by enhancing the ability of the public office to identify, locate, or deliver the requested records, the public office </w:t>
      </w:r>
      <w:r>
        <w:t xml:space="preserve">may </w:t>
      </w:r>
      <w:r w:rsidR="00681BA7">
        <w:t>ask if the requester is willing to provide that information to assist the public office in fulfilling the request.</w:t>
      </w:r>
      <w:r w:rsidR="00681BA7">
        <w:rPr>
          <w:rStyle w:val="EndnoteReference"/>
        </w:rPr>
        <w:endnoteReference w:id="139"/>
      </w:r>
      <w:r w:rsidR="00681BA7">
        <w:t xml:space="preserve"> </w:t>
      </w:r>
      <w:r w:rsidR="008956D4">
        <w:t xml:space="preserve"> </w:t>
      </w:r>
      <w:r>
        <w:t>However, the public office must first inform the requester that giving this information is not mandatory.</w:t>
      </w:r>
      <w:r w:rsidR="00681BA7">
        <w:t xml:space="preserve"> </w:t>
      </w:r>
      <w:r w:rsidR="008956D4">
        <w:t xml:space="preserve"> </w:t>
      </w:r>
      <w:r w:rsidR="00681BA7">
        <w:t>As with the negotiation required for an ambiguous or overly broad request, this optional negotiati</w:t>
      </w:r>
      <w:r>
        <w:t>o</w:t>
      </w:r>
      <w:r w:rsidR="00681BA7">
        <w:t xml:space="preserve">n </w:t>
      </w:r>
      <w:r w:rsidR="00D52F57">
        <w:t xml:space="preserve">tool </w:t>
      </w:r>
      <w:r w:rsidR="00681BA7">
        <w:t xml:space="preserve">regarding purpose, identity, or writing can promote cooperation and efficiency.  </w:t>
      </w:r>
      <w:r w:rsidR="00681BA7">
        <w:rPr>
          <w:i/>
        </w:rPr>
        <w:t>Reminder</w:t>
      </w:r>
      <w:r w:rsidR="00681BA7">
        <w:t xml:space="preserve">: Before asking for the information, the public office must let a requester know that he or she may decline </w:t>
      </w:r>
      <w:r w:rsidR="007B6355">
        <w:t>to share the information.</w:t>
      </w:r>
    </w:p>
    <w:p w14:paraId="2F4EEAD3" w14:textId="77777777" w:rsidR="00CC3906" w:rsidRDefault="00CC3906" w:rsidP="009966FC">
      <w:pPr>
        <w:spacing w:line="220" w:lineRule="exact"/>
        <w:ind w:left="360"/>
        <w:jc w:val="both"/>
      </w:pPr>
    </w:p>
    <w:p w14:paraId="159F2804" w14:textId="5D9BFEBA" w:rsidR="00681BA7" w:rsidRDefault="00D759A1" w:rsidP="00322085">
      <w:pPr>
        <w:pStyle w:val="Heading3"/>
      </w:pPr>
      <w:bookmarkStart w:id="38" w:name="_Toc159851456"/>
      <w:r>
        <w:t>9</w:t>
      </w:r>
      <w:r w:rsidR="00681BA7">
        <w:t>.</w:t>
      </w:r>
      <w:r w:rsidR="00681BA7">
        <w:tab/>
        <w:t>Requester can choose media on which copies are made</w:t>
      </w:r>
      <w:bookmarkEnd w:id="38"/>
    </w:p>
    <w:p w14:paraId="39F109F6" w14:textId="52FE20F3" w:rsidR="00CD076A" w:rsidRDefault="00681BA7" w:rsidP="009966FC">
      <w:pPr>
        <w:spacing w:line="220" w:lineRule="exact"/>
        <w:ind w:left="360"/>
        <w:jc w:val="both"/>
      </w:pPr>
      <w:r>
        <w:t>A requester may specify whether he or she would like to inspect the records or obtain copies.</w:t>
      </w:r>
      <w:r>
        <w:rPr>
          <w:rStyle w:val="EndnoteReference"/>
        </w:rPr>
        <w:endnoteReference w:id="140"/>
      </w:r>
      <w:r>
        <w:t xml:space="preserve">  If the requester asks for copies, he or she has the right to choose the copy medium (paper, film, electronic file, etc.).</w:t>
      </w:r>
      <w:r>
        <w:rPr>
          <w:rStyle w:val="EndnoteReference"/>
        </w:rPr>
        <w:endnoteReference w:id="141"/>
      </w:r>
      <w:r>
        <w:t xml:space="preserve">  The requester can choose to have the record copied: (1) on paper, (2) in the same medium as the public office keeps them,</w:t>
      </w:r>
      <w:r>
        <w:rPr>
          <w:rStyle w:val="EndnoteReference"/>
        </w:rPr>
        <w:endnoteReference w:id="142"/>
      </w:r>
      <w:r>
        <w:t xml:space="preserve"> or (3) on any medium upon which the public office or person responsible for the public records determines the record “reasonably</w:t>
      </w:r>
      <w:r w:rsidR="00E32A00">
        <w:t xml:space="preserve"> can</w:t>
      </w:r>
      <w:r>
        <w:t xml:space="preserve"> be duplicated as an integral part of the normal operations of the public office.”</w:t>
      </w:r>
      <w:r>
        <w:rPr>
          <w:rStyle w:val="EndnoteReference"/>
        </w:rPr>
        <w:endnoteReference w:id="143"/>
      </w:r>
      <w:r>
        <w:t xml:space="preserve">  The public office may charge the requester the actual cost of copies made and may require payment of copying costs in advance.</w:t>
      </w:r>
      <w:r>
        <w:rPr>
          <w:rStyle w:val="EndnoteReference"/>
        </w:rPr>
        <w:endnoteReference w:id="144"/>
      </w:r>
    </w:p>
    <w:p w14:paraId="7A42DEA5" w14:textId="77777777" w:rsidR="003B1BE3" w:rsidRPr="003B1BE3" w:rsidRDefault="003B1BE3" w:rsidP="002421E7">
      <w:pPr>
        <w:spacing w:line="220" w:lineRule="exact"/>
        <w:ind w:left="360"/>
        <w:jc w:val="both"/>
      </w:pPr>
    </w:p>
    <w:p w14:paraId="6F18020C" w14:textId="65BD3C51" w:rsidR="00681BA7" w:rsidRDefault="00D759A1" w:rsidP="00322085">
      <w:pPr>
        <w:pStyle w:val="Heading3"/>
      </w:pPr>
      <w:bookmarkStart w:id="39" w:name="_Toc159851457"/>
      <w:r>
        <w:t>10</w:t>
      </w:r>
      <w:r w:rsidR="00681BA7">
        <w:t>.</w:t>
      </w:r>
      <w:r w:rsidR="00681BA7">
        <w:tab/>
        <w:t xml:space="preserve">Requester can choose pick-up, delivery, or transmission of </w:t>
      </w:r>
      <w:r w:rsidR="00CC3906">
        <w:tab/>
      </w:r>
      <w:r w:rsidR="00CC3906">
        <w:tab/>
      </w:r>
      <w:r w:rsidR="00CC3906">
        <w:tab/>
      </w:r>
      <w:r w:rsidR="00681BA7">
        <w:t>copies; public office may charge delivery costs</w:t>
      </w:r>
      <w:bookmarkEnd w:id="39"/>
    </w:p>
    <w:p w14:paraId="3039521A" w14:textId="5E9A7A33" w:rsidR="00822D48" w:rsidRDefault="00681BA7" w:rsidP="003B1BE3">
      <w:pPr>
        <w:spacing w:line="220" w:lineRule="exact"/>
        <w:ind w:left="360"/>
        <w:jc w:val="both"/>
      </w:pPr>
      <w:r>
        <w:t xml:space="preserve">A requester may personally pick up copies of </w:t>
      </w:r>
      <w:r w:rsidR="00822D48">
        <w:t xml:space="preserve">requested </w:t>
      </w:r>
      <w:r>
        <w:t>public records or may send a designee.</w:t>
      </w:r>
      <w:r>
        <w:rPr>
          <w:rStyle w:val="EndnoteReference"/>
        </w:rPr>
        <w:endnoteReference w:id="145"/>
      </w:r>
      <w:r>
        <w:t xml:space="preserve">  Upon request, a public office must transmit copies of public records via the U.S. mail “or by any other means of delivery or transmission,” at the choice of the requester.</w:t>
      </w:r>
      <w:r>
        <w:rPr>
          <w:rStyle w:val="EndnoteReference"/>
        </w:rPr>
        <w:endnoteReference w:id="146"/>
      </w:r>
      <w:r>
        <w:t xml:space="preserve">  Although a public office has no duty to post public records online, if a requester lists posting on the office’s website as a satisfactory alternative to providing copies, then the public office has complied when it posts the requested records online.</w:t>
      </w:r>
      <w:r>
        <w:rPr>
          <w:rStyle w:val="EndnoteReference"/>
        </w:rPr>
        <w:endnoteReference w:id="147"/>
      </w:r>
      <w:r>
        <w:t xml:space="preserve">  Posting records online, however, does not satisfy a request for copies of those records.</w:t>
      </w:r>
      <w:r>
        <w:rPr>
          <w:rStyle w:val="EndnoteReference"/>
        </w:rPr>
        <w:endnoteReference w:id="148"/>
      </w:r>
      <w:r>
        <w:t xml:space="preserve">  The public office may require prepayment of postage or other actual delivery costs, as well as the actual cost of supplies used in mailing, delivery, or transmission.</w:t>
      </w:r>
      <w:r>
        <w:rPr>
          <w:rStyle w:val="EndnoteReference"/>
        </w:rPr>
        <w:endnoteReference w:id="149"/>
      </w:r>
      <w:r>
        <w:t xml:space="preserve">  (</w:t>
      </w:r>
      <w:r w:rsidRPr="001235DC">
        <w:rPr>
          <w:i/>
        </w:rPr>
        <w:t xml:space="preserve">See </w:t>
      </w:r>
      <w:r>
        <w:t>paragraph 12 below for “costs” detail).</w:t>
      </w:r>
    </w:p>
    <w:p w14:paraId="0809E445" w14:textId="77777777" w:rsidR="00CC3906" w:rsidRDefault="00CC3906" w:rsidP="003B1BE3">
      <w:pPr>
        <w:spacing w:line="220" w:lineRule="exact"/>
        <w:ind w:left="360"/>
        <w:jc w:val="both"/>
      </w:pPr>
    </w:p>
    <w:p w14:paraId="12DBF6F6" w14:textId="74E8239C" w:rsidR="00681BA7" w:rsidRDefault="00681BA7" w:rsidP="00322085">
      <w:pPr>
        <w:pStyle w:val="Heading3"/>
      </w:pPr>
      <w:bookmarkStart w:id="40" w:name="_Toc159851458"/>
      <w:r>
        <w:t>1</w:t>
      </w:r>
      <w:r w:rsidR="00D759A1">
        <w:t>1</w:t>
      </w:r>
      <w:r>
        <w:t>.</w:t>
      </w:r>
      <w:r>
        <w:tab/>
        <w:t>Prompt inspection, or copies within a reasonable period of time</w:t>
      </w:r>
      <w:bookmarkEnd w:id="40"/>
    </w:p>
    <w:p w14:paraId="1B9E0074" w14:textId="17205E44" w:rsidR="00681BA7" w:rsidRDefault="00681BA7">
      <w:pPr>
        <w:spacing w:line="220" w:lineRule="exact"/>
        <w:ind w:left="360"/>
        <w:jc w:val="both"/>
      </w:pPr>
      <w:r>
        <w:t xml:space="preserve">There is no predetermined time for responding to a public records request. </w:t>
      </w:r>
      <w:r w:rsidR="00D92A32">
        <w:t xml:space="preserve"> </w:t>
      </w:r>
      <w:r w:rsidR="00822D48">
        <w:t>If the requester wants to inspect records, the records must be “promptly” prepared for inspection,</w:t>
      </w:r>
      <w:r>
        <w:rPr>
          <w:rStyle w:val="EndnoteReference"/>
        </w:rPr>
        <w:endnoteReference w:id="150"/>
      </w:r>
      <w:r>
        <w:t xml:space="preserve"> </w:t>
      </w:r>
      <w:r w:rsidR="00822D48">
        <w:t xml:space="preserve">which </w:t>
      </w:r>
      <w:r>
        <w:t>has been interpreted by the courts as being “without delay” and “with reasonable speed.”</w:t>
      </w:r>
      <w:r>
        <w:rPr>
          <w:rStyle w:val="EndnoteReference"/>
        </w:rPr>
        <w:endnoteReference w:id="151"/>
      </w:r>
      <w:r>
        <w:t xml:space="preserve">  </w:t>
      </w:r>
      <w:r w:rsidR="00822D48">
        <w:t xml:space="preserve">If the requester wants copies of records, the public office must produce the </w:t>
      </w:r>
      <w:r>
        <w:t>records in a “reasonable period of time.”</w:t>
      </w:r>
      <w:r>
        <w:rPr>
          <w:rStyle w:val="EndnoteReference"/>
        </w:rPr>
        <w:endnoteReference w:id="152"/>
      </w:r>
      <w:r>
        <w:t xml:space="preserve">  The reasonableness of the </w:t>
      </w:r>
      <w:r w:rsidR="00822D48">
        <w:t xml:space="preserve">response </w:t>
      </w:r>
      <w:r>
        <w:t>time depends on the facts and circumstances of the particular request.</w:t>
      </w:r>
      <w:r>
        <w:rPr>
          <w:rStyle w:val="EndnoteReference"/>
        </w:rPr>
        <w:endnoteReference w:id="153"/>
      </w:r>
      <w:r>
        <w:t xml:space="preserve">  These terms do not mean “immediately,” or “without a moment’s delay,”</w:t>
      </w:r>
      <w:r>
        <w:rPr>
          <w:rStyle w:val="EndnoteReference"/>
        </w:rPr>
        <w:endnoteReference w:id="154"/>
      </w:r>
      <w:r>
        <w:t xml:space="preserve"> but the courts will find a violation of this requirement when an office cannot show that the</w:t>
      </w:r>
      <w:r w:rsidR="00822D48">
        <w:t xml:space="preserve"> response</w:t>
      </w:r>
      <w:r>
        <w:t xml:space="preserve"> time was reasonable.</w:t>
      </w:r>
      <w:r>
        <w:rPr>
          <w:rStyle w:val="EndnoteReference"/>
        </w:rPr>
        <w:endnoteReference w:id="155"/>
      </w:r>
      <w:r>
        <w:t xml:space="preserve">  Time spent on the following response tasks may </w:t>
      </w:r>
      <w:r w:rsidR="00D4661C">
        <w:t>factor in</w:t>
      </w:r>
      <w:r>
        <w:t xml:space="preserve"> what is “prompt” or “reasonable” </w:t>
      </w:r>
      <w:r w:rsidR="007B6355">
        <w:t>under the circumstances</w:t>
      </w:r>
      <w:r>
        <w:t>:</w:t>
      </w:r>
    </w:p>
    <w:p w14:paraId="5618F091" w14:textId="2C3301C3" w:rsidR="006B3C4E" w:rsidRPr="00D4661C" w:rsidRDefault="006B3C4E" w:rsidP="006B3C4E">
      <w:pPr>
        <w:spacing w:before="120" w:after="120" w:line="220" w:lineRule="exact"/>
        <w:ind w:left="1440" w:hanging="360"/>
        <w:jc w:val="both"/>
        <w:rPr>
          <w:bCs/>
        </w:rPr>
      </w:pPr>
      <w:r w:rsidRPr="002421E7">
        <w:t>•</w:t>
      </w:r>
      <w:r>
        <w:tab/>
      </w:r>
      <w:r w:rsidR="00681BA7" w:rsidRPr="00D4661C">
        <w:rPr>
          <w:bCs/>
        </w:rPr>
        <w:t xml:space="preserve">Identification of </w:t>
      </w:r>
      <w:r w:rsidRPr="00D4661C">
        <w:rPr>
          <w:bCs/>
        </w:rPr>
        <w:t>r</w:t>
      </w:r>
      <w:r w:rsidR="00681BA7" w:rsidRPr="00D4661C">
        <w:rPr>
          <w:bCs/>
        </w:rPr>
        <w:t xml:space="preserve">esponsive </w:t>
      </w:r>
      <w:r w:rsidRPr="00D4661C">
        <w:rPr>
          <w:bCs/>
        </w:rPr>
        <w:t>r</w:t>
      </w:r>
      <w:r w:rsidR="00681BA7" w:rsidRPr="00D4661C">
        <w:rPr>
          <w:bCs/>
        </w:rPr>
        <w:t>ecords:</w:t>
      </w:r>
      <w:r w:rsidRPr="00D4661C">
        <w:rPr>
          <w:bCs/>
        </w:rPr>
        <w:t xml:space="preserve"> the time it takes to c</w:t>
      </w:r>
      <w:r w:rsidR="00681BA7" w:rsidRPr="00D4661C">
        <w:rPr>
          <w:bCs/>
        </w:rPr>
        <w:t>larify or revise request</w:t>
      </w:r>
      <w:r w:rsidRPr="00D4661C">
        <w:rPr>
          <w:bCs/>
        </w:rPr>
        <w:t>,</w:t>
      </w:r>
      <w:r w:rsidR="00681BA7" w:rsidRPr="00D4661C">
        <w:rPr>
          <w:rStyle w:val="EndnoteReference"/>
          <w:bCs/>
        </w:rPr>
        <w:endnoteReference w:id="156"/>
      </w:r>
      <w:r w:rsidR="00681BA7" w:rsidRPr="00D4661C">
        <w:rPr>
          <w:bCs/>
        </w:rPr>
        <w:t xml:space="preserve"> </w:t>
      </w:r>
      <w:r w:rsidRPr="00D4661C">
        <w:rPr>
          <w:bCs/>
        </w:rPr>
        <w:t>or i</w:t>
      </w:r>
      <w:r w:rsidR="00681BA7" w:rsidRPr="00D4661C">
        <w:rPr>
          <w:bCs/>
        </w:rPr>
        <w:t>dentify records.</w:t>
      </w:r>
      <w:r w:rsidR="00681BA7" w:rsidRPr="00D4661C">
        <w:rPr>
          <w:rStyle w:val="EndnoteReference"/>
          <w:bCs/>
        </w:rPr>
        <w:endnoteReference w:id="157"/>
      </w:r>
    </w:p>
    <w:p w14:paraId="659DDB9D" w14:textId="529F3AFC" w:rsidR="006B3C4E" w:rsidRPr="00D4661C" w:rsidRDefault="006B3C4E" w:rsidP="006B3C4E">
      <w:pPr>
        <w:spacing w:before="120" w:after="120" w:line="220" w:lineRule="exact"/>
        <w:ind w:left="1440" w:hanging="360"/>
        <w:jc w:val="both"/>
        <w:rPr>
          <w:bCs/>
        </w:rPr>
      </w:pPr>
      <w:r w:rsidRPr="00D4661C">
        <w:rPr>
          <w:bCs/>
        </w:rPr>
        <w:t>•</w:t>
      </w:r>
      <w:r w:rsidRPr="00D4661C">
        <w:rPr>
          <w:bCs/>
        </w:rPr>
        <w:tab/>
      </w:r>
      <w:r w:rsidR="00681BA7" w:rsidRPr="00D4661C">
        <w:rPr>
          <w:bCs/>
        </w:rPr>
        <w:t xml:space="preserve">Location and </w:t>
      </w:r>
      <w:r w:rsidRPr="00D4661C">
        <w:rPr>
          <w:bCs/>
        </w:rPr>
        <w:t>r</w:t>
      </w:r>
      <w:r w:rsidR="00681BA7" w:rsidRPr="00D4661C">
        <w:rPr>
          <w:bCs/>
        </w:rPr>
        <w:t>etrieval:</w:t>
      </w:r>
      <w:r w:rsidRPr="00D4661C">
        <w:rPr>
          <w:bCs/>
        </w:rPr>
        <w:t xml:space="preserve"> the time it takes to l</w:t>
      </w:r>
      <w:r w:rsidR="00681BA7" w:rsidRPr="00D4661C">
        <w:rPr>
          <w:bCs/>
        </w:rPr>
        <w:t>ocate records</w:t>
      </w:r>
      <w:r w:rsidR="00681BA7" w:rsidRPr="00D4661C">
        <w:rPr>
          <w:rStyle w:val="EndnoteReference"/>
          <w:bCs/>
        </w:rPr>
        <w:endnoteReference w:id="158"/>
      </w:r>
      <w:r w:rsidR="00681BA7" w:rsidRPr="00D4661C">
        <w:rPr>
          <w:bCs/>
        </w:rPr>
        <w:t xml:space="preserve"> and retrieve from storage location</w:t>
      </w:r>
      <w:r w:rsidR="007B6355" w:rsidRPr="00D4661C">
        <w:rPr>
          <w:bCs/>
        </w:rPr>
        <w:t xml:space="preserve"> (</w:t>
      </w:r>
      <w:r w:rsidR="00681BA7" w:rsidRPr="00D4661C">
        <w:rPr>
          <w:bCs/>
        </w:rPr>
        <w:t>e.g., file cabinet, branch office, off-site storage facility</w:t>
      </w:r>
      <w:r w:rsidR="007B6355" w:rsidRPr="00D4661C">
        <w:rPr>
          <w:bCs/>
        </w:rPr>
        <w:t>, etc</w:t>
      </w:r>
      <w:r w:rsidRPr="00D4661C">
        <w:rPr>
          <w:bCs/>
        </w:rPr>
        <w:t>.</w:t>
      </w:r>
      <w:r w:rsidR="007B6355" w:rsidRPr="00D4661C">
        <w:rPr>
          <w:bCs/>
        </w:rPr>
        <w:t>)</w:t>
      </w:r>
      <w:r w:rsidR="00681BA7" w:rsidRPr="00D4661C">
        <w:rPr>
          <w:bCs/>
        </w:rPr>
        <w:t>.</w:t>
      </w:r>
    </w:p>
    <w:p w14:paraId="5405E04B" w14:textId="699AD286" w:rsidR="006B3C4E" w:rsidRPr="00D4661C" w:rsidRDefault="006B3C4E" w:rsidP="006B3C4E">
      <w:pPr>
        <w:spacing w:before="120" w:after="120" w:line="220" w:lineRule="exact"/>
        <w:ind w:left="1440" w:hanging="360"/>
        <w:jc w:val="both"/>
        <w:rPr>
          <w:bCs/>
        </w:rPr>
      </w:pPr>
      <w:r w:rsidRPr="00D4661C">
        <w:rPr>
          <w:bCs/>
        </w:rPr>
        <w:lastRenderedPageBreak/>
        <w:t>•</w:t>
      </w:r>
      <w:r w:rsidRPr="00D4661C">
        <w:rPr>
          <w:bCs/>
        </w:rPr>
        <w:tab/>
      </w:r>
      <w:r w:rsidR="00681BA7" w:rsidRPr="00D4661C">
        <w:rPr>
          <w:bCs/>
        </w:rPr>
        <w:t xml:space="preserve">Review, </w:t>
      </w:r>
      <w:r w:rsidRPr="00D4661C">
        <w:rPr>
          <w:bCs/>
        </w:rPr>
        <w:t>a</w:t>
      </w:r>
      <w:r w:rsidR="00681BA7" w:rsidRPr="00D4661C">
        <w:rPr>
          <w:bCs/>
        </w:rPr>
        <w:t xml:space="preserve">nalysis, and </w:t>
      </w:r>
      <w:r w:rsidRPr="00D4661C">
        <w:rPr>
          <w:bCs/>
        </w:rPr>
        <w:t>r</w:t>
      </w:r>
      <w:r w:rsidR="00681BA7" w:rsidRPr="00D4661C">
        <w:rPr>
          <w:bCs/>
        </w:rPr>
        <w:t>edaction:</w:t>
      </w:r>
      <w:r w:rsidRPr="00D4661C">
        <w:rPr>
          <w:bCs/>
        </w:rPr>
        <w:t xml:space="preserve"> the time it takes to e</w:t>
      </w:r>
      <w:r w:rsidR="00681BA7" w:rsidRPr="00D4661C">
        <w:rPr>
          <w:bCs/>
        </w:rPr>
        <w:t>xamine all materials for possible release</w:t>
      </w:r>
      <w:r w:rsidRPr="00D4661C">
        <w:rPr>
          <w:bCs/>
        </w:rPr>
        <w:t>,</w:t>
      </w:r>
      <w:r w:rsidR="00681BA7" w:rsidRPr="00D4661C">
        <w:rPr>
          <w:rStyle w:val="EndnoteReference"/>
          <w:bCs/>
        </w:rPr>
        <w:endnoteReference w:id="159"/>
      </w:r>
      <w:r w:rsidRPr="00D4661C">
        <w:rPr>
          <w:bCs/>
        </w:rPr>
        <w:t xml:space="preserve"> p</w:t>
      </w:r>
      <w:r w:rsidR="00681BA7" w:rsidRPr="00D4661C">
        <w:rPr>
          <w:bCs/>
        </w:rPr>
        <w:t>erform necessary legal review</w:t>
      </w:r>
      <w:r w:rsidR="00681BA7" w:rsidRPr="00D4661C">
        <w:rPr>
          <w:rStyle w:val="EndnoteReference"/>
          <w:bCs/>
        </w:rPr>
        <w:endnoteReference w:id="160"/>
      </w:r>
      <w:r w:rsidR="00681BA7" w:rsidRPr="00D4661C">
        <w:rPr>
          <w:bCs/>
        </w:rPr>
        <w:t xml:space="preserve"> or consult with knowledgeable parties</w:t>
      </w:r>
      <w:r w:rsidRPr="00D4661C">
        <w:rPr>
          <w:bCs/>
        </w:rPr>
        <w:t>, r</w:t>
      </w:r>
      <w:r w:rsidR="00681BA7" w:rsidRPr="00D4661C">
        <w:rPr>
          <w:bCs/>
        </w:rPr>
        <w:t>edact exempt materials</w:t>
      </w:r>
      <w:r w:rsidRPr="00D4661C">
        <w:rPr>
          <w:bCs/>
        </w:rPr>
        <w:t>,</w:t>
      </w:r>
      <w:r w:rsidR="00681BA7" w:rsidRPr="00D4661C">
        <w:rPr>
          <w:rStyle w:val="EndnoteReference"/>
          <w:bCs/>
        </w:rPr>
        <w:endnoteReference w:id="161"/>
      </w:r>
      <w:r w:rsidR="00681BA7" w:rsidRPr="00D4661C">
        <w:rPr>
          <w:bCs/>
        </w:rPr>
        <w:t xml:space="preserve"> </w:t>
      </w:r>
      <w:r w:rsidRPr="00D4661C">
        <w:rPr>
          <w:bCs/>
        </w:rPr>
        <w:t>or p</w:t>
      </w:r>
      <w:r w:rsidR="00681BA7" w:rsidRPr="00D4661C">
        <w:rPr>
          <w:bCs/>
        </w:rPr>
        <w:t>rovide explanation and legal authority for all redactions and/or denials.</w:t>
      </w:r>
      <w:r w:rsidR="00681BA7" w:rsidRPr="00D4661C">
        <w:rPr>
          <w:rStyle w:val="EndnoteReference"/>
          <w:bCs/>
        </w:rPr>
        <w:endnoteReference w:id="162"/>
      </w:r>
    </w:p>
    <w:p w14:paraId="4C3DC9F5" w14:textId="77777777" w:rsidR="006B3C4E" w:rsidRPr="00D4661C" w:rsidRDefault="006B3C4E" w:rsidP="006B3C4E">
      <w:pPr>
        <w:spacing w:before="120" w:after="120" w:line="220" w:lineRule="exact"/>
        <w:ind w:left="1440" w:hanging="360"/>
        <w:jc w:val="both"/>
        <w:rPr>
          <w:bCs/>
        </w:rPr>
      </w:pPr>
      <w:r w:rsidRPr="00D4661C">
        <w:rPr>
          <w:bCs/>
        </w:rPr>
        <w:t>•</w:t>
      </w:r>
      <w:r w:rsidRPr="00D4661C">
        <w:rPr>
          <w:bCs/>
        </w:rPr>
        <w:tab/>
      </w:r>
      <w:r w:rsidR="00681BA7" w:rsidRPr="00D4661C">
        <w:rPr>
          <w:bCs/>
        </w:rPr>
        <w:t>Preparation:</w:t>
      </w:r>
      <w:r w:rsidRPr="00D4661C">
        <w:rPr>
          <w:bCs/>
        </w:rPr>
        <w:t xml:space="preserve"> the time it takes to o</w:t>
      </w:r>
      <w:r w:rsidR="00681BA7" w:rsidRPr="00D4661C">
        <w:rPr>
          <w:bCs/>
        </w:rPr>
        <w:t>btain requester’s choice of medium</w:t>
      </w:r>
      <w:r w:rsidR="00681BA7" w:rsidRPr="00D4661C">
        <w:rPr>
          <w:rStyle w:val="EndnoteReference"/>
          <w:bCs/>
        </w:rPr>
        <w:endnoteReference w:id="163"/>
      </w:r>
      <w:r w:rsidR="00681BA7" w:rsidRPr="00D4661C">
        <w:rPr>
          <w:bCs/>
        </w:rPr>
        <w:t xml:space="preserve"> </w:t>
      </w:r>
      <w:r w:rsidRPr="00D4661C">
        <w:rPr>
          <w:bCs/>
        </w:rPr>
        <w:t>or m</w:t>
      </w:r>
      <w:r w:rsidR="00681BA7" w:rsidRPr="00D4661C">
        <w:rPr>
          <w:bCs/>
        </w:rPr>
        <w:t>ake copies.</w:t>
      </w:r>
      <w:r w:rsidR="00681BA7" w:rsidRPr="00D4661C">
        <w:rPr>
          <w:rStyle w:val="EndnoteReference"/>
          <w:bCs/>
        </w:rPr>
        <w:endnoteReference w:id="164"/>
      </w:r>
    </w:p>
    <w:p w14:paraId="2D8EC986" w14:textId="160E262D" w:rsidR="00681BA7" w:rsidRPr="006B3C4E" w:rsidRDefault="006B3C4E" w:rsidP="006B3C4E">
      <w:pPr>
        <w:spacing w:before="120" w:after="120" w:line="220" w:lineRule="exact"/>
        <w:ind w:left="1440" w:hanging="360"/>
        <w:jc w:val="both"/>
        <w:rPr>
          <w:bCs/>
        </w:rPr>
      </w:pPr>
      <w:r w:rsidRPr="00D4661C">
        <w:rPr>
          <w:bCs/>
        </w:rPr>
        <w:t>•</w:t>
      </w:r>
      <w:r w:rsidRPr="00D4661C">
        <w:rPr>
          <w:bCs/>
        </w:rPr>
        <w:tab/>
      </w:r>
      <w:r w:rsidR="00681BA7" w:rsidRPr="00D4661C">
        <w:rPr>
          <w:bCs/>
        </w:rPr>
        <w:t>Delivery:</w:t>
      </w:r>
      <w:r w:rsidRPr="00D4661C">
        <w:rPr>
          <w:bCs/>
        </w:rPr>
        <w:t xml:space="preserve"> the</w:t>
      </w:r>
      <w:r>
        <w:t xml:space="preserve"> time it takes to w</w:t>
      </w:r>
      <w:r w:rsidR="00681BA7">
        <w:t>ait for advance payment of costs</w:t>
      </w:r>
      <w:r>
        <w:t>,</w:t>
      </w:r>
      <w:r w:rsidR="00681BA7">
        <w:rPr>
          <w:rStyle w:val="EndnoteReference"/>
        </w:rPr>
        <w:endnoteReference w:id="165"/>
      </w:r>
      <w:r w:rsidR="00681BA7">
        <w:t xml:space="preserve"> </w:t>
      </w:r>
      <w:r>
        <w:t>or d</w:t>
      </w:r>
      <w:r w:rsidR="00681BA7">
        <w:t>eliver copies or schedule inspection.</w:t>
      </w:r>
      <w:r w:rsidR="00681BA7">
        <w:rPr>
          <w:rStyle w:val="EndnoteReference"/>
        </w:rPr>
        <w:endnoteReference w:id="166"/>
      </w:r>
    </w:p>
    <w:p w14:paraId="59D5F025" w14:textId="77777777" w:rsidR="00681BA7" w:rsidRDefault="00681BA7">
      <w:pPr>
        <w:spacing w:line="220" w:lineRule="exact"/>
        <w:jc w:val="both"/>
      </w:pPr>
    </w:p>
    <w:p w14:paraId="7F6AACCE" w14:textId="71D4DC3C" w:rsidR="00681BA7" w:rsidRDefault="00681BA7">
      <w:pPr>
        <w:spacing w:line="220" w:lineRule="exact"/>
        <w:ind w:left="360"/>
        <w:jc w:val="both"/>
      </w:pPr>
      <w:r>
        <w:t>The Supreme Court</w:t>
      </w:r>
      <w:r w:rsidR="007154C8">
        <w:t xml:space="preserve"> of Ohio</w:t>
      </w:r>
      <w:r>
        <w:t xml:space="preserve"> has held that </w:t>
      </w:r>
      <w:r w:rsidR="00BA0C3F">
        <w:t>“</w:t>
      </w:r>
      <w:r w:rsidR="005D4449">
        <w:t>[</w:t>
      </w:r>
      <w:r>
        <w:t>n</w:t>
      </w:r>
      <w:r w:rsidR="005D4449">
        <w:t>]</w:t>
      </w:r>
      <w:r>
        <w:t>o pleading of too much expense, or too much time involved, or too much interference with normal duties</w:t>
      </w:r>
      <w:r w:rsidR="00BA0C3F">
        <w:t>,</w:t>
      </w:r>
      <w:r>
        <w:t xml:space="preserve"> can be used by the </w:t>
      </w:r>
      <w:r w:rsidR="005D4449">
        <w:t>[</w:t>
      </w:r>
      <w:r>
        <w:t>public office</w:t>
      </w:r>
      <w:r w:rsidR="005D4449">
        <w:t>]</w:t>
      </w:r>
      <w:r>
        <w:t xml:space="preserve"> to evade the public’s right to inspect </w:t>
      </w:r>
      <w:r w:rsidR="005D4449">
        <w:t xml:space="preserve">and </w:t>
      </w:r>
      <w:r>
        <w:t>obtain a copy of public records within a reasonable time.</w:t>
      </w:r>
      <w:r w:rsidR="00BA0C3F">
        <w:t>”</w:t>
      </w:r>
      <w:r>
        <w:rPr>
          <w:rStyle w:val="EndnoteReference"/>
        </w:rPr>
        <w:endnoteReference w:id="167"/>
      </w:r>
    </w:p>
    <w:p w14:paraId="0E11F04C" w14:textId="77777777" w:rsidR="007154C8" w:rsidRDefault="007154C8">
      <w:pPr>
        <w:spacing w:line="220" w:lineRule="exact"/>
        <w:ind w:left="360"/>
        <w:jc w:val="both"/>
      </w:pPr>
    </w:p>
    <w:p w14:paraId="3A745438" w14:textId="22926E3C" w:rsidR="00681BA7" w:rsidRDefault="00681BA7" w:rsidP="00322085">
      <w:pPr>
        <w:pStyle w:val="Heading3"/>
      </w:pPr>
      <w:bookmarkStart w:id="41" w:name="_Toc159851459"/>
      <w:r>
        <w:t>1</w:t>
      </w:r>
      <w:r w:rsidR="00D759A1">
        <w:t>2</w:t>
      </w:r>
      <w:r>
        <w:t>.</w:t>
      </w:r>
      <w:r>
        <w:tab/>
        <w:t>Inspection at no cost during regular business hours</w:t>
      </w:r>
      <w:bookmarkEnd w:id="41"/>
    </w:p>
    <w:p w14:paraId="24004DF6" w14:textId="2D313EDD" w:rsidR="007B6355" w:rsidRDefault="00681BA7" w:rsidP="003B1BE3">
      <w:pPr>
        <w:spacing w:line="220" w:lineRule="exact"/>
        <w:ind w:left="360"/>
        <w:jc w:val="both"/>
      </w:pPr>
      <w:r>
        <w:t>A public office must make its public records available for inspection at all reasonable times during regular business hours.</w:t>
      </w:r>
      <w:r>
        <w:rPr>
          <w:rStyle w:val="EndnoteReference"/>
        </w:rPr>
        <w:endnoteReference w:id="168"/>
      </w:r>
      <w:r>
        <w:t xml:space="preserve">  “Regular business hours” means established business hours.</w:t>
      </w:r>
      <w:r>
        <w:rPr>
          <w:rStyle w:val="EndnoteReference"/>
        </w:rPr>
        <w:endnoteReference w:id="169"/>
      </w:r>
      <w:r>
        <w:t xml:space="preserve">  When a public office operates twenty-four hours a day, such as a police department, the office may adopt hours that approximate normal administrative hours during which inspection may be provided.</w:t>
      </w:r>
      <w:r>
        <w:rPr>
          <w:rStyle w:val="EndnoteReference"/>
        </w:rPr>
        <w:endnoteReference w:id="170"/>
      </w:r>
      <w:r>
        <w:t xml:space="preserve">  Public offices may not charge requesters for inspection of public records.</w:t>
      </w:r>
      <w:r>
        <w:rPr>
          <w:rStyle w:val="EndnoteReference"/>
        </w:rPr>
        <w:endnoteReference w:id="171"/>
      </w:r>
      <w:r>
        <w:t xml:space="preserve"> </w:t>
      </w:r>
      <w:r w:rsidR="007B6355">
        <w:t>Requesters are not required to inspect the records themselves; they may designate someone to inspect the requested records.</w:t>
      </w:r>
      <w:r w:rsidR="007B6355">
        <w:rPr>
          <w:rStyle w:val="EndnoteReference"/>
        </w:rPr>
        <w:endnoteReference w:id="172"/>
      </w:r>
    </w:p>
    <w:p w14:paraId="4C837D03" w14:textId="77777777" w:rsidR="007B6355" w:rsidRDefault="007B6355" w:rsidP="003B1BE3">
      <w:pPr>
        <w:spacing w:line="220" w:lineRule="exact"/>
        <w:ind w:left="360"/>
        <w:jc w:val="both"/>
      </w:pPr>
    </w:p>
    <w:p w14:paraId="422D53E5" w14:textId="0EFD2543" w:rsidR="007154C8" w:rsidRDefault="00681BA7" w:rsidP="003B1BE3">
      <w:pPr>
        <w:spacing w:line="220" w:lineRule="exact"/>
        <w:ind w:left="360"/>
        <w:jc w:val="both"/>
      </w:pPr>
      <w:r>
        <w:t xml:space="preserve">A public office is required to make its records available </w:t>
      </w:r>
      <w:r w:rsidR="007B6355">
        <w:t xml:space="preserve">for inspection </w:t>
      </w:r>
      <w:r>
        <w:t>only at the place where they are stored.</w:t>
      </w:r>
      <w:r>
        <w:rPr>
          <w:rStyle w:val="EndnoteReference"/>
        </w:rPr>
        <w:endnoteReference w:id="173"/>
      </w:r>
      <w:r>
        <w:t xml:space="preserve"> </w:t>
      </w:r>
      <w:r w:rsidR="007B6355">
        <w:t>A</w:t>
      </w:r>
      <w:r>
        <w:t xml:space="preserve"> </w:t>
      </w:r>
      <w:r w:rsidR="007B6355">
        <w:t>request to inspect records does not give the requester a right to directly access the public office’s computer systems or databases. Rather, a public office may prepare the records for inspection outside their native electronic format.</w:t>
      </w:r>
      <w:r w:rsidR="007B6355">
        <w:rPr>
          <w:rStyle w:val="EndnoteReference"/>
        </w:rPr>
        <w:endnoteReference w:id="174"/>
      </w:r>
      <w:r w:rsidR="00E24703">
        <w:t xml:space="preserve"> </w:t>
      </w:r>
      <w:r>
        <w:t>Posting records online is one means of providing them for inspection -- the public office may not charge a fee just because a person could use their own equipment to print or otherwise download a record posted online.</w:t>
      </w:r>
      <w:r>
        <w:rPr>
          <w:rStyle w:val="EndnoteReference"/>
        </w:rPr>
        <w:endnoteReference w:id="175"/>
      </w:r>
      <w:r>
        <w:t xml:space="preserve">  </w:t>
      </w:r>
    </w:p>
    <w:p w14:paraId="40ADFF90" w14:textId="77777777" w:rsidR="004616EF" w:rsidRDefault="004616EF" w:rsidP="003B1BE3">
      <w:pPr>
        <w:spacing w:line="220" w:lineRule="exact"/>
        <w:ind w:left="360"/>
        <w:jc w:val="both"/>
      </w:pPr>
    </w:p>
    <w:p w14:paraId="0DD4C5AE" w14:textId="7D2D916F" w:rsidR="00681BA7" w:rsidRDefault="00681BA7" w:rsidP="00322085">
      <w:pPr>
        <w:pStyle w:val="Heading3"/>
      </w:pPr>
      <w:bookmarkStart w:id="42" w:name="_Toc159851460"/>
      <w:r>
        <w:t>1</w:t>
      </w:r>
      <w:r w:rsidR="00D759A1">
        <w:t>3</w:t>
      </w:r>
      <w:r>
        <w:t>.</w:t>
      </w:r>
      <w:r>
        <w:tab/>
        <w:t>Copies, and delivery or transmission, “at cost”</w:t>
      </w:r>
      <w:bookmarkEnd w:id="42"/>
    </w:p>
    <w:p w14:paraId="36B05058" w14:textId="22307DE7" w:rsidR="00681BA7" w:rsidRDefault="00681BA7">
      <w:pPr>
        <w:spacing w:line="220" w:lineRule="exact"/>
        <w:ind w:left="360"/>
        <w:jc w:val="both"/>
      </w:pPr>
      <w:r>
        <w:t>A public office may charge for copies and/or for delivery or transmission, and it may require payment of both costs in advance.</w:t>
      </w:r>
      <w:r>
        <w:rPr>
          <w:rStyle w:val="EndnoteReference"/>
        </w:rPr>
        <w:endnoteReference w:id="176"/>
      </w:r>
      <w:r>
        <w:t xml:space="preserve">  “At cost” includes the actual cost of making copies,</w:t>
      </w:r>
      <w:r>
        <w:rPr>
          <w:rStyle w:val="EndnoteReference"/>
        </w:rPr>
        <w:endnoteReference w:id="177"/>
      </w:r>
      <w:r>
        <w:t xml:space="preserve"> packaging, postage, and any other costs of the method of delivery or transmission chosen by the requester.</w:t>
      </w:r>
      <w:r>
        <w:rPr>
          <w:rStyle w:val="EndnoteReference"/>
        </w:rPr>
        <w:endnoteReference w:id="178"/>
      </w:r>
      <w:r>
        <w:t xml:space="preserve">  The cost of employee time cannot be included in the cost of copies or of delivery.</w:t>
      </w:r>
      <w:r>
        <w:rPr>
          <w:rStyle w:val="EndnoteReference"/>
        </w:rPr>
        <w:endnoteReference w:id="179"/>
      </w:r>
      <w:r>
        <w:t xml:space="preserve">  A public office may choose to employ the services, and charge the requester the costs of, a private contractor to copy public records so long as the decision to do so is reasonable.</w:t>
      </w:r>
      <w:r>
        <w:rPr>
          <w:rStyle w:val="EndnoteReference"/>
        </w:rPr>
        <w:endnoteReference w:id="180"/>
      </w:r>
    </w:p>
    <w:p w14:paraId="25071949" w14:textId="77777777" w:rsidR="00681BA7" w:rsidRDefault="00681BA7">
      <w:pPr>
        <w:spacing w:line="220" w:lineRule="exact"/>
        <w:ind w:left="360"/>
        <w:jc w:val="both"/>
      </w:pPr>
    </w:p>
    <w:p w14:paraId="1C61CCC7" w14:textId="0CFCFC5A" w:rsidR="00681BA7" w:rsidRDefault="00681BA7">
      <w:pPr>
        <w:spacing w:line="220" w:lineRule="exact"/>
        <w:ind w:left="360"/>
        <w:jc w:val="both"/>
      </w:pPr>
      <w:r>
        <w:t>When a statute sets the cost of certain records or for certain requesters, the specific</w:t>
      </w:r>
      <w:r w:rsidR="00D52F57">
        <w:t xml:space="preserve"> statute</w:t>
      </w:r>
      <w:r>
        <w:t xml:space="preserve"> takes precedence over the general, and the requester must pay the cost set by the statute.</w:t>
      </w:r>
      <w:r>
        <w:rPr>
          <w:rStyle w:val="EndnoteReference"/>
        </w:rPr>
        <w:endnoteReference w:id="181"/>
      </w:r>
      <w:r>
        <w:t xml:space="preserve">  For example, because R.C. 2301.24 requires that parties to a common pleas court action must pay court reporters the compensation rate set by the judges for court transcripts, a requester who is a party to the action may not use R.C. 149.43(B)(1) to obtain copies of the transcript at the actual cost of duplication.</w:t>
      </w:r>
      <w:r>
        <w:rPr>
          <w:rStyle w:val="EndnoteReference"/>
        </w:rPr>
        <w:endnoteReference w:id="182"/>
      </w:r>
      <w:r>
        <w:t xml:space="preserve">  However, when a statute sets a fee for certified copies of an otherwise public record, and the requester does not request that the copies be certified, the office may only charge actual cost.</w:t>
      </w:r>
      <w:r>
        <w:rPr>
          <w:rStyle w:val="EndnoteReference"/>
        </w:rPr>
        <w:endnoteReference w:id="183"/>
      </w:r>
      <w:r>
        <w:t xml:space="preserve">  Similarly, when a statute sets a fee for “photocopies” and the request is for electronic copies rather than photocopies, the office may only charge actual cost.</w:t>
      </w:r>
      <w:r>
        <w:rPr>
          <w:rStyle w:val="EndnoteReference"/>
        </w:rPr>
        <w:endnoteReference w:id="184"/>
      </w:r>
    </w:p>
    <w:p w14:paraId="6EF9BE2A" w14:textId="77777777" w:rsidR="00681BA7" w:rsidRDefault="00681BA7">
      <w:pPr>
        <w:spacing w:line="220" w:lineRule="exact"/>
        <w:ind w:left="360"/>
        <w:jc w:val="both"/>
      </w:pPr>
    </w:p>
    <w:p w14:paraId="084A025E" w14:textId="3A08A2E2" w:rsidR="007154C8" w:rsidRDefault="00681BA7" w:rsidP="003B1BE3">
      <w:pPr>
        <w:spacing w:line="220" w:lineRule="exact"/>
        <w:ind w:left="360"/>
        <w:jc w:val="both"/>
      </w:pPr>
      <w:r>
        <w:t>There is no obligation to provide free copies to someone who indicates an inability or unwillingness to pay for requested records.</w:t>
      </w:r>
      <w:r>
        <w:rPr>
          <w:rStyle w:val="EndnoteReference"/>
        </w:rPr>
        <w:endnoteReference w:id="185"/>
      </w:r>
      <w:r>
        <w:t xml:space="preserve">  </w:t>
      </w:r>
      <w:r w:rsidR="005D4449">
        <w:t>However, before a public office is permitted to deny a request for failure to pay the actual cost of the copies, the public office must first inform the requester of the amount that must be paid.</w:t>
      </w:r>
      <w:r w:rsidR="005D4449">
        <w:rPr>
          <w:rStyle w:val="EndnoteReference"/>
        </w:rPr>
        <w:endnoteReference w:id="186"/>
      </w:r>
      <w:r w:rsidR="005D4449">
        <w:t xml:space="preserve"> </w:t>
      </w:r>
      <w:r w:rsidR="00EC6A9D">
        <w:t xml:space="preserve"> </w:t>
      </w:r>
      <w:r>
        <w:t xml:space="preserve">The Public Records Act neither requires a public office to allow those </w:t>
      </w:r>
      <w:r>
        <w:lastRenderedPageBreak/>
        <w:t>seeking a copy of the public record to make copies with their own equipment</w:t>
      </w:r>
      <w:r>
        <w:rPr>
          <w:rStyle w:val="EndnoteReference"/>
        </w:rPr>
        <w:endnoteReference w:id="187"/>
      </w:r>
      <w:r>
        <w:t xml:space="preserve"> nor prohibits the public office from allowing this.</w:t>
      </w:r>
    </w:p>
    <w:p w14:paraId="0FE30CB3" w14:textId="77777777" w:rsidR="004616EF" w:rsidRDefault="004616EF" w:rsidP="003B1BE3">
      <w:pPr>
        <w:spacing w:line="220" w:lineRule="exact"/>
        <w:ind w:left="360"/>
        <w:jc w:val="both"/>
      </w:pPr>
    </w:p>
    <w:p w14:paraId="117CC630" w14:textId="14F1C4E1" w:rsidR="00681BA7" w:rsidRDefault="00681BA7" w:rsidP="00322085">
      <w:pPr>
        <w:pStyle w:val="Heading3"/>
      </w:pPr>
      <w:bookmarkStart w:id="43" w:name="_Toc159851461"/>
      <w:r>
        <w:t>1</w:t>
      </w:r>
      <w:r w:rsidR="00D759A1">
        <w:t>4</w:t>
      </w:r>
      <w:r>
        <w:t>.</w:t>
      </w:r>
      <w:r>
        <w:tab/>
        <w:t xml:space="preserve">What </w:t>
      </w:r>
      <w:r w:rsidR="001D2AA7">
        <w:t>r</w:t>
      </w:r>
      <w:r>
        <w:t>esponsive</w:t>
      </w:r>
      <w:r w:rsidR="00A763EB">
        <w:t xml:space="preserve"> records</w:t>
      </w:r>
      <w:r>
        <w:t xml:space="preserve"> can the public office withhold?</w:t>
      </w:r>
      <w:bookmarkEnd w:id="43"/>
    </w:p>
    <w:p w14:paraId="7ACBE93D" w14:textId="19443F78" w:rsidR="00681BA7" w:rsidRDefault="00681BA7" w:rsidP="00BD2AE1">
      <w:pPr>
        <w:pStyle w:val="Heading4"/>
      </w:pPr>
      <w:bookmarkStart w:id="44" w:name="_Toc159851462"/>
      <w:r>
        <w:t>a.</w:t>
      </w:r>
      <w:r w:rsidR="00C100EF">
        <w:tab/>
      </w:r>
      <w:r>
        <w:tab/>
      </w:r>
      <w:r w:rsidR="006B3C4E">
        <w:t>Records subject to an exemption</w:t>
      </w:r>
      <w:bookmarkEnd w:id="44"/>
    </w:p>
    <w:p w14:paraId="60B51988" w14:textId="0A785AE0" w:rsidR="006B3C4E" w:rsidRDefault="00681BA7" w:rsidP="006B3C4E">
      <w:pPr>
        <w:spacing w:line="220" w:lineRule="exact"/>
        <w:ind w:left="360"/>
        <w:jc w:val="both"/>
      </w:pPr>
      <w:r>
        <w:t>A</w:t>
      </w:r>
      <w:r w:rsidR="006B3C4E">
        <w:t>s discussed in more detail in Chapter Three, “Exemptions</w:t>
      </w:r>
      <w:r w:rsidR="0049072B">
        <w:t xml:space="preserve"> to the Required Release of Public Records</w:t>
      </w:r>
      <w:r w:rsidR="006B3C4E">
        <w:t>,” there are numerous exemptions in the law that either prohibit the release of public records (“mandatory exemptions”) or give the public office the option to either withhold or release the record (“discretionary exemptions”).</w:t>
      </w:r>
    </w:p>
    <w:p w14:paraId="44F2DB68" w14:textId="77777777" w:rsidR="00C100EF" w:rsidRDefault="00C100EF" w:rsidP="006B3C4E">
      <w:pPr>
        <w:spacing w:line="220" w:lineRule="exact"/>
        <w:ind w:left="360"/>
        <w:jc w:val="both"/>
      </w:pPr>
    </w:p>
    <w:p w14:paraId="5C153991" w14:textId="3CB214F0" w:rsidR="00681BA7" w:rsidRDefault="006B3C4E" w:rsidP="00BD2AE1">
      <w:pPr>
        <w:pStyle w:val="Heading4"/>
      </w:pPr>
      <w:bookmarkStart w:id="45" w:name="_Toc159851463"/>
      <w:r>
        <w:t>b</w:t>
      </w:r>
      <w:r w:rsidR="00681BA7">
        <w:t>.</w:t>
      </w:r>
      <w:r w:rsidR="00C100EF">
        <w:tab/>
      </w:r>
      <w:r w:rsidR="00681BA7">
        <w:tab/>
        <w:t>No duty to release non-records</w:t>
      </w:r>
      <w:bookmarkEnd w:id="45"/>
    </w:p>
    <w:p w14:paraId="1A1EBF55" w14:textId="0B01D96B" w:rsidR="00681BA7" w:rsidRDefault="00C34964" w:rsidP="006B3C4E">
      <w:pPr>
        <w:spacing w:line="220" w:lineRule="exact"/>
        <w:ind w:left="360"/>
        <w:jc w:val="both"/>
      </w:pPr>
      <w:r>
        <w:t>Items are “public records” if they</w:t>
      </w:r>
      <w:r w:rsidRPr="00C34964">
        <w:t xml:space="preserve"> </w:t>
      </w:r>
      <w:r>
        <w:t>document the organization, functions, policies, decisions, procedures, operations, or other activities of the public office.</w:t>
      </w:r>
      <w:r>
        <w:rPr>
          <w:rStyle w:val="EndnoteReference"/>
        </w:rPr>
        <w:endnoteReference w:id="188"/>
      </w:r>
      <w:r>
        <w:t xml:space="preserve">  If an item does not meet that definition, it is not a “record” that the public office must disclose</w:t>
      </w:r>
      <w:r w:rsidR="00681BA7">
        <w:t>.</w:t>
      </w:r>
      <w:r w:rsidR="00681BA7">
        <w:rPr>
          <w:rStyle w:val="EndnoteReference"/>
        </w:rPr>
        <w:endnoteReference w:id="189"/>
      </w:r>
      <w:r w:rsidR="00681BA7">
        <w:t xml:space="preserve">  The Supreme Court</w:t>
      </w:r>
      <w:r w:rsidR="007154C8">
        <w:t xml:space="preserve"> of Ohio</w:t>
      </w:r>
      <w:r w:rsidR="00681BA7">
        <w:t xml:space="preserve"> expressly rejected the notion that an item is a “record” simply because the public office </w:t>
      </w:r>
      <w:r w:rsidR="00681BA7">
        <w:rPr>
          <w:i/>
        </w:rPr>
        <w:t>could</w:t>
      </w:r>
      <w:r w:rsidR="00681BA7">
        <w:t xml:space="preserve"> use the item to carry out its duties and responsibilities.</w:t>
      </w:r>
      <w:r w:rsidR="00681BA7">
        <w:rPr>
          <w:rStyle w:val="EndnoteReference"/>
        </w:rPr>
        <w:endnoteReference w:id="190"/>
      </w:r>
      <w:r w:rsidR="00681BA7">
        <w:t xml:space="preserve">  Instead, the public office must actually use the item; otherwise, it is not a record.</w:t>
      </w:r>
      <w:r w:rsidR="00681BA7">
        <w:rPr>
          <w:rStyle w:val="EndnoteReference"/>
        </w:rPr>
        <w:endnoteReference w:id="191"/>
      </w:r>
      <w:r w:rsidR="00681BA7">
        <w:t xml:space="preserve">  The Public Records Act itself does not </w:t>
      </w:r>
      <w:r w:rsidR="00681BA7">
        <w:rPr>
          <w:i/>
        </w:rPr>
        <w:t>restrict</w:t>
      </w:r>
      <w:r w:rsidR="00681BA7">
        <w:t xml:space="preserve"> a public office from releasing non-records, but other laws may prohibit a public office from releasing certain information in non-records.</w:t>
      </w:r>
      <w:r w:rsidR="00681BA7">
        <w:rPr>
          <w:rStyle w:val="EndnoteReference"/>
        </w:rPr>
        <w:endnoteReference w:id="192"/>
      </w:r>
    </w:p>
    <w:p w14:paraId="0B2CEC00" w14:textId="77777777" w:rsidR="00CC3906" w:rsidRDefault="00CC3906" w:rsidP="006B3C4E">
      <w:pPr>
        <w:spacing w:line="220" w:lineRule="exact"/>
        <w:ind w:left="360"/>
        <w:jc w:val="both"/>
      </w:pPr>
    </w:p>
    <w:p w14:paraId="70139C3F" w14:textId="6483C381" w:rsidR="00681BA7" w:rsidRDefault="00681BA7" w:rsidP="00322085">
      <w:pPr>
        <w:pStyle w:val="Heading3"/>
      </w:pPr>
      <w:bookmarkStart w:id="46" w:name="_Toc159851464"/>
      <w:r>
        <w:t>1</w:t>
      </w:r>
      <w:r w:rsidR="00D759A1">
        <w:t>5</w:t>
      </w:r>
      <w:r>
        <w:t>.</w:t>
      </w:r>
      <w:r>
        <w:tab/>
        <w:t xml:space="preserve">Denial of a request, redaction, and a public office’s duties of </w:t>
      </w:r>
      <w:r w:rsidR="00CC3906">
        <w:tab/>
      </w:r>
      <w:r w:rsidR="00CC3906">
        <w:tab/>
      </w:r>
      <w:r w:rsidR="00CC3906">
        <w:tab/>
      </w:r>
      <w:r>
        <w:t>notice</w:t>
      </w:r>
      <w:bookmarkEnd w:id="46"/>
    </w:p>
    <w:p w14:paraId="7458D851" w14:textId="10B9D1B9" w:rsidR="00D764B6" w:rsidRDefault="00681BA7">
      <w:pPr>
        <w:spacing w:line="220" w:lineRule="exact"/>
        <w:ind w:left="360"/>
        <w:jc w:val="both"/>
      </w:pPr>
      <w:r>
        <w:t>Both the withholding of an entire record and the redaction of any part of a record are considered a denial of the request to inspect or copy that particular item.</w:t>
      </w:r>
      <w:r>
        <w:rPr>
          <w:rStyle w:val="EndnoteReference"/>
        </w:rPr>
        <w:endnoteReference w:id="193"/>
      </w:r>
      <w:r>
        <w:t xml:space="preserve">  </w:t>
      </w:r>
      <w:r w:rsidR="00CC3A71">
        <w:t>The Public Records Act states that, “[a] redaction shall be deemed a denial of a request to inspect or copy the redacted information, except if a federal or state law authorizes or requires a public office to make the redaction.”</w:t>
      </w:r>
      <w:r w:rsidR="00CC3A71">
        <w:rPr>
          <w:rStyle w:val="EndnoteReference"/>
        </w:rPr>
        <w:endnoteReference w:id="194"/>
      </w:r>
    </w:p>
    <w:p w14:paraId="434B73EE" w14:textId="77777777" w:rsidR="00D764B6" w:rsidRDefault="00D764B6">
      <w:pPr>
        <w:spacing w:line="220" w:lineRule="exact"/>
        <w:ind w:left="360"/>
        <w:jc w:val="both"/>
      </w:pPr>
    </w:p>
    <w:p w14:paraId="3B5E06C3" w14:textId="027FC5E8" w:rsidR="00681BA7" w:rsidRDefault="00681BA7">
      <w:pPr>
        <w:spacing w:line="220" w:lineRule="exact"/>
        <w:ind w:left="360"/>
        <w:jc w:val="both"/>
      </w:pPr>
      <w:r>
        <w:t xml:space="preserve">Any requirement by the public office that the requester disclose the requester’s </w:t>
      </w:r>
      <w:r w:rsidR="00B825D7">
        <w:t>identity,</w:t>
      </w:r>
      <w:r>
        <w:t xml:space="preserve"> or the intended use of the requested public record also constitutes a denial of the request.</w:t>
      </w:r>
      <w:r>
        <w:rPr>
          <w:rStyle w:val="EndnoteReference"/>
        </w:rPr>
        <w:endnoteReference w:id="195"/>
      </w:r>
    </w:p>
    <w:p w14:paraId="6F7E94E0" w14:textId="77777777" w:rsidR="00CC3906" w:rsidRDefault="00CC3906">
      <w:pPr>
        <w:spacing w:line="220" w:lineRule="exact"/>
        <w:ind w:left="360"/>
        <w:jc w:val="both"/>
      </w:pPr>
    </w:p>
    <w:p w14:paraId="213633A5" w14:textId="492C3B43" w:rsidR="00681BA7" w:rsidRDefault="00681BA7" w:rsidP="00BD2AE1">
      <w:pPr>
        <w:pStyle w:val="Heading4"/>
      </w:pPr>
      <w:bookmarkStart w:id="47" w:name="_Toc159851465"/>
      <w:r>
        <w:t>a.</w:t>
      </w:r>
      <w:r>
        <w:tab/>
      </w:r>
      <w:r w:rsidR="00C100EF">
        <w:tab/>
      </w:r>
      <w:r>
        <w:t>Redaction – statutory definition</w:t>
      </w:r>
      <w:bookmarkEnd w:id="47"/>
    </w:p>
    <w:p w14:paraId="4818E56C" w14:textId="368F94ED" w:rsidR="00CC3A71" w:rsidRDefault="00681BA7" w:rsidP="003B1BE3">
      <w:pPr>
        <w:spacing w:line="220" w:lineRule="exact"/>
        <w:ind w:left="360"/>
        <w:jc w:val="both"/>
      </w:pPr>
      <w:r>
        <w:t>“Redaction” means obscuring or deleting any information that is exempt from the duty to permit public inspection or copying from an item that otherwise meets the definition of a “record.”</w:t>
      </w:r>
      <w:r>
        <w:rPr>
          <w:rStyle w:val="EndnoteReference"/>
        </w:rPr>
        <w:endnoteReference w:id="196"/>
      </w:r>
      <w:r>
        <w:t xml:space="preserve">  For records on paper, redaction is the blacking out of non-public information in an otherwise public document.  A public office may redact audio, video, and other electronic records by processes that obscure or delete specific content.  </w:t>
      </w:r>
    </w:p>
    <w:p w14:paraId="4C1870C3" w14:textId="77777777" w:rsidR="00CC3906" w:rsidRDefault="00CC3906" w:rsidP="003B1BE3">
      <w:pPr>
        <w:spacing w:line="220" w:lineRule="exact"/>
        <w:ind w:left="360"/>
        <w:jc w:val="both"/>
      </w:pPr>
    </w:p>
    <w:p w14:paraId="24FA90FE" w14:textId="5EA37C98" w:rsidR="005D4449" w:rsidRDefault="00681BA7" w:rsidP="00BD2AE1">
      <w:pPr>
        <w:pStyle w:val="Heading4"/>
      </w:pPr>
      <w:bookmarkStart w:id="48" w:name="_Toc159851466"/>
      <w:r>
        <w:t>b.</w:t>
      </w:r>
      <w:r w:rsidR="005D4449">
        <w:tab/>
      </w:r>
      <w:r w:rsidR="00C100EF">
        <w:tab/>
      </w:r>
      <w:r w:rsidR="005D4449">
        <w:t>Withholding records or producing records with redactions</w:t>
      </w:r>
      <w:bookmarkEnd w:id="48"/>
    </w:p>
    <w:p w14:paraId="22767674" w14:textId="77777777" w:rsidR="00CC3A71" w:rsidRDefault="005D4449" w:rsidP="00EC6A9D">
      <w:pPr>
        <w:spacing w:line="220" w:lineRule="exact"/>
        <w:ind w:left="360"/>
        <w:contextualSpacing/>
        <w:jc w:val="both"/>
      </w:pPr>
      <w:r w:rsidRPr="005D4449">
        <w:t>“If a public record contains in</w:t>
      </w:r>
      <w:r>
        <w:t>formation that is exempt from the duty to permit public inspection or to copy the public record, the public office or the person responsible for the public record shall make available all</w:t>
      </w:r>
      <w:r w:rsidR="00CC3A71">
        <w:t xml:space="preserve"> </w:t>
      </w:r>
      <w:r>
        <w:t>of the information within the public record that is not exempt.”</w:t>
      </w:r>
      <w:r>
        <w:rPr>
          <w:rStyle w:val="EndnoteReference"/>
        </w:rPr>
        <w:endnoteReference w:id="197"/>
      </w:r>
      <w:r>
        <w:t xml:space="preserve"> </w:t>
      </w:r>
      <w:r w:rsidR="00CC3A71">
        <w:t xml:space="preserve"> </w:t>
      </w:r>
      <w:r>
        <w:t xml:space="preserve">Therefore, a public office may redact only that part of a record subject to an exemption or other valid basis for withholding. </w:t>
      </w:r>
    </w:p>
    <w:p w14:paraId="7A8D235A" w14:textId="77777777" w:rsidR="00CC3A71" w:rsidRDefault="00CC3A71" w:rsidP="00EC6A9D">
      <w:pPr>
        <w:spacing w:line="220" w:lineRule="exact"/>
        <w:ind w:left="360"/>
        <w:contextualSpacing/>
        <w:jc w:val="both"/>
      </w:pPr>
    </w:p>
    <w:p w14:paraId="11FF8DF9" w14:textId="6D9A9F1F" w:rsidR="00CC3906" w:rsidRDefault="005D4449" w:rsidP="004616EF">
      <w:pPr>
        <w:spacing w:line="220" w:lineRule="exact"/>
        <w:ind w:left="360"/>
        <w:contextualSpacing/>
        <w:jc w:val="both"/>
      </w:pPr>
      <w:r>
        <w:t>However, an office may withhold an entire record when exempted information is “inextricably intertwined” with the entire content of a particular record such that redaction cannot protect the exempted information.</w:t>
      </w:r>
      <w:r>
        <w:rPr>
          <w:rStyle w:val="EndnoteReference"/>
        </w:rPr>
        <w:endnoteReference w:id="198"/>
      </w:r>
      <w:r>
        <w:t xml:space="preserve"> </w:t>
      </w:r>
      <w:r w:rsidR="00CC3A71">
        <w:t xml:space="preserve"> </w:t>
      </w:r>
      <w:r>
        <w:t xml:space="preserve">Whether a record contains exempted </w:t>
      </w:r>
      <w:r w:rsidR="00DA2FBA">
        <w:t>information that is “inextricably intertwined” with non-exempted information must be determined on a record-by-record basis.</w:t>
      </w:r>
      <w:r w:rsidR="00DA2FBA">
        <w:rPr>
          <w:rStyle w:val="EndnoteReference"/>
        </w:rPr>
        <w:endnoteReference w:id="199"/>
      </w:r>
    </w:p>
    <w:p w14:paraId="4D12BC8C" w14:textId="49837F71" w:rsidR="00681BA7" w:rsidRDefault="00DA2FBA" w:rsidP="00BD2AE1">
      <w:pPr>
        <w:pStyle w:val="Heading4"/>
      </w:pPr>
      <w:bookmarkStart w:id="49" w:name="_Toc159851467"/>
      <w:r>
        <w:lastRenderedPageBreak/>
        <w:t>c.</w:t>
      </w:r>
      <w:r>
        <w:tab/>
      </w:r>
      <w:r w:rsidR="00C100EF">
        <w:tab/>
      </w:r>
      <w:r w:rsidR="00681BA7">
        <w:t xml:space="preserve">Requirement to notify of and explain redactions and </w:t>
      </w:r>
      <w:r w:rsidR="00CC3906">
        <w:tab/>
      </w:r>
      <w:r w:rsidR="00CC3906">
        <w:tab/>
      </w:r>
      <w:r w:rsidR="00CC3906">
        <w:tab/>
      </w:r>
      <w:r w:rsidR="00CC3906">
        <w:tab/>
      </w:r>
      <w:r w:rsidR="00681BA7">
        <w:t>withholding of records</w:t>
      </w:r>
      <w:bookmarkEnd w:id="49"/>
    </w:p>
    <w:p w14:paraId="71603403" w14:textId="3D510F0E" w:rsidR="00DA2FBA" w:rsidRDefault="00681BA7" w:rsidP="003B1BE3">
      <w:pPr>
        <w:spacing w:line="220" w:lineRule="exact"/>
        <w:ind w:left="360"/>
        <w:jc w:val="both"/>
      </w:pPr>
      <w:r>
        <w:t>Public offices must either “notify the requester of any redaction or make the redaction plainly visible.”</w:t>
      </w:r>
      <w:r>
        <w:rPr>
          <w:rStyle w:val="EndnoteReference"/>
        </w:rPr>
        <w:endnoteReference w:id="200"/>
      </w:r>
      <w:r>
        <w:t xml:space="preserve">  In addition, if an office denies a request in part or in whole, the public office must “provide the requester with an explanation, including legal authority, setting forth why the request was denied.”</w:t>
      </w:r>
      <w:r>
        <w:rPr>
          <w:rStyle w:val="EndnoteReference"/>
        </w:rPr>
        <w:endnoteReference w:id="201"/>
      </w:r>
      <w:r>
        <w:t xml:space="preserve">  If the requester made the initial request in writing, then the office must also provide its explanation for the denial in writing.</w:t>
      </w:r>
      <w:r>
        <w:rPr>
          <w:rStyle w:val="EndnoteReference"/>
        </w:rPr>
        <w:endnoteReference w:id="202"/>
      </w:r>
    </w:p>
    <w:p w14:paraId="7E770FB2" w14:textId="77777777" w:rsidR="00CC3906" w:rsidRDefault="00CC3906" w:rsidP="003B1BE3">
      <w:pPr>
        <w:spacing w:line="220" w:lineRule="exact"/>
        <w:ind w:left="360"/>
        <w:jc w:val="both"/>
      </w:pPr>
    </w:p>
    <w:p w14:paraId="18F81E5D" w14:textId="71CBB7CE" w:rsidR="00681BA7" w:rsidRDefault="00DA2FBA" w:rsidP="00BD2AE1">
      <w:pPr>
        <w:pStyle w:val="Heading4"/>
      </w:pPr>
      <w:bookmarkStart w:id="50" w:name="_Toc159851468"/>
      <w:r>
        <w:t>d</w:t>
      </w:r>
      <w:r w:rsidR="00681BA7">
        <w:t>.</w:t>
      </w:r>
      <w:r w:rsidR="00681BA7">
        <w:tab/>
      </w:r>
      <w:r w:rsidR="00C100EF">
        <w:tab/>
      </w:r>
      <w:r w:rsidR="00681BA7">
        <w:t>No obligation to respond to duplicate request</w:t>
      </w:r>
      <w:bookmarkEnd w:id="50"/>
    </w:p>
    <w:p w14:paraId="67D79653" w14:textId="69BB6672" w:rsidR="00CC3A71" w:rsidRDefault="00681BA7" w:rsidP="003B1BE3">
      <w:pPr>
        <w:spacing w:line="220" w:lineRule="exact"/>
        <w:ind w:left="360"/>
        <w:jc w:val="both"/>
      </w:pPr>
      <w:r>
        <w:t>When a public office responds to a request, and the requester sends a follow-up letter reiterating a request for essentially the same records, the public office is not required to provide an additional response.</w:t>
      </w:r>
      <w:r>
        <w:rPr>
          <w:rStyle w:val="EndnoteReference"/>
        </w:rPr>
        <w:endnoteReference w:id="203"/>
      </w:r>
    </w:p>
    <w:p w14:paraId="476BAF9A" w14:textId="77777777" w:rsidR="00CC3906" w:rsidRDefault="00CC3906" w:rsidP="003B1BE3">
      <w:pPr>
        <w:spacing w:line="220" w:lineRule="exact"/>
        <w:ind w:left="360"/>
        <w:jc w:val="both"/>
      </w:pPr>
    </w:p>
    <w:p w14:paraId="17161109" w14:textId="415A6F18" w:rsidR="00681BA7" w:rsidRDefault="00DA2FBA" w:rsidP="00BD2AE1">
      <w:pPr>
        <w:pStyle w:val="Heading4"/>
      </w:pPr>
      <w:bookmarkStart w:id="51" w:name="_Toc159851469"/>
      <w:r>
        <w:t>e</w:t>
      </w:r>
      <w:r w:rsidR="00681BA7">
        <w:t>.</w:t>
      </w:r>
      <w:r w:rsidR="00C100EF">
        <w:tab/>
      </w:r>
      <w:r w:rsidR="00681BA7">
        <w:tab/>
        <w:t>No waiver of unasserted, applicable exemptions</w:t>
      </w:r>
      <w:r>
        <w:t xml:space="preserve"> except </w:t>
      </w:r>
      <w:r w:rsidR="00CC3906">
        <w:tab/>
      </w:r>
      <w:r w:rsidR="00CC3906">
        <w:tab/>
      </w:r>
      <w:r w:rsidR="00CC3906">
        <w:tab/>
      </w:r>
      <w:r w:rsidR="00CC3906">
        <w:tab/>
      </w:r>
      <w:r>
        <w:t>claim that request is overly broad or ambiguous</w:t>
      </w:r>
      <w:bookmarkEnd w:id="51"/>
    </w:p>
    <w:p w14:paraId="44983EEB" w14:textId="5DBAC472" w:rsidR="00681BA7" w:rsidRDefault="00681BA7">
      <w:pPr>
        <w:spacing w:line="220" w:lineRule="exact"/>
        <w:ind w:left="360"/>
        <w:jc w:val="both"/>
      </w:pPr>
      <w:r>
        <w:t xml:space="preserve">If the requester later files a mandamus action against the public office, the public office is not limited to the explanation(s) previously given for </w:t>
      </w:r>
      <w:r w:rsidR="00D759A1">
        <w:t>denial but</w:t>
      </w:r>
      <w:r>
        <w:t xml:space="preserve"> may rely on additional reasons or legal authority in defending the action.</w:t>
      </w:r>
      <w:r>
        <w:rPr>
          <w:rStyle w:val="EndnoteReference"/>
        </w:rPr>
        <w:endnoteReference w:id="204"/>
      </w:r>
      <w:r w:rsidR="00DA2FBA">
        <w:t xml:space="preserve"> </w:t>
      </w:r>
      <w:r w:rsidR="00EC6A9D">
        <w:t xml:space="preserve"> </w:t>
      </w:r>
      <w:r w:rsidR="00DA2FBA">
        <w:t>This rule does not apply to overly broad requests</w:t>
      </w:r>
      <w:r w:rsidR="00CC3A71">
        <w:t>, however.</w:t>
      </w:r>
      <w:r w:rsidR="00DA2FBA">
        <w:t xml:space="preserve"> </w:t>
      </w:r>
      <w:r w:rsidR="00EC6A9D">
        <w:t xml:space="preserve"> </w:t>
      </w:r>
      <w:r w:rsidR="00CC3A71">
        <w:t>That is, a</w:t>
      </w:r>
      <w:r w:rsidR="00DA2FBA">
        <w:t xml:space="preserve"> public office cannot assert that a request is overly broad for the first time in litigation.</w:t>
      </w:r>
      <w:r w:rsidR="00DA2FBA">
        <w:rPr>
          <w:rStyle w:val="EndnoteReference"/>
        </w:rPr>
        <w:endnoteReference w:id="205"/>
      </w:r>
    </w:p>
    <w:p w14:paraId="6F7F0AE3" w14:textId="77777777" w:rsidR="00DA2FBA" w:rsidRDefault="00DA2FBA">
      <w:pPr>
        <w:spacing w:line="220" w:lineRule="exact"/>
        <w:ind w:left="360"/>
        <w:jc w:val="both"/>
      </w:pPr>
    </w:p>
    <w:p w14:paraId="1FB29424" w14:textId="27FA95C7" w:rsidR="00681BA7" w:rsidRDefault="00681BA7" w:rsidP="00322085">
      <w:pPr>
        <w:pStyle w:val="Heading3"/>
      </w:pPr>
      <w:bookmarkStart w:id="52" w:name="_Toc159851470"/>
      <w:r>
        <w:t>1</w:t>
      </w:r>
      <w:r w:rsidR="00D759A1">
        <w:t>6</w:t>
      </w:r>
      <w:r>
        <w:t>.</w:t>
      </w:r>
      <w:r>
        <w:tab/>
        <w:t>Burden or expense of compliance</w:t>
      </w:r>
      <w:bookmarkEnd w:id="52"/>
    </w:p>
    <w:p w14:paraId="75BB833C" w14:textId="2D23A69F" w:rsidR="00CC3A71" w:rsidRDefault="00681BA7" w:rsidP="003B1BE3">
      <w:pPr>
        <w:spacing w:line="220" w:lineRule="exact"/>
        <w:ind w:left="360"/>
        <w:jc w:val="both"/>
      </w:pPr>
      <w:r>
        <w:t>A public office cannot deny or delay response to a public records request on the grounds that responding will interfere with the operation of the public office.</w:t>
      </w:r>
      <w:r>
        <w:rPr>
          <w:rStyle w:val="EndnoteReference"/>
        </w:rPr>
        <w:endnoteReference w:id="206"/>
      </w:r>
      <w:r>
        <w:t xml:space="preserve">  However, when a request </w:t>
      </w:r>
      <w:r w:rsidR="00E24703">
        <w:t xml:space="preserve">to inspect records </w:t>
      </w:r>
      <w:r>
        <w:t>unreasonably interferes with the discharge of the public office’s duties, the office may not be obligated to comply.</w:t>
      </w:r>
      <w:r>
        <w:rPr>
          <w:rStyle w:val="EndnoteReference"/>
        </w:rPr>
        <w:endnoteReference w:id="207"/>
      </w:r>
      <w:r>
        <w:t xml:space="preserve">  </w:t>
      </w:r>
      <w:r w:rsidR="007C1AA0">
        <w:t>For example,</w:t>
      </w:r>
      <w:r w:rsidR="00DC7176">
        <w:t xml:space="preserve"> public offices are not required to permit in-person inspection of public records if the requester is an inmate and</w:t>
      </w:r>
      <w:r w:rsidR="007C1AA0">
        <w:t xml:space="preserve"> </w:t>
      </w:r>
      <w:r w:rsidR="00DC7176">
        <w:t>doing so would</w:t>
      </w:r>
      <w:r w:rsidR="00DA2FBA">
        <w:t xml:space="preserve"> </w:t>
      </w:r>
      <w:r w:rsidR="007C1AA0">
        <w:t>“</w:t>
      </w:r>
      <w:r w:rsidR="00DC7176">
        <w:t>create</w:t>
      </w:r>
      <w:r w:rsidR="00DA2FBA">
        <w:t>[]</w:t>
      </w:r>
      <w:r w:rsidR="00DC7176">
        <w:t xml:space="preserve"> security issues, unreasonably interfere</w:t>
      </w:r>
      <w:r w:rsidR="00DA2FBA">
        <w:t>[]</w:t>
      </w:r>
      <w:r w:rsidR="00DC7176">
        <w:t xml:space="preserve"> with the officials’ discharge of their duties, and violate</w:t>
      </w:r>
      <w:r w:rsidR="00DA2FBA">
        <w:t>[]</w:t>
      </w:r>
      <w:r w:rsidR="00DC7176">
        <w:t xml:space="preserve"> prison rules.”</w:t>
      </w:r>
      <w:r w:rsidR="00DA2FBA">
        <w:rPr>
          <w:rStyle w:val="EndnoteReference"/>
        </w:rPr>
        <w:endnoteReference w:id="208"/>
      </w:r>
    </w:p>
    <w:p w14:paraId="347B5EF8" w14:textId="77777777" w:rsidR="00CC3906" w:rsidRDefault="00CC3906" w:rsidP="003B1BE3">
      <w:pPr>
        <w:spacing w:line="220" w:lineRule="exact"/>
        <w:ind w:left="360"/>
        <w:jc w:val="both"/>
      </w:pPr>
    </w:p>
    <w:p w14:paraId="48B32EC1" w14:textId="55EE2E46" w:rsidR="00681BA7" w:rsidRPr="00345637" w:rsidRDefault="00681BA7" w:rsidP="00322085">
      <w:pPr>
        <w:pStyle w:val="Heading2"/>
      </w:pPr>
      <w:bookmarkStart w:id="53" w:name="_Toc159851471"/>
      <w:r w:rsidRPr="00345637">
        <w:t>B.</w:t>
      </w:r>
      <w:r w:rsidRPr="00345637">
        <w:tab/>
        <w:t>Statutes that Modify General Rights and Duties</w:t>
      </w:r>
      <w:bookmarkEnd w:id="53"/>
    </w:p>
    <w:p w14:paraId="4EFD3D5F" w14:textId="5E8AA596" w:rsidR="00CC3A71" w:rsidRDefault="00681BA7" w:rsidP="003B1BE3">
      <w:pPr>
        <w:spacing w:line="220" w:lineRule="exact"/>
        <w:ind w:left="360"/>
        <w:jc w:val="both"/>
      </w:pPr>
      <w:r>
        <w:t xml:space="preserve">Through legislation, the General Assembly can change the preceding rights and duties for </w:t>
      </w:r>
      <w:r w:rsidR="00EF196B">
        <w:t>specific</w:t>
      </w:r>
      <w:r>
        <w:t xml:space="preserve"> records, for </w:t>
      </w:r>
      <w:r w:rsidR="00EF196B">
        <w:t xml:space="preserve">specific </w:t>
      </w:r>
      <w:r>
        <w:t xml:space="preserve">public offices, for </w:t>
      </w:r>
      <w:r w:rsidR="00EF196B">
        <w:t>specific</w:t>
      </w:r>
      <w:r>
        <w:t xml:space="preserve"> requesters, or in specific situations.  Below are a few examples of modifications to the general rules.</w:t>
      </w:r>
    </w:p>
    <w:p w14:paraId="06706278" w14:textId="77777777" w:rsidR="00CC3906" w:rsidRDefault="00CC3906" w:rsidP="003B1BE3">
      <w:pPr>
        <w:spacing w:line="220" w:lineRule="exact"/>
        <w:ind w:left="360"/>
        <w:jc w:val="both"/>
      </w:pPr>
    </w:p>
    <w:p w14:paraId="5DF5FDA7" w14:textId="66E05820" w:rsidR="00681BA7" w:rsidRDefault="00681BA7" w:rsidP="00322085">
      <w:pPr>
        <w:pStyle w:val="Heading3"/>
      </w:pPr>
      <w:bookmarkStart w:id="54" w:name="_Toc159851472"/>
      <w:r>
        <w:t>1.</w:t>
      </w:r>
      <w:r>
        <w:tab/>
      </w:r>
      <w:r w:rsidR="00EF196B">
        <w:t xml:space="preserve">Specific </w:t>
      </w:r>
      <w:r>
        <w:t>records</w:t>
      </w:r>
      <w:bookmarkEnd w:id="54"/>
    </w:p>
    <w:p w14:paraId="09411BA9" w14:textId="706E522F" w:rsidR="00D759A1" w:rsidRDefault="00D759A1" w:rsidP="00D759A1">
      <w:pPr>
        <w:spacing w:line="220" w:lineRule="exact"/>
        <w:ind w:left="1440" w:hanging="360"/>
        <w:jc w:val="both"/>
      </w:pPr>
      <w:r w:rsidRPr="002421E7">
        <w:t>•</w:t>
      </w:r>
      <w:r>
        <w:tab/>
      </w:r>
      <w:r w:rsidR="00681BA7">
        <w:t>Although most DNA records kept by the Ohio Bureau of Criminal Identification and Investigation (BCI) are protected from disclosure by exemptions,</w:t>
      </w:r>
      <w:r w:rsidR="00681BA7">
        <w:rPr>
          <w:rStyle w:val="EndnoteReference"/>
        </w:rPr>
        <w:endnoteReference w:id="209"/>
      </w:r>
      <w:r w:rsidR="00681BA7">
        <w:t xml:space="preserve"> Ohio law requires that the results of DNA testing of an inmate who obtains post-conviction testing must be disclosed to any requester,</w:t>
      </w:r>
      <w:r w:rsidR="00681BA7">
        <w:rPr>
          <w:rStyle w:val="EndnoteReference"/>
        </w:rPr>
        <w:endnoteReference w:id="210"/>
      </w:r>
      <w:r w:rsidR="00681BA7">
        <w:t xml:space="preserve"> which would include results of testing conducted by BCI.</w:t>
      </w:r>
    </w:p>
    <w:p w14:paraId="15B36BEA" w14:textId="77777777" w:rsidR="00D759A1" w:rsidRDefault="00D759A1" w:rsidP="00D759A1">
      <w:pPr>
        <w:spacing w:line="220" w:lineRule="exact"/>
        <w:ind w:left="1440" w:hanging="360"/>
        <w:jc w:val="both"/>
      </w:pPr>
    </w:p>
    <w:p w14:paraId="00A81042" w14:textId="77777777" w:rsidR="00D759A1" w:rsidRDefault="00D759A1" w:rsidP="00D759A1">
      <w:pPr>
        <w:spacing w:line="220" w:lineRule="exact"/>
        <w:ind w:left="1440" w:hanging="360"/>
        <w:jc w:val="both"/>
      </w:pPr>
      <w:r w:rsidRPr="002421E7">
        <w:t>•</w:t>
      </w:r>
      <w:r>
        <w:tab/>
      </w:r>
      <w:r w:rsidR="00681BA7">
        <w:t>Certain Ohio sex offender records must be posted on a public website without waiting for an individual public records request.</w:t>
      </w:r>
      <w:r w:rsidR="00681BA7">
        <w:rPr>
          <w:rStyle w:val="EndnoteReference"/>
        </w:rPr>
        <w:endnoteReference w:id="211"/>
      </w:r>
      <w:r>
        <w:t xml:space="preserve"> </w:t>
      </w:r>
    </w:p>
    <w:p w14:paraId="53BE279B" w14:textId="77777777" w:rsidR="00D759A1" w:rsidRDefault="00D759A1" w:rsidP="00D759A1">
      <w:pPr>
        <w:spacing w:line="220" w:lineRule="exact"/>
        <w:ind w:left="1440" w:hanging="360"/>
        <w:jc w:val="both"/>
      </w:pPr>
    </w:p>
    <w:p w14:paraId="612CA12B" w14:textId="77777777" w:rsidR="00D759A1" w:rsidRDefault="00D759A1" w:rsidP="00D759A1">
      <w:pPr>
        <w:spacing w:line="220" w:lineRule="exact"/>
        <w:ind w:left="1440" w:hanging="360"/>
        <w:jc w:val="both"/>
      </w:pPr>
      <w:r w:rsidRPr="002421E7">
        <w:t>•</w:t>
      </w:r>
      <w:r>
        <w:tab/>
      </w:r>
      <w:r w:rsidR="00681BA7">
        <w:t>Ohio law specifies that a public office’s release of an “infrastructure record” or “security record” to a private business for certain purposes does not waive these exemptions,</w:t>
      </w:r>
      <w:r w:rsidR="00681BA7">
        <w:rPr>
          <w:rStyle w:val="EndnoteReference"/>
        </w:rPr>
        <w:endnoteReference w:id="212"/>
      </w:r>
      <w:r w:rsidR="00681BA7">
        <w:t xml:space="preserve"> despite the </w:t>
      </w:r>
      <w:r w:rsidR="00CC3A71">
        <w:t>general</w:t>
      </w:r>
      <w:r w:rsidR="00681BA7">
        <w:t xml:space="preserve"> rule that voluntary release to a member of the public waives any exemption(s).</w:t>
      </w:r>
      <w:r w:rsidR="00681BA7">
        <w:rPr>
          <w:rStyle w:val="EndnoteReference"/>
        </w:rPr>
        <w:endnoteReference w:id="213"/>
      </w:r>
    </w:p>
    <w:p w14:paraId="2D917860" w14:textId="77777777" w:rsidR="00D759A1" w:rsidRDefault="00D759A1" w:rsidP="00D759A1">
      <w:pPr>
        <w:spacing w:line="220" w:lineRule="exact"/>
        <w:ind w:left="1440" w:hanging="360"/>
        <w:jc w:val="both"/>
      </w:pPr>
    </w:p>
    <w:p w14:paraId="6D892B9A" w14:textId="313D7F40" w:rsidR="00681BA7" w:rsidRDefault="00D759A1" w:rsidP="00D759A1">
      <w:pPr>
        <w:spacing w:line="220" w:lineRule="exact"/>
        <w:ind w:left="1440" w:hanging="360"/>
        <w:jc w:val="both"/>
      </w:pPr>
      <w:r w:rsidRPr="002421E7">
        <w:lastRenderedPageBreak/>
        <w:t>•</w:t>
      </w:r>
      <w:r>
        <w:tab/>
      </w:r>
      <w:r w:rsidR="00681BA7">
        <w:t>Contracts and financial records of moneys expended in relation to services provided under those contracts to federal, state, or local government by another governmental entity or agency, or by most nonprofit corporations or associations, shall be deemed to be public records, except as otherwise provided by R.C. 149.431.</w:t>
      </w:r>
      <w:r w:rsidR="00681BA7">
        <w:rPr>
          <w:rStyle w:val="EndnoteReference"/>
        </w:rPr>
        <w:endnoteReference w:id="214"/>
      </w:r>
    </w:p>
    <w:p w14:paraId="58B50BC3" w14:textId="77777777" w:rsidR="00CC3906" w:rsidRDefault="00CC3906" w:rsidP="00D759A1">
      <w:pPr>
        <w:spacing w:line="220" w:lineRule="exact"/>
        <w:ind w:left="1440" w:hanging="360"/>
        <w:jc w:val="both"/>
      </w:pPr>
    </w:p>
    <w:p w14:paraId="28253DC4" w14:textId="2953B77A" w:rsidR="00681BA7" w:rsidRDefault="00681BA7" w:rsidP="00322085">
      <w:pPr>
        <w:pStyle w:val="Heading3"/>
      </w:pPr>
      <w:bookmarkStart w:id="55" w:name="_Toc159851473"/>
      <w:r>
        <w:t>2.</w:t>
      </w:r>
      <w:r>
        <w:tab/>
      </w:r>
      <w:r w:rsidR="00EF196B">
        <w:t>Specific</w:t>
      </w:r>
      <w:r>
        <w:t xml:space="preserve"> public offices</w:t>
      </w:r>
      <w:bookmarkEnd w:id="55"/>
    </w:p>
    <w:p w14:paraId="2B2D0F8C" w14:textId="29F5B6E2" w:rsidR="00D759A1" w:rsidRDefault="00D759A1" w:rsidP="00D759A1">
      <w:pPr>
        <w:spacing w:line="220" w:lineRule="exact"/>
        <w:ind w:left="1440" w:hanging="360"/>
        <w:jc w:val="both"/>
      </w:pPr>
      <w:r w:rsidRPr="002421E7">
        <w:t>•</w:t>
      </w:r>
      <w:r>
        <w:tab/>
      </w:r>
      <w:r w:rsidR="00681BA7">
        <w:t>The Ohio Bureau of Motor Vehicles is authorized to charge a non-refundable fee of four dollars for each highway patrol accident report for which it receives a request</w:t>
      </w:r>
      <w:r w:rsidR="00CC3A71">
        <w:t>;</w:t>
      </w:r>
      <w:r w:rsidR="00681BA7">
        <w:rPr>
          <w:rStyle w:val="EndnoteReference"/>
        </w:rPr>
        <w:endnoteReference w:id="215"/>
      </w:r>
      <w:r w:rsidR="00681BA7">
        <w:t xml:space="preserve"> a coroner’s office may charge a record retrieval and copying fee of twenty-five cents per page, with a minimum charge of one dollar,</w:t>
      </w:r>
      <w:r w:rsidR="00681BA7">
        <w:rPr>
          <w:rStyle w:val="EndnoteReference"/>
        </w:rPr>
        <w:endnoteReference w:id="216"/>
      </w:r>
      <w:r w:rsidR="00681BA7">
        <w:t xml:space="preserve"> despite the general requirement that a public office may only charge the “actual cost” of copies.</w:t>
      </w:r>
      <w:r w:rsidR="00681BA7">
        <w:rPr>
          <w:rStyle w:val="EndnoteReference"/>
        </w:rPr>
        <w:endnoteReference w:id="217"/>
      </w:r>
    </w:p>
    <w:p w14:paraId="604364F8" w14:textId="77777777" w:rsidR="00D759A1" w:rsidRDefault="00D759A1" w:rsidP="00D759A1">
      <w:pPr>
        <w:spacing w:line="220" w:lineRule="exact"/>
        <w:ind w:left="1440" w:hanging="360"/>
        <w:jc w:val="both"/>
      </w:pPr>
    </w:p>
    <w:p w14:paraId="4A615894" w14:textId="77777777" w:rsidR="00D759A1" w:rsidRDefault="00D759A1" w:rsidP="00D759A1">
      <w:pPr>
        <w:spacing w:line="220" w:lineRule="exact"/>
        <w:ind w:left="1440" w:hanging="360"/>
        <w:jc w:val="both"/>
      </w:pPr>
      <w:r w:rsidRPr="002421E7">
        <w:t>•</w:t>
      </w:r>
      <w:r>
        <w:tab/>
      </w:r>
      <w:r w:rsidR="00CC3A71">
        <w:t xml:space="preserve">The case records and administrative records of </w:t>
      </w:r>
      <w:r w:rsidR="00681BA7">
        <w:t>Ohio courts</w:t>
      </w:r>
      <w:r w:rsidR="00CC3A71">
        <w:t xml:space="preserve"> of common pleas, courts of appeals, and the Supreme Court of Ohio, </w:t>
      </w:r>
      <w:r w:rsidR="00681BA7">
        <w:t xml:space="preserve">are not subject to the Public Records Act.  Rather, </w:t>
      </w:r>
      <w:r w:rsidR="00236CCE">
        <w:t>these</w:t>
      </w:r>
      <w:r w:rsidR="00DA2FBA">
        <w:t xml:space="preserve"> </w:t>
      </w:r>
      <w:r w:rsidR="00681BA7">
        <w:t>courts apply the records access rules of the</w:t>
      </w:r>
      <w:r w:rsidR="00236CCE">
        <w:t xml:space="preserve"> </w:t>
      </w:r>
      <w:r w:rsidR="00681BA7">
        <w:t>Rules of Superintendence</w:t>
      </w:r>
      <w:r w:rsidR="00236CCE">
        <w:t xml:space="preserve"> of the Courts of Ohio</w:t>
      </w:r>
      <w:r w:rsidR="00681BA7">
        <w:t>.</w:t>
      </w:r>
      <w:r w:rsidR="00681BA7">
        <w:rPr>
          <w:rStyle w:val="EndnoteReference"/>
        </w:rPr>
        <w:endnoteReference w:id="218"/>
      </w:r>
    </w:p>
    <w:p w14:paraId="1400697F" w14:textId="77777777" w:rsidR="00D759A1" w:rsidRDefault="00D759A1" w:rsidP="00D759A1">
      <w:pPr>
        <w:spacing w:line="220" w:lineRule="exact"/>
        <w:ind w:left="1440" w:hanging="360"/>
        <w:jc w:val="both"/>
      </w:pPr>
    </w:p>
    <w:p w14:paraId="73B5577D" w14:textId="55DAB78D" w:rsidR="00236CCE" w:rsidRDefault="00D759A1" w:rsidP="00D759A1">
      <w:pPr>
        <w:spacing w:line="220" w:lineRule="exact"/>
        <w:ind w:left="1440" w:hanging="360"/>
        <w:jc w:val="both"/>
      </w:pPr>
      <w:r w:rsidRPr="002421E7">
        <w:t>•</w:t>
      </w:r>
      <w:r>
        <w:tab/>
        <w:t>I</w:t>
      </w:r>
      <w:r w:rsidR="00681BA7">
        <w:t xml:space="preserve">nformation in a competitive sealed proposal and bid submitted to a county contracting authority becomes a public record subject to inspection and copying only </w:t>
      </w:r>
      <w:r w:rsidR="00681BA7">
        <w:rPr>
          <w:i/>
        </w:rPr>
        <w:t>after</w:t>
      </w:r>
      <w:r w:rsidR="00681BA7">
        <w:t xml:space="preserve"> the contract is awarded.  After the bid is opened by the contracting authority, any information that is subject to an exemption set out in the Public Records Act may be redacted by the contracting authority before the record is made public.</w:t>
      </w:r>
      <w:r w:rsidR="00681BA7">
        <w:rPr>
          <w:rStyle w:val="EndnoteReference"/>
        </w:rPr>
        <w:endnoteReference w:id="219"/>
      </w:r>
    </w:p>
    <w:p w14:paraId="1E4C7EF1" w14:textId="77777777" w:rsidR="00CC3906" w:rsidRDefault="00CC3906" w:rsidP="00D759A1">
      <w:pPr>
        <w:spacing w:line="220" w:lineRule="exact"/>
        <w:ind w:left="1440" w:hanging="360"/>
        <w:jc w:val="both"/>
      </w:pPr>
    </w:p>
    <w:p w14:paraId="507EDC21" w14:textId="23C8A062" w:rsidR="00681BA7" w:rsidRDefault="00681BA7" w:rsidP="00322085">
      <w:pPr>
        <w:pStyle w:val="Heading3"/>
      </w:pPr>
      <w:bookmarkStart w:id="56" w:name="_Toc159851474"/>
      <w:r>
        <w:t>3.</w:t>
      </w:r>
      <w:r>
        <w:tab/>
      </w:r>
      <w:r w:rsidR="00EF196B">
        <w:t xml:space="preserve">Specific </w:t>
      </w:r>
      <w:r>
        <w:t>requesters or purposes</w:t>
      </w:r>
      <w:bookmarkEnd w:id="56"/>
    </w:p>
    <w:p w14:paraId="48DF0AD6" w14:textId="11348266" w:rsidR="00D759A1" w:rsidRDefault="00D759A1" w:rsidP="00D759A1">
      <w:pPr>
        <w:spacing w:line="220" w:lineRule="exact"/>
        <w:ind w:left="1440" w:hanging="360"/>
        <w:jc w:val="both"/>
      </w:pPr>
      <w:r w:rsidRPr="002421E7">
        <w:t>•</w:t>
      </w:r>
      <w:r>
        <w:tab/>
      </w:r>
      <w:r w:rsidR="00681BA7">
        <w:t>Directory information concerning public school students may not be released if the intended use is for a profit-making plan or activity.</w:t>
      </w:r>
      <w:r w:rsidR="00681BA7">
        <w:rPr>
          <w:rStyle w:val="EndnoteReference"/>
        </w:rPr>
        <w:endnoteReference w:id="220"/>
      </w:r>
    </w:p>
    <w:p w14:paraId="7F865FE3" w14:textId="77777777" w:rsidR="00D759A1" w:rsidRDefault="00D759A1" w:rsidP="00D759A1">
      <w:pPr>
        <w:spacing w:line="220" w:lineRule="exact"/>
        <w:ind w:left="1440" w:hanging="360"/>
        <w:jc w:val="both"/>
      </w:pPr>
    </w:p>
    <w:p w14:paraId="4D042E0F" w14:textId="2D4547F9" w:rsidR="00236CCE" w:rsidRDefault="00D759A1" w:rsidP="00D759A1">
      <w:pPr>
        <w:spacing w:line="220" w:lineRule="exact"/>
        <w:ind w:left="1440" w:hanging="360"/>
        <w:jc w:val="both"/>
      </w:pPr>
      <w:r w:rsidRPr="002421E7">
        <w:t>•</w:t>
      </w:r>
      <w:r>
        <w:tab/>
      </w:r>
      <w:r w:rsidR="00681BA7">
        <w:t>Incarcerated persons, commercial requesters, and journalists are subject to combinations of modified rights and obligations, discussed below.</w:t>
      </w:r>
    </w:p>
    <w:p w14:paraId="7559393F" w14:textId="77777777" w:rsidR="00CC3906" w:rsidRDefault="00CC3906" w:rsidP="00D759A1">
      <w:pPr>
        <w:spacing w:line="220" w:lineRule="exact"/>
        <w:ind w:left="1440" w:hanging="360"/>
        <w:jc w:val="both"/>
      </w:pPr>
    </w:p>
    <w:p w14:paraId="5B92B936" w14:textId="0161E5B3" w:rsidR="00681BA7" w:rsidRDefault="00681BA7" w:rsidP="00322085">
      <w:pPr>
        <w:pStyle w:val="Heading3"/>
      </w:pPr>
      <w:bookmarkStart w:id="57" w:name="_Toc159851475"/>
      <w:r>
        <w:t>4.</w:t>
      </w:r>
      <w:r>
        <w:tab/>
        <w:t>Modified records access for certain requesters</w:t>
      </w:r>
      <w:bookmarkEnd w:id="57"/>
    </w:p>
    <w:p w14:paraId="26D8246F" w14:textId="2EDFB7D2" w:rsidR="00681BA7" w:rsidRDefault="00681BA7">
      <w:pPr>
        <w:spacing w:line="220" w:lineRule="exact"/>
        <w:ind w:left="360"/>
        <w:jc w:val="both"/>
      </w:pPr>
      <w:r>
        <w:t xml:space="preserve">The rights and obligations of the following requesters differ from those generally provided by the Public Records Act.  Some are required to disclose the intended use of the records or motive behind the request.  Others may be required to provide more information or make the request in a specific fashion.  Some requesters are given greater access to records than other </w:t>
      </w:r>
      <w:r w:rsidR="007C1AA0">
        <w:t>requesters</w:t>
      </w:r>
      <w:r>
        <w:t xml:space="preserve">, and some are more restricted.  These are only examples.  </w:t>
      </w:r>
      <w:r w:rsidR="00D52F57">
        <w:t>B</w:t>
      </w:r>
      <w:r>
        <w:t xml:space="preserve">e sure to check for any current law modifying access to the </w:t>
      </w:r>
      <w:r w:rsidR="0049072B">
        <w:t>specific</w:t>
      </w:r>
      <w:r>
        <w:t xml:space="preserve"> public records with which you are concerned.</w:t>
      </w:r>
    </w:p>
    <w:p w14:paraId="3230E2E3" w14:textId="77777777" w:rsidR="00CC3906" w:rsidRDefault="00CC3906">
      <w:pPr>
        <w:spacing w:line="220" w:lineRule="exact"/>
        <w:ind w:left="360"/>
        <w:jc w:val="both"/>
      </w:pPr>
    </w:p>
    <w:p w14:paraId="4CFA8BAB" w14:textId="42FC5327" w:rsidR="00681BA7" w:rsidRDefault="00681BA7" w:rsidP="00BD2AE1">
      <w:pPr>
        <w:pStyle w:val="Heading4"/>
      </w:pPr>
      <w:bookmarkStart w:id="58" w:name="_Toc159851476"/>
      <w:r>
        <w:t>a.</w:t>
      </w:r>
      <w:r>
        <w:tab/>
      </w:r>
      <w:r w:rsidR="00C100EF">
        <w:tab/>
      </w:r>
      <w:r>
        <w:t>Prison inmates</w:t>
      </w:r>
      <w:bookmarkEnd w:id="58"/>
    </w:p>
    <w:p w14:paraId="68C7BC58" w14:textId="5FD76251" w:rsidR="00DA2FBA" w:rsidRDefault="00681BA7" w:rsidP="000B049A">
      <w:pPr>
        <w:spacing w:line="220" w:lineRule="exact"/>
        <w:ind w:left="360"/>
        <w:jc w:val="both"/>
      </w:pPr>
      <w:r>
        <w:t>Prison inmates may request public records</w:t>
      </w:r>
      <w:r w:rsidR="00AA0D0B">
        <w:t xml:space="preserve"> </w:t>
      </w:r>
      <w:r>
        <w:t xml:space="preserve">must follow a </w:t>
      </w:r>
      <w:r w:rsidR="0049072B">
        <w:t>statutorily mandated</w:t>
      </w:r>
      <w:r>
        <w:t xml:space="preserve"> process if requesting records </w:t>
      </w:r>
      <w:r w:rsidRPr="0049072B">
        <w:t>concerning any criminal investigation or prosecution</w:t>
      </w:r>
      <w:r w:rsidR="007C1AA0" w:rsidRPr="0049072B">
        <w:t>,</w:t>
      </w:r>
      <w:r w:rsidRPr="0049072B">
        <w:t xml:space="preserve"> or a juvenile delinquency investigation that otherwise would be a criminal investigation or prosecution if the subject were an adult.</w:t>
      </w:r>
      <w:r w:rsidRPr="0049072B">
        <w:rPr>
          <w:rStyle w:val="EndnoteReference"/>
        </w:rPr>
        <w:endnoteReference w:id="221"/>
      </w:r>
      <w:r w:rsidRPr="0049072B">
        <w:t xml:space="preserve">  </w:t>
      </w:r>
      <w:r w:rsidR="00AA0D0B" w:rsidRPr="0049072B">
        <w:t>Refer to Chapter Four:</w:t>
      </w:r>
      <w:r w:rsidR="0049072B" w:rsidRPr="0049072B">
        <w:t xml:space="preserve"> F. “Modified Access to Records for Prison Inmates,” </w:t>
      </w:r>
      <w:r w:rsidR="00AA0D0B" w:rsidRPr="0049072B">
        <w:t xml:space="preserve">for more detailed </w:t>
      </w:r>
      <w:r w:rsidR="003A1526" w:rsidRPr="0049072B">
        <w:t>discussion</w:t>
      </w:r>
      <w:r w:rsidR="00AA0D0B" w:rsidRPr="0049072B">
        <w:t xml:space="preserve"> on this requirement.</w:t>
      </w:r>
    </w:p>
    <w:p w14:paraId="5338D8B4" w14:textId="77777777" w:rsidR="00CC3906" w:rsidRDefault="00CC3906" w:rsidP="000B049A">
      <w:pPr>
        <w:spacing w:line="220" w:lineRule="exact"/>
        <w:ind w:left="360"/>
        <w:jc w:val="both"/>
      </w:pPr>
    </w:p>
    <w:p w14:paraId="4BD3EE69" w14:textId="012B446A" w:rsidR="00681BA7" w:rsidRDefault="00681BA7" w:rsidP="00BD2AE1">
      <w:pPr>
        <w:pStyle w:val="Heading4"/>
      </w:pPr>
      <w:bookmarkStart w:id="59" w:name="_Toc159851477"/>
      <w:r>
        <w:t>b.</w:t>
      </w:r>
      <w:r>
        <w:tab/>
      </w:r>
      <w:r w:rsidR="00C100EF">
        <w:tab/>
      </w:r>
      <w:r>
        <w:t>Commercial requesters</w:t>
      </w:r>
      <w:bookmarkEnd w:id="59"/>
    </w:p>
    <w:p w14:paraId="1C6E1042" w14:textId="77777777" w:rsidR="00681BA7" w:rsidRDefault="00681BA7">
      <w:pPr>
        <w:spacing w:line="220" w:lineRule="exact"/>
        <w:ind w:left="360"/>
        <w:jc w:val="both"/>
      </w:pPr>
      <w:r>
        <w:t>Unless a specific statute provides otherwise,</w:t>
      </w:r>
      <w:r>
        <w:rPr>
          <w:rStyle w:val="EndnoteReference"/>
        </w:rPr>
        <w:endnoteReference w:id="222"/>
      </w:r>
      <w:r>
        <w:t xml:space="preserve"> it is irrelevant whether the intended use of requested records is for commercial purposes.</w:t>
      </w:r>
      <w:r>
        <w:rPr>
          <w:rStyle w:val="EndnoteReference"/>
        </w:rPr>
        <w:endnoteReference w:id="223"/>
      </w:r>
      <w:r>
        <w:t xml:space="preserve">  However, if an individual or entity is making public records requests for commercial purposes, the public office receiving the requests can limit the number of </w:t>
      </w:r>
      <w:r>
        <w:lastRenderedPageBreak/>
        <w:t>records “that the office will physically deliver by United States mail or by another delivery service to ten per month.”</w:t>
      </w:r>
      <w:r>
        <w:rPr>
          <w:rStyle w:val="EndnoteReference"/>
        </w:rPr>
        <w:endnoteReference w:id="224"/>
      </w:r>
    </w:p>
    <w:p w14:paraId="45726CD9" w14:textId="77777777" w:rsidR="00681BA7" w:rsidRDefault="00681BA7">
      <w:pPr>
        <w:spacing w:line="220" w:lineRule="exact"/>
        <w:ind w:left="360"/>
        <w:jc w:val="both"/>
      </w:pPr>
    </w:p>
    <w:p w14:paraId="5A35EC2E" w14:textId="666CEC66" w:rsidR="00D65B63" w:rsidRDefault="00681BA7" w:rsidP="006905A3">
      <w:pPr>
        <w:spacing w:line="220" w:lineRule="exact"/>
        <w:ind w:left="360"/>
        <w:jc w:val="both"/>
      </w:pPr>
      <w:r>
        <w:t>For purposes of this limitation, the term “commercial purposes”</w:t>
      </w:r>
      <w:r>
        <w:rPr>
          <w:rStyle w:val="EndnoteReference"/>
        </w:rPr>
        <w:endnoteReference w:id="225"/>
      </w:r>
      <w:r>
        <w:t xml:space="preserve"> is to be narrowly construed and does not include the following activities:</w:t>
      </w:r>
      <w:r w:rsidR="006905A3">
        <w:t xml:space="preserve"> r</w:t>
      </w:r>
      <w:r>
        <w:t>eporting or gathering news</w:t>
      </w:r>
      <w:r w:rsidR="006905A3">
        <w:t>; r</w:t>
      </w:r>
      <w:r>
        <w:t>eporting or gathering information to assist citizen oversight or understanding of the operation or activities of government; or</w:t>
      </w:r>
      <w:r w:rsidR="006905A3">
        <w:t xml:space="preserve"> n</w:t>
      </w:r>
      <w:r>
        <w:t>onprofit educational research.</w:t>
      </w:r>
      <w:r>
        <w:rPr>
          <w:rStyle w:val="EndnoteReference"/>
        </w:rPr>
        <w:endnoteReference w:id="226"/>
      </w:r>
    </w:p>
    <w:p w14:paraId="58B1D8D3" w14:textId="77777777" w:rsidR="00CC3906" w:rsidRDefault="00CC3906" w:rsidP="006905A3">
      <w:pPr>
        <w:spacing w:line="220" w:lineRule="exact"/>
        <w:ind w:left="360"/>
        <w:jc w:val="both"/>
      </w:pPr>
    </w:p>
    <w:p w14:paraId="4DD9BCA9" w14:textId="0589A2DD" w:rsidR="00681BA7" w:rsidRDefault="00681BA7" w:rsidP="00BD2AE1">
      <w:pPr>
        <w:pStyle w:val="Heading4"/>
      </w:pPr>
      <w:bookmarkStart w:id="60" w:name="_Toc159851478"/>
      <w:r>
        <w:t>c.</w:t>
      </w:r>
      <w:r w:rsidR="00C100EF">
        <w:tab/>
      </w:r>
      <w:r>
        <w:tab/>
        <w:t>Journalists</w:t>
      </w:r>
      <w:bookmarkEnd w:id="60"/>
    </w:p>
    <w:p w14:paraId="35276DB2" w14:textId="77777777" w:rsidR="00681BA7" w:rsidRDefault="00681BA7">
      <w:pPr>
        <w:spacing w:line="220" w:lineRule="exact"/>
        <w:ind w:left="360"/>
        <w:jc w:val="both"/>
      </w:pPr>
      <w:r>
        <w:t>Several statutes grant “journalists”</w:t>
      </w:r>
      <w:r>
        <w:rPr>
          <w:rStyle w:val="EndnoteReference"/>
        </w:rPr>
        <w:endnoteReference w:id="227"/>
      </w:r>
      <w:r>
        <w:t xml:space="preserve"> enhanced access to certain records that are not available to other requesters.  This enhanced access is sometimes conditioned on the journalist providing information or representations not normally required of a requester.</w:t>
      </w:r>
    </w:p>
    <w:p w14:paraId="44A81863" w14:textId="77777777" w:rsidR="00681BA7" w:rsidRDefault="00681BA7">
      <w:pPr>
        <w:spacing w:line="220" w:lineRule="exact"/>
        <w:ind w:left="360"/>
        <w:jc w:val="both"/>
      </w:pPr>
    </w:p>
    <w:p w14:paraId="7397E89C" w14:textId="2212AE73" w:rsidR="00236CCE" w:rsidRDefault="00F33666" w:rsidP="006905A3">
      <w:pPr>
        <w:spacing w:line="220" w:lineRule="exact"/>
        <w:ind w:left="360"/>
        <w:jc w:val="both"/>
      </w:pPr>
      <w:r>
        <w:t>Specifically,</w:t>
      </w:r>
      <w:r w:rsidR="00681BA7">
        <w:t xml:space="preserve"> the journalist must:</w:t>
      </w:r>
      <w:r w:rsidR="006905A3">
        <w:t xml:space="preserve"> (1) m</w:t>
      </w:r>
      <w:r w:rsidR="00681BA7">
        <w:t>ake the request in writing and sign the request;</w:t>
      </w:r>
      <w:r w:rsidR="006905A3">
        <w:t xml:space="preserve"> (2) i</w:t>
      </w:r>
      <w:r w:rsidR="00681BA7">
        <w:t>dentify himself or herself by name, title, and employer’s name and address; and</w:t>
      </w:r>
      <w:r w:rsidR="006905A3">
        <w:t xml:space="preserve"> (3) s</w:t>
      </w:r>
      <w:r w:rsidR="00681BA7">
        <w:t>tate that disclosure of the information sought would be in the public interest.</w:t>
      </w:r>
      <w:r w:rsidR="00681BA7">
        <w:rPr>
          <w:rStyle w:val="EndnoteReference"/>
        </w:rPr>
        <w:endnoteReference w:id="228"/>
      </w:r>
    </w:p>
    <w:p w14:paraId="4BC4593C" w14:textId="77777777" w:rsidR="00AF6A2F" w:rsidRDefault="00AF6A2F" w:rsidP="006905A3">
      <w:pPr>
        <w:spacing w:line="220" w:lineRule="exact"/>
        <w:ind w:left="360"/>
        <w:jc w:val="both"/>
      </w:pPr>
    </w:p>
    <w:p w14:paraId="7CB0653B" w14:textId="67B58EF2" w:rsidR="006477B4" w:rsidRDefault="006477B4" w:rsidP="006477B4">
      <w:pPr>
        <w:spacing w:after="240"/>
        <w:jc w:val="center"/>
        <w:rPr>
          <w:b/>
          <w:i/>
          <w:sz w:val="28"/>
        </w:rPr>
      </w:pPr>
      <w:r w:rsidRPr="006477B4">
        <w:rPr>
          <w:b/>
          <w:i/>
          <w:sz w:val="28"/>
        </w:rPr>
        <w:t>Journalist Requests</w:t>
      </w:r>
    </w:p>
    <w:p w14:paraId="162882F2" w14:textId="77777777" w:rsidR="006477B4" w:rsidRDefault="006477B4">
      <w:pPr>
        <w:rPr>
          <w:sz w:val="2"/>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ypes of Journalist Requests"/>
        <w:tblDescription w:val="A table listing the types of requests that journalists may submit to public offices."/>
      </w:tblPr>
      <w:tblGrid>
        <w:gridCol w:w="5984"/>
        <w:gridCol w:w="1842"/>
        <w:gridCol w:w="1842"/>
      </w:tblGrid>
      <w:tr w:rsidR="001714BC" w14:paraId="3FD1D0EE" w14:textId="77777777" w:rsidTr="009E3819">
        <w:trPr>
          <w:cantSplit/>
          <w:trHeight w:val="728"/>
          <w:tblHeader/>
          <w:jc w:val="center"/>
        </w:trPr>
        <w:tc>
          <w:tcPr>
            <w:tcW w:w="5984" w:type="dxa"/>
            <w:shd w:val="clear" w:color="auto" w:fill="D9D9D9"/>
            <w:vAlign w:val="center"/>
          </w:tcPr>
          <w:p w14:paraId="2B3430CB" w14:textId="77777777" w:rsidR="00681BA7" w:rsidRDefault="00681BA7">
            <w:pPr>
              <w:jc w:val="center"/>
              <w:rPr>
                <w:b/>
                <w:i/>
              </w:rPr>
            </w:pPr>
            <w:r>
              <w:rPr>
                <w:b/>
                <w:i/>
              </w:rPr>
              <w:t>Type of Request</w:t>
            </w:r>
          </w:p>
        </w:tc>
        <w:tc>
          <w:tcPr>
            <w:tcW w:w="1842" w:type="dxa"/>
            <w:shd w:val="clear" w:color="auto" w:fill="D9D9D9"/>
            <w:vAlign w:val="center"/>
          </w:tcPr>
          <w:p w14:paraId="0C409C0A" w14:textId="77777777" w:rsidR="00681BA7" w:rsidRDefault="00681BA7" w:rsidP="00174E6B">
            <w:pPr>
              <w:jc w:val="center"/>
              <w:rPr>
                <w:b/>
                <w:i/>
              </w:rPr>
            </w:pPr>
            <w:r>
              <w:rPr>
                <w:b/>
                <w:i/>
              </w:rPr>
              <w:t>ORC Section</w:t>
            </w:r>
          </w:p>
        </w:tc>
        <w:tc>
          <w:tcPr>
            <w:tcW w:w="1842" w:type="dxa"/>
            <w:shd w:val="clear" w:color="auto" w:fill="D9D9D9"/>
            <w:vAlign w:val="center"/>
          </w:tcPr>
          <w:p w14:paraId="25AED944" w14:textId="77777777" w:rsidR="00681BA7" w:rsidRDefault="00681BA7" w:rsidP="00174E6B">
            <w:pPr>
              <w:jc w:val="center"/>
              <w:rPr>
                <w:b/>
                <w:i/>
              </w:rPr>
            </w:pPr>
            <w:r>
              <w:rPr>
                <w:b/>
                <w:i/>
              </w:rPr>
              <w:t>Requester May:</w:t>
            </w:r>
          </w:p>
        </w:tc>
      </w:tr>
      <w:tr w:rsidR="001714BC" w14:paraId="04F3D9B8" w14:textId="77777777" w:rsidTr="009E3819">
        <w:trPr>
          <w:cantSplit/>
          <w:jc w:val="center"/>
        </w:trPr>
        <w:tc>
          <w:tcPr>
            <w:tcW w:w="5984" w:type="dxa"/>
            <w:shd w:val="clear" w:color="auto" w:fill="auto"/>
          </w:tcPr>
          <w:p w14:paraId="6F492262" w14:textId="048899B4" w:rsidR="00681BA7" w:rsidRDefault="00681BA7">
            <w:pPr>
              <w:spacing w:before="120" w:after="120" w:line="220" w:lineRule="exact"/>
              <w:jc w:val="both"/>
            </w:pPr>
            <w:r>
              <w:t>Actual personal residential address of a “designated public service worker,” which includes:</w:t>
            </w:r>
          </w:p>
          <w:p w14:paraId="63B90754" w14:textId="5B6A42FB" w:rsidR="00681BA7" w:rsidRDefault="00DA2FBA" w:rsidP="001F0CB1">
            <w:pPr>
              <w:spacing w:after="120" w:line="220" w:lineRule="exact"/>
              <w:jc w:val="both"/>
            </w:pPr>
            <w:bookmarkStart w:id="61" w:name="_Hlk95913182"/>
            <w:r>
              <w:t xml:space="preserve">A peace officer, parole officer, probation officer, bailiff, prosecuting attorney, assistant prosecuting attorney, correctional employee, county or multicounty corrections officer, community-based correctional facility employee, designated Ohio national guard member, protective services worker, </w:t>
            </w:r>
            <w:r w:rsidR="00341857">
              <w:t>youth services employee, firefighter, EMT, medical director or member of a cooperating physician advisory board of an emergency medical service organization, state board of pharmacy employee, investigator of the Bureau of Criminal Identification and Investigation, emergency service telecommunicator, forensic mental health provider, mental health evaluation provider, regional psychiatric hospital employee, judge, magistrate, or federal law enforcement officer.</w:t>
            </w:r>
            <w:bookmarkEnd w:id="61"/>
          </w:p>
        </w:tc>
        <w:tc>
          <w:tcPr>
            <w:tcW w:w="1842" w:type="dxa"/>
            <w:shd w:val="clear" w:color="auto" w:fill="auto"/>
            <w:vAlign w:val="center"/>
          </w:tcPr>
          <w:p w14:paraId="4C5B19ED" w14:textId="77777777" w:rsidR="00681BA7" w:rsidRDefault="00681BA7">
            <w:pPr>
              <w:spacing w:after="120" w:line="220" w:lineRule="exact"/>
              <w:jc w:val="center"/>
              <w:rPr>
                <w:b/>
              </w:rPr>
            </w:pPr>
            <w:r>
              <w:rPr>
                <w:b/>
              </w:rPr>
              <w:t>149.43(B)(9)(a)</w:t>
            </w:r>
          </w:p>
        </w:tc>
        <w:tc>
          <w:tcPr>
            <w:tcW w:w="1842" w:type="dxa"/>
            <w:shd w:val="clear" w:color="auto" w:fill="auto"/>
            <w:vAlign w:val="center"/>
          </w:tcPr>
          <w:p w14:paraId="5DFE6EF7" w14:textId="77777777" w:rsidR="00681BA7" w:rsidRDefault="00681BA7" w:rsidP="00E60C5A">
            <w:pPr>
              <w:spacing w:after="120" w:line="220" w:lineRule="exact"/>
              <w:rPr>
                <w:b/>
              </w:rPr>
            </w:pPr>
            <w:r>
              <w:rPr>
                <w:b/>
              </w:rPr>
              <w:t>Inspect or copy</w:t>
            </w:r>
            <w:r>
              <w:rPr>
                <w:b/>
              </w:rPr>
              <w:br/>
              <w:t>the record(s)</w:t>
            </w:r>
          </w:p>
        </w:tc>
      </w:tr>
      <w:tr w:rsidR="001714BC" w14:paraId="12737980" w14:textId="77777777" w:rsidTr="009E3819">
        <w:trPr>
          <w:cantSplit/>
          <w:jc w:val="center"/>
        </w:trPr>
        <w:tc>
          <w:tcPr>
            <w:tcW w:w="5984" w:type="dxa"/>
            <w:shd w:val="clear" w:color="auto" w:fill="auto"/>
          </w:tcPr>
          <w:p w14:paraId="42F45F8B" w14:textId="696E4261" w:rsidR="00681BA7" w:rsidRDefault="00681BA7" w:rsidP="00685037">
            <w:pPr>
              <w:spacing w:before="120" w:after="120" w:line="220" w:lineRule="exact"/>
              <w:jc w:val="both"/>
            </w:pPr>
            <w:r>
              <w:t>Employer name and address, if the employer is a public office, of a spouse, former spouse, or child of a “designated public service worker</w:t>
            </w:r>
            <w:r w:rsidR="00685037">
              <w:t>” (see definition above).</w:t>
            </w:r>
          </w:p>
        </w:tc>
        <w:tc>
          <w:tcPr>
            <w:tcW w:w="1842" w:type="dxa"/>
            <w:shd w:val="clear" w:color="auto" w:fill="auto"/>
            <w:vAlign w:val="center"/>
          </w:tcPr>
          <w:p w14:paraId="34021E14" w14:textId="6A255880" w:rsidR="00681BA7" w:rsidRDefault="00685037">
            <w:pPr>
              <w:spacing w:after="120" w:line="220" w:lineRule="exact"/>
              <w:jc w:val="center"/>
              <w:rPr>
                <w:b/>
              </w:rPr>
            </w:pPr>
            <w:r>
              <w:rPr>
                <w:b/>
              </w:rPr>
              <w:t>149.43(B)(9)(a)</w:t>
            </w:r>
          </w:p>
        </w:tc>
        <w:tc>
          <w:tcPr>
            <w:tcW w:w="1842" w:type="dxa"/>
            <w:shd w:val="clear" w:color="auto" w:fill="auto"/>
            <w:vAlign w:val="center"/>
          </w:tcPr>
          <w:p w14:paraId="5048C326" w14:textId="77777777" w:rsidR="00681BA7" w:rsidRDefault="00681BA7" w:rsidP="00E60C5A">
            <w:pPr>
              <w:spacing w:after="120" w:line="220" w:lineRule="exact"/>
              <w:rPr>
                <w:b/>
              </w:rPr>
            </w:pPr>
            <w:r>
              <w:rPr>
                <w:b/>
              </w:rPr>
              <w:t>Inspect or copy</w:t>
            </w:r>
            <w:r>
              <w:rPr>
                <w:b/>
              </w:rPr>
              <w:br/>
              <w:t>the record(s)</w:t>
            </w:r>
          </w:p>
        </w:tc>
      </w:tr>
      <w:tr w:rsidR="001714BC" w14:paraId="1F4849E0" w14:textId="77777777" w:rsidTr="009E3819">
        <w:trPr>
          <w:cantSplit/>
          <w:jc w:val="center"/>
        </w:trPr>
        <w:tc>
          <w:tcPr>
            <w:tcW w:w="5984" w:type="dxa"/>
            <w:shd w:val="clear" w:color="auto" w:fill="auto"/>
          </w:tcPr>
          <w:p w14:paraId="7308DE2B" w14:textId="77777777" w:rsidR="00681BA7" w:rsidRDefault="00681BA7">
            <w:pPr>
              <w:spacing w:before="120" w:after="120" w:line="220" w:lineRule="exact"/>
              <w:jc w:val="both"/>
            </w:pPr>
            <w:r>
              <w:t>Customer information maintained by a municipally owned or operated public utility, other than:</w:t>
            </w:r>
          </w:p>
          <w:p w14:paraId="363FFA14" w14:textId="35C10CC7" w:rsidR="00681BA7" w:rsidRDefault="00681BA7" w:rsidP="001F0CB1">
            <w:pPr>
              <w:numPr>
                <w:ilvl w:val="0"/>
                <w:numId w:val="26"/>
              </w:numPr>
              <w:spacing w:after="120" w:line="220" w:lineRule="exact"/>
              <w:ind w:left="428"/>
              <w:jc w:val="both"/>
            </w:pPr>
            <w:r>
              <w:t>Social security numbers</w:t>
            </w:r>
            <w:r w:rsidR="00685037">
              <w:t>;</w:t>
            </w:r>
          </w:p>
          <w:p w14:paraId="4F699ED1" w14:textId="4A1405CF" w:rsidR="00681BA7" w:rsidRDefault="00681BA7" w:rsidP="001F0CB1">
            <w:pPr>
              <w:numPr>
                <w:ilvl w:val="0"/>
                <w:numId w:val="26"/>
              </w:numPr>
              <w:spacing w:after="120" w:line="220" w:lineRule="exact"/>
              <w:ind w:left="428"/>
              <w:jc w:val="both"/>
            </w:pPr>
            <w:r>
              <w:t>Private financial information such as credit reports, payment methods, credit card numbers, and bank account information</w:t>
            </w:r>
            <w:r w:rsidR="00685037">
              <w:t>.</w:t>
            </w:r>
          </w:p>
        </w:tc>
        <w:tc>
          <w:tcPr>
            <w:tcW w:w="1842" w:type="dxa"/>
            <w:shd w:val="clear" w:color="auto" w:fill="auto"/>
            <w:vAlign w:val="center"/>
          </w:tcPr>
          <w:p w14:paraId="21FE91B1" w14:textId="77777777" w:rsidR="00681BA7" w:rsidRDefault="00681BA7">
            <w:pPr>
              <w:spacing w:after="120" w:line="220" w:lineRule="exact"/>
              <w:jc w:val="center"/>
              <w:rPr>
                <w:b/>
              </w:rPr>
            </w:pPr>
            <w:r>
              <w:rPr>
                <w:b/>
              </w:rPr>
              <w:t>149.43(B)(9)(b)(i)</w:t>
            </w:r>
          </w:p>
        </w:tc>
        <w:tc>
          <w:tcPr>
            <w:tcW w:w="1842" w:type="dxa"/>
            <w:shd w:val="clear" w:color="auto" w:fill="auto"/>
            <w:vAlign w:val="center"/>
          </w:tcPr>
          <w:p w14:paraId="3E27FE01" w14:textId="77777777" w:rsidR="00681BA7" w:rsidRDefault="00681BA7" w:rsidP="00E60C5A">
            <w:pPr>
              <w:spacing w:after="120" w:line="220" w:lineRule="exact"/>
              <w:rPr>
                <w:b/>
              </w:rPr>
            </w:pPr>
            <w:r>
              <w:rPr>
                <w:b/>
              </w:rPr>
              <w:t>Inspect or copy</w:t>
            </w:r>
            <w:r>
              <w:rPr>
                <w:b/>
              </w:rPr>
              <w:br/>
              <w:t>the record(s)</w:t>
            </w:r>
          </w:p>
        </w:tc>
      </w:tr>
      <w:tr w:rsidR="001714BC" w14:paraId="43DDC43B" w14:textId="77777777" w:rsidTr="009E3819">
        <w:trPr>
          <w:cantSplit/>
          <w:jc w:val="center"/>
        </w:trPr>
        <w:tc>
          <w:tcPr>
            <w:tcW w:w="5984" w:type="dxa"/>
            <w:shd w:val="clear" w:color="auto" w:fill="auto"/>
          </w:tcPr>
          <w:p w14:paraId="3346E43A" w14:textId="77777777" w:rsidR="00681BA7" w:rsidRDefault="00681BA7">
            <w:pPr>
              <w:spacing w:before="120" w:after="120" w:line="220" w:lineRule="exact"/>
              <w:jc w:val="both"/>
            </w:pPr>
            <w:r>
              <w:lastRenderedPageBreak/>
              <w:t>Information about minors involved in a school vehicle accident, other than personal information as defined in R.C. 149.45.</w:t>
            </w:r>
          </w:p>
        </w:tc>
        <w:tc>
          <w:tcPr>
            <w:tcW w:w="1842" w:type="dxa"/>
            <w:shd w:val="clear" w:color="auto" w:fill="auto"/>
            <w:vAlign w:val="center"/>
          </w:tcPr>
          <w:p w14:paraId="41AE5458" w14:textId="77777777" w:rsidR="00681BA7" w:rsidRDefault="00681BA7">
            <w:pPr>
              <w:spacing w:after="120" w:line="220" w:lineRule="exact"/>
              <w:jc w:val="center"/>
              <w:rPr>
                <w:b/>
              </w:rPr>
            </w:pPr>
            <w:r>
              <w:rPr>
                <w:b/>
              </w:rPr>
              <w:t>149.43(B)(9)(b)(ii)</w:t>
            </w:r>
          </w:p>
        </w:tc>
        <w:tc>
          <w:tcPr>
            <w:tcW w:w="1842" w:type="dxa"/>
            <w:shd w:val="clear" w:color="auto" w:fill="auto"/>
            <w:vAlign w:val="center"/>
          </w:tcPr>
          <w:p w14:paraId="57E6948D" w14:textId="77777777" w:rsidR="00681BA7" w:rsidRDefault="00681BA7" w:rsidP="00E60C5A">
            <w:pPr>
              <w:spacing w:after="120" w:line="220" w:lineRule="exact"/>
              <w:rPr>
                <w:b/>
              </w:rPr>
            </w:pPr>
            <w:r>
              <w:rPr>
                <w:b/>
              </w:rPr>
              <w:t>Inspect or copy the record(s)</w:t>
            </w:r>
          </w:p>
        </w:tc>
      </w:tr>
      <w:tr w:rsidR="001714BC" w14:paraId="2F9CB5B1" w14:textId="77777777" w:rsidTr="009E3819">
        <w:trPr>
          <w:cantSplit/>
          <w:jc w:val="center"/>
        </w:trPr>
        <w:tc>
          <w:tcPr>
            <w:tcW w:w="5984" w:type="dxa"/>
            <w:shd w:val="clear" w:color="auto" w:fill="auto"/>
          </w:tcPr>
          <w:p w14:paraId="2DBDF190" w14:textId="5A7A9F84" w:rsidR="00681BA7" w:rsidRDefault="00681BA7">
            <w:pPr>
              <w:spacing w:before="120" w:after="120" w:line="220" w:lineRule="exact"/>
              <w:jc w:val="both"/>
            </w:pPr>
            <w:r>
              <w:t xml:space="preserve">Coroner </w:t>
            </w:r>
            <w:r w:rsidR="001F0CB1">
              <w:t>r</w:t>
            </w:r>
            <w:r>
              <w:t>ecords, including:</w:t>
            </w:r>
          </w:p>
          <w:p w14:paraId="6AE8EAE4" w14:textId="2A6736F6" w:rsidR="00681BA7" w:rsidRDefault="00681BA7" w:rsidP="001F0CB1">
            <w:pPr>
              <w:numPr>
                <w:ilvl w:val="0"/>
                <w:numId w:val="27"/>
              </w:numPr>
              <w:spacing w:after="120" w:line="220" w:lineRule="exact"/>
              <w:ind w:left="428"/>
              <w:jc w:val="both"/>
            </w:pPr>
            <w:r>
              <w:t>Preliminary autopsy and investigative notes</w:t>
            </w:r>
            <w:r w:rsidR="00236CCE">
              <w:t>, but not records of a deceased individual that are “confidential law enforcement investigatory records” as defined in R.C. 149.43</w:t>
            </w:r>
            <w:r w:rsidR="00EB37ED">
              <w:t>;</w:t>
            </w:r>
          </w:p>
          <w:p w14:paraId="048814E8" w14:textId="4F4DC84E" w:rsidR="00681BA7" w:rsidRDefault="00681BA7" w:rsidP="001F0CB1">
            <w:pPr>
              <w:numPr>
                <w:ilvl w:val="0"/>
                <w:numId w:val="27"/>
              </w:numPr>
              <w:spacing w:after="120" w:line="220" w:lineRule="exact"/>
              <w:ind w:left="428"/>
              <w:jc w:val="both"/>
            </w:pPr>
            <w:r>
              <w:t>Suicide notes</w:t>
            </w:r>
            <w:r w:rsidR="00EB37ED">
              <w:t>; and</w:t>
            </w:r>
          </w:p>
          <w:p w14:paraId="7396C74B" w14:textId="54B43E21" w:rsidR="00681BA7" w:rsidRDefault="00681BA7" w:rsidP="001F0CB1">
            <w:pPr>
              <w:numPr>
                <w:ilvl w:val="0"/>
                <w:numId w:val="27"/>
              </w:numPr>
              <w:spacing w:after="120" w:line="220" w:lineRule="exact"/>
              <w:ind w:left="428"/>
              <w:jc w:val="both"/>
            </w:pPr>
            <w:r>
              <w:t>Photographs of the decedent made by the coroner or those directed or supervised by the coroner</w:t>
            </w:r>
            <w:r w:rsidR="00685037">
              <w:t>.</w:t>
            </w:r>
          </w:p>
        </w:tc>
        <w:tc>
          <w:tcPr>
            <w:tcW w:w="1842" w:type="dxa"/>
            <w:shd w:val="clear" w:color="auto" w:fill="auto"/>
            <w:vAlign w:val="center"/>
          </w:tcPr>
          <w:p w14:paraId="7A687F3B" w14:textId="77777777" w:rsidR="00681BA7" w:rsidRDefault="00681BA7">
            <w:pPr>
              <w:spacing w:after="120" w:line="220" w:lineRule="exact"/>
              <w:jc w:val="center"/>
              <w:rPr>
                <w:b/>
              </w:rPr>
            </w:pPr>
            <w:r>
              <w:rPr>
                <w:b/>
              </w:rPr>
              <w:t>313.10(D)</w:t>
            </w:r>
          </w:p>
        </w:tc>
        <w:tc>
          <w:tcPr>
            <w:tcW w:w="1842" w:type="dxa"/>
            <w:shd w:val="clear" w:color="auto" w:fill="auto"/>
            <w:vAlign w:val="center"/>
          </w:tcPr>
          <w:p w14:paraId="15E5E55C" w14:textId="77777777" w:rsidR="00681BA7" w:rsidRDefault="00681BA7" w:rsidP="00E60C5A">
            <w:pPr>
              <w:spacing w:after="120" w:line="220" w:lineRule="exact"/>
              <w:rPr>
                <w:b/>
              </w:rPr>
            </w:pPr>
            <w:r>
              <w:rPr>
                <w:b/>
              </w:rPr>
              <w:t xml:space="preserve">Inspect the record(s) only, but may </w:t>
            </w:r>
            <w:r>
              <w:rPr>
                <w:b/>
                <w:i/>
              </w:rPr>
              <w:t>not</w:t>
            </w:r>
            <w:r>
              <w:rPr>
                <w:b/>
              </w:rPr>
              <w:t xml:space="preserve"> copy them or take notes</w:t>
            </w:r>
          </w:p>
        </w:tc>
      </w:tr>
      <w:tr w:rsidR="006477B4" w14:paraId="02FD0935" w14:textId="77777777" w:rsidTr="009E3819">
        <w:trPr>
          <w:cantSplit/>
          <w:jc w:val="center"/>
        </w:trPr>
        <w:tc>
          <w:tcPr>
            <w:tcW w:w="5984" w:type="dxa"/>
            <w:shd w:val="clear" w:color="auto" w:fill="auto"/>
          </w:tcPr>
          <w:p w14:paraId="6D70E916" w14:textId="30EDF9BE" w:rsidR="006477B4" w:rsidRDefault="006477B4" w:rsidP="001F0CB1">
            <w:pPr>
              <w:spacing w:before="120" w:after="120" w:line="220" w:lineRule="exact"/>
              <w:jc w:val="both"/>
            </w:pPr>
            <w:r>
              <w:t xml:space="preserve">Workers’ Compensation </w:t>
            </w:r>
            <w:r w:rsidR="001F0CB1">
              <w:t>i</w:t>
            </w:r>
            <w:r>
              <w:t xml:space="preserve">nitial </w:t>
            </w:r>
            <w:r w:rsidR="001F0CB1">
              <w:t>f</w:t>
            </w:r>
            <w:r>
              <w:t>ilings, including</w:t>
            </w:r>
            <w:r w:rsidR="001F0CB1">
              <w:t xml:space="preserve"> a</w:t>
            </w:r>
            <w:r>
              <w:t>ddresses and telephone numbers of claimants, regardless of whether their claims are active or closed, and the dependents of those claimants</w:t>
            </w:r>
            <w:r w:rsidR="00685037">
              <w:t>.</w:t>
            </w:r>
          </w:p>
        </w:tc>
        <w:tc>
          <w:tcPr>
            <w:tcW w:w="1842" w:type="dxa"/>
            <w:shd w:val="clear" w:color="auto" w:fill="auto"/>
            <w:vAlign w:val="center"/>
          </w:tcPr>
          <w:p w14:paraId="1FAAE62F" w14:textId="77777777" w:rsidR="006477B4" w:rsidRDefault="006477B4" w:rsidP="005C3880">
            <w:pPr>
              <w:spacing w:after="120" w:line="220" w:lineRule="exact"/>
              <w:jc w:val="center"/>
              <w:rPr>
                <w:b/>
              </w:rPr>
            </w:pPr>
            <w:r>
              <w:rPr>
                <w:b/>
              </w:rPr>
              <w:t>4123.88(D)(1)</w:t>
            </w:r>
          </w:p>
        </w:tc>
        <w:tc>
          <w:tcPr>
            <w:tcW w:w="1842" w:type="dxa"/>
            <w:shd w:val="clear" w:color="auto" w:fill="auto"/>
            <w:vAlign w:val="center"/>
          </w:tcPr>
          <w:p w14:paraId="7A4D4FD8" w14:textId="77777777" w:rsidR="006477B4" w:rsidRDefault="006477B4" w:rsidP="00E60C5A">
            <w:pPr>
              <w:spacing w:after="120" w:line="220" w:lineRule="exact"/>
              <w:rPr>
                <w:b/>
              </w:rPr>
            </w:pPr>
            <w:r>
              <w:rPr>
                <w:b/>
              </w:rPr>
              <w:t>Inspect or copy</w:t>
            </w:r>
            <w:r>
              <w:rPr>
                <w:b/>
              </w:rPr>
              <w:br/>
              <w:t>the record(s)</w:t>
            </w:r>
          </w:p>
        </w:tc>
      </w:tr>
      <w:tr w:rsidR="006477B4" w14:paraId="2E34EF5E" w14:textId="77777777" w:rsidTr="009E3819">
        <w:trPr>
          <w:cantSplit/>
          <w:jc w:val="center"/>
        </w:trPr>
        <w:tc>
          <w:tcPr>
            <w:tcW w:w="5984" w:type="dxa"/>
            <w:shd w:val="clear" w:color="auto" w:fill="auto"/>
          </w:tcPr>
          <w:p w14:paraId="4056F3EC" w14:textId="77777777" w:rsidR="006477B4" w:rsidRDefault="006477B4" w:rsidP="005C3880">
            <w:pPr>
              <w:spacing w:before="120" w:after="120" w:line="220" w:lineRule="exact"/>
              <w:jc w:val="both"/>
            </w:pPr>
            <w:r>
              <w:t>Actual confidential personal residential address of a:</w:t>
            </w:r>
          </w:p>
          <w:p w14:paraId="62D86B05" w14:textId="69272E29" w:rsidR="006477B4" w:rsidRDefault="006477B4" w:rsidP="001F0CB1">
            <w:pPr>
              <w:numPr>
                <w:ilvl w:val="0"/>
                <w:numId w:val="28"/>
              </w:numPr>
              <w:spacing w:before="120" w:after="120" w:line="220" w:lineRule="exact"/>
              <w:ind w:left="428"/>
              <w:jc w:val="both"/>
            </w:pPr>
            <w:r>
              <w:t>Public children service</w:t>
            </w:r>
            <w:r w:rsidR="00341857">
              <w:t>s</w:t>
            </w:r>
            <w:r>
              <w:t xml:space="preserve"> agency employee</w:t>
            </w:r>
            <w:r w:rsidR="00685037">
              <w:t>;</w:t>
            </w:r>
          </w:p>
          <w:p w14:paraId="238E77D5" w14:textId="1F22CF30" w:rsidR="006477B4" w:rsidRDefault="006477B4" w:rsidP="001F0CB1">
            <w:pPr>
              <w:numPr>
                <w:ilvl w:val="0"/>
                <w:numId w:val="28"/>
              </w:numPr>
              <w:spacing w:before="120" w:after="120" w:line="220" w:lineRule="exact"/>
              <w:ind w:left="428"/>
              <w:jc w:val="both"/>
            </w:pPr>
            <w:r>
              <w:t>Private child placing agency employee</w:t>
            </w:r>
            <w:r w:rsidR="00685037">
              <w:t>;</w:t>
            </w:r>
          </w:p>
          <w:p w14:paraId="2B97F821" w14:textId="15731452" w:rsidR="006477B4" w:rsidRDefault="006477B4" w:rsidP="001F0CB1">
            <w:pPr>
              <w:numPr>
                <w:ilvl w:val="0"/>
                <w:numId w:val="28"/>
              </w:numPr>
              <w:spacing w:before="120" w:after="120" w:line="220" w:lineRule="exact"/>
              <w:ind w:left="428"/>
              <w:jc w:val="both"/>
            </w:pPr>
            <w:r>
              <w:t>Juvenile court employee</w:t>
            </w:r>
            <w:r w:rsidR="00685037">
              <w:t>;</w:t>
            </w:r>
          </w:p>
          <w:p w14:paraId="0016C3FD" w14:textId="7ADF43E2" w:rsidR="006477B4" w:rsidRDefault="006477B4" w:rsidP="001F0CB1">
            <w:pPr>
              <w:numPr>
                <w:ilvl w:val="0"/>
                <w:numId w:val="28"/>
              </w:numPr>
              <w:spacing w:before="120" w:after="120" w:line="220" w:lineRule="exact"/>
              <w:ind w:left="428"/>
              <w:jc w:val="both"/>
            </w:pPr>
            <w:r>
              <w:t>Law enforcement agency employee</w:t>
            </w:r>
            <w:r w:rsidR="00685037">
              <w:t>.</w:t>
            </w:r>
          </w:p>
          <w:p w14:paraId="046964A8" w14:textId="151CACF3" w:rsidR="006477B4" w:rsidRDefault="006477B4" w:rsidP="001F0CB1">
            <w:pPr>
              <w:spacing w:before="120" w:after="120" w:line="220" w:lineRule="exact"/>
              <w:jc w:val="both"/>
            </w:pPr>
            <w:r>
              <w:t xml:space="preserve">Note: </w:t>
            </w:r>
            <w:r w:rsidR="001F0CB1">
              <w:t>t</w:t>
            </w:r>
            <w:r>
              <w:t>he journalist must adequately identify the person whose address is being sought and must make the request to the agency by which the individual is employed or to the agency that has custody of the records</w:t>
            </w:r>
            <w:r w:rsidR="00685037">
              <w:t>.</w:t>
            </w:r>
          </w:p>
        </w:tc>
        <w:tc>
          <w:tcPr>
            <w:tcW w:w="1842" w:type="dxa"/>
            <w:shd w:val="clear" w:color="auto" w:fill="auto"/>
            <w:vAlign w:val="center"/>
          </w:tcPr>
          <w:p w14:paraId="5A4726CC" w14:textId="77777777" w:rsidR="006477B4" w:rsidRDefault="006477B4" w:rsidP="005C3880">
            <w:pPr>
              <w:spacing w:after="120" w:line="220" w:lineRule="exact"/>
              <w:jc w:val="center"/>
              <w:rPr>
                <w:b/>
              </w:rPr>
            </w:pPr>
            <w:r>
              <w:rPr>
                <w:b/>
              </w:rPr>
              <w:t>2151.142(D)</w:t>
            </w:r>
          </w:p>
        </w:tc>
        <w:tc>
          <w:tcPr>
            <w:tcW w:w="1842" w:type="dxa"/>
            <w:shd w:val="clear" w:color="auto" w:fill="auto"/>
            <w:vAlign w:val="center"/>
          </w:tcPr>
          <w:p w14:paraId="76A83638" w14:textId="77777777" w:rsidR="006477B4" w:rsidRDefault="006477B4" w:rsidP="00E60C5A">
            <w:pPr>
              <w:spacing w:after="120" w:line="220" w:lineRule="exact"/>
              <w:rPr>
                <w:b/>
              </w:rPr>
            </w:pPr>
            <w:r>
              <w:rPr>
                <w:b/>
              </w:rPr>
              <w:t>Inspect or copy</w:t>
            </w:r>
            <w:r>
              <w:rPr>
                <w:b/>
              </w:rPr>
              <w:br/>
              <w:t>the record(s)</w:t>
            </w:r>
          </w:p>
        </w:tc>
      </w:tr>
    </w:tbl>
    <w:p w14:paraId="0F536226" w14:textId="77777777" w:rsidR="004616EF" w:rsidRDefault="004616EF" w:rsidP="00322085">
      <w:pPr>
        <w:pStyle w:val="Heading3"/>
      </w:pPr>
      <w:bookmarkStart w:id="62" w:name="_Toc159851479"/>
    </w:p>
    <w:p w14:paraId="3FCFA7B7" w14:textId="64E3B994" w:rsidR="00681BA7" w:rsidRDefault="00681BA7" w:rsidP="00322085">
      <w:pPr>
        <w:pStyle w:val="Heading3"/>
      </w:pPr>
      <w:r>
        <w:t>5.</w:t>
      </w:r>
      <w:r>
        <w:tab/>
        <w:t>Modified access to certain public offices’ records</w:t>
      </w:r>
      <w:bookmarkEnd w:id="62"/>
    </w:p>
    <w:p w14:paraId="1C61E4A9" w14:textId="666F6C0E" w:rsidR="00681BA7" w:rsidRDefault="00681BA7">
      <w:pPr>
        <w:spacing w:line="220" w:lineRule="exact"/>
        <w:ind w:left="360"/>
        <w:jc w:val="both"/>
      </w:pPr>
      <w:r>
        <w:t xml:space="preserve">As with requesters, the rights and obligations of public offices can be modified by law.  Some of these modifications impose conditions on obtaining records in volume and setting permissible charges for copying.  The following provisions are only examples.  The law is subject to change, so be sure to check for any current law modifying access to </w:t>
      </w:r>
      <w:r w:rsidR="0049072B">
        <w:t>specific</w:t>
      </w:r>
      <w:r>
        <w:t xml:space="preserve"> public records with which you are concerned.</w:t>
      </w:r>
    </w:p>
    <w:p w14:paraId="39E26CCA" w14:textId="77777777" w:rsidR="00CC3906" w:rsidRDefault="00CC3906">
      <w:pPr>
        <w:spacing w:line="220" w:lineRule="exact"/>
        <w:ind w:left="360"/>
        <w:jc w:val="both"/>
      </w:pPr>
    </w:p>
    <w:p w14:paraId="728DDE50" w14:textId="21E2A3E4" w:rsidR="00681BA7" w:rsidRDefault="00C100EF" w:rsidP="00C100EF">
      <w:pPr>
        <w:pStyle w:val="Heading4"/>
        <w:numPr>
          <w:ilvl w:val="0"/>
          <w:numId w:val="76"/>
        </w:numPr>
      </w:pPr>
      <w:r>
        <w:tab/>
      </w:r>
      <w:bookmarkStart w:id="63" w:name="_Toc159851480"/>
      <w:r w:rsidR="00681BA7">
        <w:t xml:space="preserve">Bulk commercial requests from Ohio Bureau of Motor </w:t>
      </w:r>
      <w:r w:rsidR="00CC3906">
        <w:tab/>
      </w:r>
      <w:r w:rsidR="00CC3906">
        <w:tab/>
      </w:r>
      <w:r w:rsidR="00681BA7">
        <w:t>Vehicles</w:t>
      </w:r>
      <w:bookmarkEnd w:id="63"/>
    </w:p>
    <w:p w14:paraId="4796A8BC" w14:textId="79F1350A" w:rsidR="00681BA7" w:rsidRDefault="00681BA7">
      <w:pPr>
        <w:spacing w:line="220" w:lineRule="exact"/>
        <w:ind w:left="360"/>
        <w:jc w:val="both"/>
      </w:pPr>
      <w:r>
        <w:t>“The bureau of motor vehicles may adopt rules pursuant to Chapter 119 of the Revised Code to reasonably limit the number of bulk commercial special extraction requests made by a person for the same records or for updated records during a calendar year.  The rules may include provisions for charges to be made for bulk commercial special extraction requests for the actual cost of the bureau, plus special extraction costs, plus ten percent.  The bureau may charge for expenses for redacting information, the release of which is prohibited by law.”</w:t>
      </w:r>
      <w:r>
        <w:rPr>
          <w:rStyle w:val="EndnoteReference"/>
        </w:rPr>
        <w:endnoteReference w:id="229"/>
      </w:r>
      <w:r>
        <w:t xml:space="preserve">  The statute sets out definitions of “actual </w:t>
      </w:r>
      <w:r>
        <w:lastRenderedPageBreak/>
        <w:t>cost,” “bulk commercial extraction request,” “commercial,” “special extraction costs,” and “surveys, marketing, solicitation, or resale for commercial purposes.”</w:t>
      </w:r>
      <w:r>
        <w:rPr>
          <w:rStyle w:val="EndnoteReference"/>
        </w:rPr>
        <w:endnoteReference w:id="230"/>
      </w:r>
    </w:p>
    <w:p w14:paraId="1A8D8FA5" w14:textId="77777777" w:rsidR="00CC3906" w:rsidRDefault="00CC3906">
      <w:pPr>
        <w:spacing w:line="220" w:lineRule="exact"/>
        <w:ind w:left="360"/>
        <w:jc w:val="both"/>
      </w:pPr>
    </w:p>
    <w:p w14:paraId="79D40FEE" w14:textId="7DD73AEA" w:rsidR="00681BA7" w:rsidRDefault="00681BA7" w:rsidP="00BD2AE1">
      <w:pPr>
        <w:pStyle w:val="Heading4"/>
      </w:pPr>
      <w:bookmarkStart w:id="64" w:name="_Toc159851481"/>
      <w:r>
        <w:t>b.</w:t>
      </w:r>
      <w:r>
        <w:tab/>
      </w:r>
      <w:r w:rsidR="00C100EF">
        <w:tab/>
      </w:r>
      <w:r>
        <w:t xml:space="preserve">Copies of </w:t>
      </w:r>
      <w:r w:rsidR="00E15BB5">
        <w:t>c</w:t>
      </w:r>
      <w:r>
        <w:t xml:space="preserve">oroner’s </w:t>
      </w:r>
      <w:r w:rsidR="00E15BB5">
        <w:t>r</w:t>
      </w:r>
      <w:r>
        <w:t>ecords</w:t>
      </w:r>
      <w:bookmarkEnd w:id="64"/>
    </w:p>
    <w:p w14:paraId="4BDF7DF8" w14:textId="4FCD2740" w:rsidR="000B049A" w:rsidRDefault="00681BA7" w:rsidP="00D4661C">
      <w:pPr>
        <w:spacing w:line="220" w:lineRule="exact"/>
        <w:ind w:left="360"/>
        <w:jc w:val="both"/>
      </w:pPr>
      <w:r>
        <w:t>Generally, all records of a coroner’s office are public records subject to inspection by the public.</w:t>
      </w:r>
      <w:r>
        <w:rPr>
          <w:rStyle w:val="EndnoteReference"/>
        </w:rPr>
        <w:endnoteReference w:id="231"/>
      </w:r>
      <w:r>
        <w:t xml:space="preserve">  A coroner’s office may provide copies to a requester upon a written request and payment by the requester of a statutory fee.</w:t>
      </w:r>
      <w:r>
        <w:rPr>
          <w:rStyle w:val="EndnoteReference"/>
        </w:rPr>
        <w:endnoteReference w:id="232"/>
      </w:r>
      <w:r>
        <w:t xml:space="preserve">  However, the following are not public records: preliminary autopsy and investigative notes and findings; photographs of a decedent made by the coroner’s office; suicide notes; medical and psychiatric records of the decedent provided to the coroner; records of a deceased individual that are part of a confidential law enforcement investigatory record; and laboratory reports generated from analysis of physical evidence by the coroner’s laboratory that is discoverable under Ohio Criminal Rule 16.</w:t>
      </w:r>
      <w:r>
        <w:rPr>
          <w:rStyle w:val="EndnoteReference"/>
        </w:rPr>
        <w:endnoteReference w:id="233"/>
      </w:r>
      <w:r>
        <w:t xml:space="preserve">  The following three classes of requesters may request some or all of the records that are otherwise exempted from disclosure: </w:t>
      </w:r>
      <w:r w:rsidR="00341857">
        <w:t>(</w:t>
      </w:r>
      <w:r>
        <w:t>1) next of kin of the decedent or the representative of the decedent’s estate (copy of full records),</w:t>
      </w:r>
      <w:r>
        <w:rPr>
          <w:rStyle w:val="EndnoteReference"/>
        </w:rPr>
        <w:endnoteReference w:id="234"/>
      </w:r>
      <w:r>
        <w:t xml:space="preserve"> </w:t>
      </w:r>
      <w:r w:rsidR="00341857">
        <w:t>(</w:t>
      </w:r>
      <w:r>
        <w:t>2) journalists (limited right to inspect),</w:t>
      </w:r>
      <w:r>
        <w:rPr>
          <w:rStyle w:val="EndnoteReference"/>
        </w:rPr>
        <w:endnoteReference w:id="235"/>
      </w:r>
      <w:r>
        <w:rPr>
          <w:rStyle w:val="EndnoteReference"/>
        </w:rPr>
        <w:t xml:space="preserve"> </w:t>
      </w:r>
      <w:r>
        <w:t xml:space="preserve">and </w:t>
      </w:r>
      <w:r w:rsidR="00341857">
        <w:t>(</w:t>
      </w:r>
      <w:r>
        <w:t>3) insurers (copy of full records).</w:t>
      </w:r>
      <w:r>
        <w:rPr>
          <w:rStyle w:val="EndnoteReference"/>
        </w:rPr>
        <w:endnoteReference w:id="236"/>
      </w:r>
      <w:r>
        <w:t xml:space="preserve">  The coroner may notify the decedent’s next of kin if a journalist or insurer has made a request.</w:t>
      </w:r>
      <w:r>
        <w:rPr>
          <w:rStyle w:val="EndnoteReference"/>
        </w:rPr>
        <w:endnoteReference w:id="237"/>
      </w:r>
    </w:p>
    <w:p w14:paraId="1D7A6AE2" w14:textId="0759F1EF" w:rsidR="00681BA7" w:rsidRPr="00345637" w:rsidRDefault="00681BA7" w:rsidP="00322085">
      <w:pPr>
        <w:pStyle w:val="Heading2"/>
      </w:pPr>
      <w:bookmarkStart w:id="65" w:name="_Toc159851482"/>
      <w:r w:rsidRPr="00345637">
        <w:t>C.</w:t>
      </w:r>
      <w:r w:rsidRPr="00345637">
        <w:tab/>
        <w:t>Go “Above and Beyond” and Negotiate</w:t>
      </w:r>
      <w:bookmarkEnd w:id="65"/>
    </w:p>
    <w:p w14:paraId="7C631EE3" w14:textId="7133B51F" w:rsidR="00681BA7" w:rsidRDefault="00681BA7" w:rsidP="00322085">
      <w:pPr>
        <w:pStyle w:val="Heading3"/>
      </w:pPr>
      <w:bookmarkStart w:id="66" w:name="_Toc159851483"/>
      <w:r>
        <w:t>1.</w:t>
      </w:r>
      <w:r>
        <w:tab/>
        <w:t>Think outside the box – go above and beyond your duties</w:t>
      </w:r>
      <w:bookmarkEnd w:id="66"/>
    </w:p>
    <w:p w14:paraId="01A4F2EA" w14:textId="77777777" w:rsidR="00681BA7" w:rsidRDefault="00681BA7">
      <w:pPr>
        <w:spacing w:line="220" w:lineRule="exact"/>
        <w:ind w:left="360"/>
        <w:jc w:val="both"/>
      </w:pPr>
      <w:r>
        <w:t>Requesters may become impatient with the time a response is taking, and public offices are often concerned with the resources required to process a large or complex request, and either may believe that the other is pushing the limits of the public records laws.  These problems can be minimized if one or both parties go above and beyond their duties in search of a result that works for both.  Some examples:</w:t>
      </w:r>
    </w:p>
    <w:p w14:paraId="3007A5A5" w14:textId="77777777" w:rsidR="00681BA7" w:rsidRDefault="00681BA7">
      <w:pPr>
        <w:spacing w:line="220" w:lineRule="exact"/>
        <w:ind w:left="360"/>
        <w:jc w:val="both"/>
      </w:pPr>
    </w:p>
    <w:p w14:paraId="306A6BFB" w14:textId="77777777" w:rsidR="00681BA7" w:rsidRDefault="00681BA7" w:rsidP="00DB3E6E">
      <w:pPr>
        <w:numPr>
          <w:ilvl w:val="0"/>
          <w:numId w:val="29"/>
        </w:numPr>
        <w:spacing w:line="220" w:lineRule="exact"/>
        <w:ind w:left="1440"/>
        <w:jc w:val="both"/>
      </w:pPr>
      <w:r>
        <w:t>If a request is made for paper copies, and the office keeps the records electronically, the office might offer to email digital copies instead (particularly if this is easier for the office).  The requester may not know that the records are kept electronically or that sending by email is cheaper and faster for the requester.  The worst that can happen is the requester declines.</w:t>
      </w:r>
    </w:p>
    <w:p w14:paraId="7DBD54A2" w14:textId="77777777" w:rsidR="00681BA7" w:rsidRDefault="00681BA7" w:rsidP="00DB3E6E">
      <w:pPr>
        <w:spacing w:line="220" w:lineRule="exact"/>
        <w:ind w:left="1440"/>
        <w:jc w:val="both"/>
      </w:pPr>
    </w:p>
    <w:p w14:paraId="6364C83E" w14:textId="77777777" w:rsidR="00681BA7" w:rsidRDefault="00681BA7" w:rsidP="00DB3E6E">
      <w:pPr>
        <w:numPr>
          <w:ilvl w:val="0"/>
          <w:numId w:val="29"/>
        </w:numPr>
        <w:spacing w:line="220" w:lineRule="exact"/>
        <w:ind w:left="1440"/>
        <w:jc w:val="both"/>
      </w:pPr>
      <w:r>
        <w:t>If a requester tells the public office that one part of a request is very urgent for them and the rest can wait, then the office might agree to expedite that part in exchange for relaxed timing for the rest.</w:t>
      </w:r>
    </w:p>
    <w:p w14:paraId="2C62DEA5" w14:textId="77777777" w:rsidR="00681BA7" w:rsidRDefault="00681BA7" w:rsidP="00DB3E6E">
      <w:pPr>
        <w:spacing w:line="220" w:lineRule="exact"/>
        <w:ind w:left="1440"/>
        <w:jc w:val="both"/>
      </w:pPr>
    </w:p>
    <w:p w14:paraId="48C4F6FA" w14:textId="741333D2" w:rsidR="00EB37ED" w:rsidRDefault="00681BA7" w:rsidP="00DB3E6E">
      <w:pPr>
        <w:numPr>
          <w:ilvl w:val="0"/>
          <w:numId w:val="29"/>
        </w:numPr>
        <w:spacing w:line="220" w:lineRule="exact"/>
        <w:ind w:left="1440"/>
        <w:jc w:val="both"/>
      </w:pPr>
      <w:r>
        <w:t>If a township fiscal officer’s ability to copy 500 pages of paper records is limited to a slow ink-jet copier, then either the fiscal officer or the requester might suggest taking the documents to a copy store, where the copying will be faster and likely cheaper.</w:t>
      </w:r>
    </w:p>
    <w:p w14:paraId="7C797953" w14:textId="77777777" w:rsidR="00CC3906" w:rsidRDefault="00CC3906" w:rsidP="00CC3906">
      <w:pPr>
        <w:spacing w:line="220" w:lineRule="exact"/>
        <w:ind w:left="1440"/>
        <w:jc w:val="both"/>
      </w:pPr>
    </w:p>
    <w:p w14:paraId="05C79838" w14:textId="7C5CBD72" w:rsidR="00681BA7" w:rsidRDefault="00681BA7" w:rsidP="00322085">
      <w:pPr>
        <w:pStyle w:val="Heading3"/>
      </w:pPr>
      <w:bookmarkStart w:id="67" w:name="_Toc159851484"/>
      <w:r>
        <w:t>2.</w:t>
      </w:r>
      <w:r>
        <w:tab/>
        <w:t>How to find a win-win solution:  negotiate</w:t>
      </w:r>
      <w:bookmarkEnd w:id="67"/>
    </w:p>
    <w:p w14:paraId="552752E4" w14:textId="31E9EF0F" w:rsidR="00681BA7" w:rsidRDefault="00681BA7">
      <w:pPr>
        <w:spacing w:line="220" w:lineRule="exact"/>
        <w:ind w:left="360"/>
        <w:jc w:val="both"/>
      </w:pPr>
      <w:r>
        <w:t>The Public Records Act requires negotiated clarification when an ambiguous or overly broad request is denied and offers optional negotiation when a public office believes that sharing the reason for the request or the identity of the requester would help the office identify, locate, or deliver the records.  But negotiation is not limited to these circumstances.  If you have a concern or a creative idea, remember that “it never hurts to ask.”  If the other party appears frustrated or burdened, ask them, “Is there another way to do this that works better for you?”</w:t>
      </w:r>
    </w:p>
    <w:p w14:paraId="60A3D7A8" w14:textId="77777777" w:rsidR="00681BA7" w:rsidRDefault="00B367D9">
      <w:pPr>
        <w:spacing w:line="220" w:lineRule="exact"/>
        <w:ind w:left="360"/>
        <w:jc w:val="both"/>
      </w:pPr>
      <w:r>
        <w:br w:type="page"/>
      </w:r>
    </w:p>
    <w:p w14:paraId="08953847" w14:textId="657282DB" w:rsidR="00681BA7" w:rsidRDefault="00AA189A" w:rsidP="00B367D9">
      <w:pPr>
        <w:sectPr w:rsidR="00681BA7" w:rsidSect="00AF6868">
          <w:headerReference w:type="default" r:id="rId42"/>
          <w:endnotePr>
            <w:numFmt w:val="decimal"/>
          </w:endnotePr>
          <w:pgSz w:w="12240" w:h="15840"/>
          <w:pgMar w:top="1440" w:right="1440" w:bottom="1440" w:left="1440" w:header="720" w:footer="210" w:gutter="0"/>
          <w:cols w:space="720"/>
          <w:docGrid w:linePitch="360"/>
        </w:sectPr>
      </w:pPr>
      <w:r>
        <w:lastRenderedPageBreak/>
        <w:t>N</w:t>
      </w:r>
      <w:r w:rsidR="00B367D9">
        <w:t>otes:</w:t>
      </w:r>
      <w:bookmarkEnd w:id="25"/>
    </w:p>
    <w:p w14:paraId="5F9CB303" w14:textId="77777777" w:rsidR="00681BA7" w:rsidRPr="00532084" w:rsidRDefault="00681BA7" w:rsidP="00D65B63">
      <w:pPr>
        <w:pStyle w:val="Heading1"/>
        <w:ind w:left="720" w:hanging="720"/>
      </w:pPr>
      <w:bookmarkStart w:id="68" w:name="_Toc159851485"/>
      <w:bookmarkStart w:id="69" w:name="_Hlk90900445"/>
      <w:bookmarkEnd w:id="26"/>
      <w:r w:rsidRPr="00532084">
        <w:lastRenderedPageBreak/>
        <w:t>III.</w:t>
      </w:r>
      <w:r w:rsidRPr="00532084">
        <w:tab/>
        <w:t>Chapter Three:  Exemptions to the Required Release of Public Records</w:t>
      </w:r>
      <w:r w:rsidRPr="001D2AA7">
        <w:rPr>
          <w:rStyle w:val="EndnoteReference"/>
          <w:bCs/>
          <w:i w:val="0"/>
          <w:sz w:val="22"/>
          <w:szCs w:val="22"/>
        </w:rPr>
        <w:endnoteReference w:id="238"/>
      </w:r>
      <w:bookmarkEnd w:id="68"/>
    </w:p>
    <w:p w14:paraId="009B907D" w14:textId="493D9676" w:rsidR="001D2AA7" w:rsidRDefault="00681BA7" w:rsidP="001D2AA7">
      <w:pPr>
        <w:spacing w:line="220" w:lineRule="exact"/>
        <w:jc w:val="both"/>
      </w:pPr>
      <w:r>
        <w:t>While the Public Records Act presumes and favors public access to government records, Ohio and federal laws provide limited exemptions to protect certain records from mandatory release.  These laws can include constitutional provisions,</w:t>
      </w:r>
      <w:r>
        <w:rPr>
          <w:rStyle w:val="EndnoteReference"/>
        </w:rPr>
        <w:endnoteReference w:id="239"/>
      </w:r>
      <w:r>
        <w:t xml:space="preserve"> statutes,</w:t>
      </w:r>
      <w:r>
        <w:rPr>
          <w:rStyle w:val="EndnoteReference"/>
        </w:rPr>
        <w:endnoteReference w:id="240"/>
      </w:r>
      <w:r>
        <w:t xml:space="preserve"> common law,</w:t>
      </w:r>
      <w:r>
        <w:rPr>
          <w:rStyle w:val="EndnoteReference"/>
        </w:rPr>
        <w:endnoteReference w:id="241"/>
      </w:r>
      <w:r>
        <w:t xml:space="preserve"> or properly authorized administrative codes and regulations.</w:t>
      </w:r>
      <w:r>
        <w:rPr>
          <w:rStyle w:val="EndnoteReference"/>
        </w:rPr>
        <w:endnoteReference w:id="242"/>
      </w:r>
      <w:r w:rsidR="008D3A86">
        <w:t xml:space="preserve"> </w:t>
      </w:r>
      <w:r w:rsidR="00E111E9">
        <w:t xml:space="preserve"> </w:t>
      </w:r>
      <w:r w:rsidR="008D3A86">
        <w:t>If a record does not clearly fit into one of the exemptions listed in the Public Records Act and is not otherwise exempt from disclosure by other state or federal law, it must be disclosed.</w:t>
      </w:r>
    </w:p>
    <w:p w14:paraId="379D34CB" w14:textId="3BA9B408" w:rsidR="002007FF" w:rsidRPr="001D2AA7" w:rsidRDefault="002007FF" w:rsidP="00322085">
      <w:pPr>
        <w:pStyle w:val="Heading2"/>
      </w:pPr>
      <w:bookmarkStart w:id="70" w:name="_Toc159851486"/>
      <w:r w:rsidRPr="002007FF">
        <w:t>A.</w:t>
      </w:r>
      <w:r w:rsidRPr="002007FF">
        <w:tab/>
      </w:r>
      <w:r w:rsidRPr="002007FF">
        <w:tab/>
        <w:t>Valid Exemptions</w:t>
      </w:r>
      <w:bookmarkEnd w:id="70"/>
    </w:p>
    <w:p w14:paraId="1E2584EE" w14:textId="77777777" w:rsidR="002007FF" w:rsidRPr="009D495A" w:rsidRDefault="002007FF" w:rsidP="00322085">
      <w:pPr>
        <w:pStyle w:val="Heading3"/>
      </w:pPr>
      <w:bookmarkStart w:id="71" w:name="_Toc159851487"/>
      <w:r w:rsidRPr="009D495A">
        <w:t>1.</w:t>
      </w:r>
      <w:r w:rsidRPr="009D495A">
        <w:tab/>
        <w:t>Contracts cannot create exemptions</w:t>
      </w:r>
      <w:bookmarkEnd w:id="71"/>
    </w:p>
    <w:p w14:paraId="20696904" w14:textId="1E7E04B5" w:rsidR="002007FF" w:rsidRDefault="002007FF" w:rsidP="001D2AA7">
      <w:pPr>
        <w:spacing w:line="220" w:lineRule="exact"/>
        <w:ind w:left="360"/>
        <w:jc w:val="both"/>
      </w:pPr>
      <w:r>
        <w:t>E</w:t>
      </w:r>
      <w:r w:rsidRPr="002007FF">
        <w:t xml:space="preserve">xemptions can only be created through </w:t>
      </w:r>
      <w:r>
        <w:t>the</w:t>
      </w:r>
      <w:r w:rsidRPr="002007FF">
        <w:t xml:space="preserve"> legal authority</w:t>
      </w:r>
      <w:r>
        <w:t xml:space="preserve"> discussed above: constitutional provisions, statutes, common law, or properly authorized administration codes and regulations</w:t>
      </w:r>
      <w:r w:rsidRPr="002007FF">
        <w:t>.</w:t>
      </w:r>
      <w:r>
        <w:t xml:space="preserve"> </w:t>
      </w:r>
      <w:r w:rsidRPr="002007FF">
        <w:t xml:space="preserve"> An exemption cannot be created by a contract.</w:t>
      </w:r>
      <w:r>
        <w:t xml:space="preserve"> Public offices cannot contract around the Public Records Act, and thus cannot agree to contracts that would nullify or restrict the public’s access to public records.</w:t>
      </w:r>
      <w:r>
        <w:rPr>
          <w:rStyle w:val="EndnoteReference"/>
        </w:rPr>
        <w:endnoteReference w:id="243"/>
      </w:r>
      <w:r>
        <w:t xml:space="preserve"> Parties to a public contract, including settlement agreements,</w:t>
      </w:r>
      <w:r>
        <w:rPr>
          <w:rStyle w:val="EndnoteReference"/>
        </w:rPr>
        <w:endnoteReference w:id="244"/>
      </w:r>
      <w:r>
        <w:t xml:space="preserve"> memoranda of understanding,</w:t>
      </w:r>
      <w:r>
        <w:rPr>
          <w:rStyle w:val="EndnoteReference"/>
        </w:rPr>
        <w:endnoteReference w:id="245"/>
      </w:r>
      <w:r>
        <w:t xml:space="preserve"> and collective bargaining agreements,</w:t>
      </w:r>
      <w:r>
        <w:rPr>
          <w:rStyle w:val="EndnoteReference"/>
        </w:rPr>
        <w:endnoteReference w:id="246"/>
      </w:r>
      <w:r>
        <w:t xml:space="preserve"> cannot nullify public records obligations by agreeing that records will not be public.</w:t>
      </w:r>
      <w:r>
        <w:rPr>
          <w:rStyle w:val="EndnoteReference"/>
        </w:rPr>
        <w:endnoteReference w:id="247"/>
      </w:r>
      <w:r>
        <w:t xml:space="preserve">  Nor can an employee handbook confidentiality provision alter the status of public records.</w:t>
      </w:r>
      <w:r>
        <w:rPr>
          <w:rStyle w:val="EndnoteReference"/>
        </w:rPr>
        <w:endnoteReference w:id="248"/>
      </w:r>
      <w:r>
        <w:t xml:space="preserve">  Absent a statutory exemption, a “public entity cannot enter into enforceable promises of confidentiality regarding public records.”</w:t>
      </w:r>
      <w:r>
        <w:rPr>
          <w:rStyle w:val="EndnoteReference"/>
        </w:rPr>
        <w:endnoteReference w:id="249"/>
      </w:r>
    </w:p>
    <w:p w14:paraId="06EE8E08" w14:textId="77777777" w:rsidR="002007FF" w:rsidRPr="00B208DE" w:rsidRDefault="002007FF" w:rsidP="002007FF">
      <w:pPr>
        <w:spacing w:line="220" w:lineRule="exact"/>
        <w:jc w:val="both"/>
      </w:pPr>
    </w:p>
    <w:p w14:paraId="08CB78A4" w14:textId="77777777" w:rsidR="002007FF" w:rsidRDefault="002007FF" w:rsidP="00322085">
      <w:pPr>
        <w:pStyle w:val="Heading3"/>
      </w:pPr>
      <w:bookmarkStart w:id="72" w:name="_Toc159851488"/>
      <w:r>
        <w:t>2.</w:t>
      </w:r>
      <w:r>
        <w:tab/>
        <w:t>FOIA does not apply to Ohio public offices</w:t>
      </w:r>
      <w:bookmarkEnd w:id="72"/>
    </w:p>
    <w:p w14:paraId="0E72F2B3" w14:textId="1A1A9F84" w:rsidR="002007FF" w:rsidRDefault="002007FF" w:rsidP="001D2AA7">
      <w:pPr>
        <w:spacing w:line="220" w:lineRule="exact"/>
        <w:ind w:left="360"/>
        <w:jc w:val="both"/>
      </w:pPr>
      <w:r>
        <w:t>A request for public records from a state or local agency in Ohio is governed only by the Public Records Act.  The federal Freedom of Information Act (FOIA)</w:t>
      </w:r>
      <w:r>
        <w:rPr>
          <w:rStyle w:val="EndnoteReference"/>
        </w:rPr>
        <w:endnoteReference w:id="250"/>
      </w:r>
      <w:r>
        <w:t xml:space="preserve"> and its exemptions do not apply to </w:t>
      </w:r>
      <w:r w:rsidRPr="00E56B7F">
        <w:t>Ohio public offices</w:t>
      </w:r>
      <w:r>
        <w:t>.</w:t>
      </w:r>
      <w:r>
        <w:rPr>
          <w:rStyle w:val="EndnoteReference"/>
        </w:rPr>
        <w:endnoteReference w:id="251"/>
      </w:r>
      <w:r>
        <w:t xml:space="preserve">  Requests for records and information from federal agencies located in Ohio are governed by FOIA.</w:t>
      </w:r>
    </w:p>
    <w:p w14:paraId="084E397C" w14:textId="6B333970" w:rsidR="00681BA7" w:rsidRPr="00345637" w:rsidRDefault="002007FF" w:rsidP="00322085">
      <w:pPr>
        <w:pStyle w:val="Heading2"/>
      </w:pPr>
      <w:bookmarkStart w:id="73" w:name="_Toc159851489"/>
      <w:r>
        <w:t>B</w:t>
      </w:r>
      <w:r w:rsidR="00681BA7" w:rsidRPr="00345637">
        <w:t>.</w:t>
      </w:r>
      <w:r w:rsidR="00681BA7" w:rsidRPr="00345637">
        <w:tab/>
        <w:t>Categories of Exemptions</w:t>
      </w:r>
      <w:bookmarkEnd w:id="73"/>
    </w:p>
    <w:p w14:paraId="3BFFF548" w14:textId="77777777" w:rsidR="00681BA7" w:rsidRDefault="00681BA7" w:rsidP="00BE5E2A">
      <w:pPr>
        <w:spacing w:line="220" w:lineRule="exact"/>
        <w:ind w:left="360"/>
        <w:jc w:val="both"/>
      </w:pPr>
      <w:r>
        <w:t>There are two types of public records exemptions:  1) those that mandate that a public office cannot release certain documents; and 2) those that allow the public office to choose whether to release certain documents.</w:t>
      </w:r>
    </w:p>
    <w:p w14:paraId="630F3AD7" w14:textId="77777777" w:rsidR="00484C2D" w:rsidRDefault="00484C2D" w:rsidP="00BE5E2A">
      <w:pPr>
        <w:spacing w:line="220" w:lineRule="exact"/>
        <w:ind w:left="360"/>
        <w:jc w:val="both"/>
      </w:pPr>
    </w:p>
    <w:p w14:paraId="1577AD80" w14:textId="4A8965C9" w:rsidR="00484C2D" w:rsidRDefault="00484C2D" w:rsidP="002A248B">
      <w:pPr>
        <w:spacing w:line="220" w:lineRule="exact"/>
        <w:ind w:left="360"/>
        <w:jc w:val="both"/>
      </w:pPr>
      <w:r>
        <w:t>Many records are subject to more than one exemption. Some may be subject to both a discretionary exemption (giving the public office the option to withhold) and a mandatory exemption (prohibiting release).</w:t>
      </w:r>
    </w:p>
    <w:p w14:paraId="65719D93" w14:textId="28BCD703" w:rsidR="00681BA7" w:rsidRDefault="00681BA7" w:rsidP="00322085">
      <w:pPr>
        <w:pStyle w:val="Heading3"/>
      </w:pPr>
      <w:bookmarkStart w:id="74" w:name="_Toc159851490"/>
      <w:r>
        <w:t>1.</w:t>
      </w:r>
      <w:r>
        <w:tab/>
        <w:t>“Must not release”</w:t>
      </w:r>
      <w:bookmarkEnd w:id="74"/>
    </w:p>
    <w:p w14:paraId="52B7091C" w14:textId="16238717" w:rsidR="00681BA7" w:rsidRDefault="00681BA7">
      <w:pPr>
        <w:spacing w:line="220" w:lineRule="exact"/>
        <w:ind w:left="360"/>
        <w:jc w:val="both"/>
      </w:pPr>
      <w:r>
        <w:t>The first type of exemption</w:t>
      </w:r>
      <w:r w:rsidR="004B1375">
        <w:t>, a “mandatory” exemption,</w:t>
      </w:r>
      <w:r>
        <w:t xml:space="preserve"> prohibits a public office from releasing specific records or information to the public, sometimes under civil or criminal </w:t>
      </w:r>
      <w:r w:rsidR="00B825D7">
        <w:t>penalties</w:t>
      </w:r>
      <w:r>
        <w:t>.  Such records are prohibited from release in response to a public records request</w:t>
      </w:r>
      <w:r w:rsidR="00421E5C">
        <w:t>,</w:t>
      </w:r>
      <w:r>
        <w:t xml:space="preserve"> and the public office has no choice but to </w:t>
      </w:r>
      <w:r w:rsidR="00484C2D">
        <w:t>redact or withhold the information or record</w:t>
      </w:r>
      <w:r>
        <w:t xml:space="preserve">.  </w:t>
      </w:r>
      <w:r w:rsidR="00BD74DD">
        <w:t>The</w:t>
      </w:r>
      <w:r>
        <w:t xml:space="preserve"> Public Records Act </w:t>
      </w:r>
      <w:r w:rsidR="00A00EAE">
        <w:t xml:space="preserve">expressly includes these mandatory restrictions </w:t>
      </w:r>
      <w:r w:rsidR="004B1375">
        <w:t>in</w:t>
      </w:r>
      <w:r>
        <w:t xml:space="preserve"> R.C. 149.43(A)(1)(v), often referred to as the “catch-all” exemption</w:t>
      </w:r>
      <w:r w:rsidR="00421E5C">
        <w:t>: “</w:t>
      </w:r>
      <w:r>
        <w:t>records the release of which is prohibited by state or federal law.”</w:t>
      </w:r>
    </w:p>
    <w:p w14:paraId="52E568EA" w14:textId="77777777" w:rsidR="00681BA7" w:rsidRDefault="00681BA7">
      <w:pPr>
        <w:spacing w:line="220" w:lineRule="exact"/>
        <w:ind w:left="360"/>
        <w:jc w:val="both"/>
      </w:pPr>
    </w:p>
    <w:p w14:paraId="45F6A882" w14:textId="73139083" w:rsidR="00681BA7" w:rsidRDefault="00681BA7">
      <w:pPr>
        <w:spacing w:line="220" w:lineRule="exact"/>
        <w:ind w:left="360"/>
        <w:jc w:val="both"/>
      </w:pPr>
      <w:r>
        <w:t xml:space="preserve">A few </w:t>
      </w:r>
      <w:r w:rsidR="00484C2D">
        <w:t xml:space="preserve">mandatory </w:t>
      </w:r>
      <w:r>
        <w:t xml:space="preserve">exemptions apply to public offices on behalf of, and are subject to the decisions of, another person.  For example, </w:t>
      </w:r>
      <w:r w:rsidR="00A00EAE">
        <w:t xml:space="preserve">the </w:t>
      </w:r>
      <w:r>
        <w:t xml:space="preserve">attorney-client or physician-patient privilege </w:t>
      </w:r>
      <w:r w:rsidR="00A00EAE">
        <w:t xml:space="preserve">may restrict a public, legal, or medical office </w:t>
      </w:r>
      <w:r>
        <w:t>from releasing certain records of its clients or patients.</w:t>
      </w:r>
      <w:r>
        <w:rPr>
          <w:rStyle w:val="EndnoteReference"/>
        </w:rPr>
        <w:endnoteReference w:id="252"/>
      </w:r>
      <w:r>
        <w:t xml:space="preserve">  In such cases, if the client or patient chooses to waive the privilege, </w:t>
      </w:r>
      <w:r w:rsidR="004B1375">
        <w:t xml:space="preserve">the </w:t>
      </w:r>
      <w:r>
        <w:t>otherwise mandatory exemption</w:t>
      </w:r>
      <w:r w:rsidR="008D3D3A">
        <w:t xml:space="preserve"> would not apply and, in the absence of some other exemption, release of the records would be required</w:t>
      </w:r>
      <w:r>
        <w:t>.</w:t>
      </w:r>
      <w:r>
        <w:rPr>
          <w:rStyle w:val="EndnoteReference"/>
        </w:rPr>
        <w:endnoteReference w:id="253"/>
      </w:r>
    </w:p>
    <w:p w14:paraId="22AB525A" w14:textId="5CC547B4" w:rsidR="00681BA7" w:rsidRDefault="00681BA7" w:rsidP="00322085">
      <w:pPr>
        <w:pStyle w:val="Heading3"/>
      </w:pPr>
      <w:bookmarkStart w:id="75" w:name="_Toc159851491"/>
      <w:r>
        <w:lastRenderedPageBreak/>
        <w:t>2.</w:t>
      </w:r>
      <w:r>
        <w:tab/>
        <w:t>“May release, but may choose to withhold”</w:t>
      </w:r>
      <w:bookmarkEnd w:id="75"/>
    </w:p>
    <w:p w14:paraId="21831958" w14:textId="41FE8E12" w:rsidR="00681BA7" w:rsidRDefault="00681BA7">
      <w:pPr>
        <w:spacing w:line="220" w:lineRule="exact"/>
        <w:ind w:left="360"/>
        <w:jc w:val="both"/>
      </w:pPr>
      <w:r>
        <w:t xml:space="preserve">The other type of exemption, a “discretionary” exemption, gives a public office the choice </w:t>
      </w:r>
      <w:r w:rsidR="00484C2D">
        <w:t>to</w:t>
      </w:r>
      <w:r>
        <w:t xml:space="preserve"> either withhold or releas</w:t>
      </w:r>
      <w:r w:rsidR="00484C2D">
        <w:t>e</w:t>
      </w:r>
      <w:r>
        <w:t xml:space="preserve"> specific records, often by excluding certain records from the definition of public records.</w:t>
      </w:r>
      <w:r>
        <w:rPr>
          <w:rStyle w:val="EndnoteReference"/>
        </w:rPr>
        <w:endnoteReference w:id="254"/>
      </w:r>
      <w:r>
        <w:t xml:space="preserve">  This means that the public office does not have to disclose these records in response to a public records request; however, it may choose to do so without fear of punishment under the law.  </w:t>
      </w:r>
      <w:r w:rsidR="008D3D3A">
        <w:t>Discretionary exemptions</w:t>
      </w:r>
      <w:r>
        <w:t xml:space="preserve"> are </w:t>
      </w:r>
      <w:r w:rsidR="008614DE">
        <w:t>typically</w:t>
      </w:r>
      <w:r>
        <w:t xml:space="preserve"> </w:t>
      </w:r>
      <w:r w:rsidR="008D3D3A">
        <w:t xml:space="preserve">found in </w:t>
      </w:r>
      <w:r>
        <w:t>state or federal statutes.  Some laws contain ambiguous titles or text such as “confidential” or “private</w:t>
      </w:r>
      <w:r w:rsidR="00A00EAE">
        <w:t>.</w:t>
      </w:r>
      <w:r>
        <w:t xml:space="preserve">” </w:t>
      </w:r>
      <w:r w:rsidR="00DC6AC7">
        <w:t xml:space="preserve"> </w:t>
      </w:r>
      <w:r w:rsidR="00B825D7">
        <w:t>But</w:t>
      </w:r>
      <w:r>
        <w:t xml:space="preserve"> the test </w:t>
      </w:r>
      <w:r w:rsidR="008D3D3A">
        <w:t>for determining whether the exemption is mandatory or discretionary</w:t>
      </w:r>
      <w:r>
        <w:t xml:space="preserve"> is whether a particular law applied to a particular request </w:t>
      </w:r>
      <w:r>
        <w:rPr>
          <w:i/>
        </w:rPr>
        <w:t>prohibits</w:t>
      </w:r>
      <w:r>
        <w:t xml:space="preserve"> release of a record or just gives the public office the </w:t>
      </w:r>
      <w:r>
        <w:rPr>
          <w:i/>
        </w:rPr>
        <w:t>choice</w:t>
      </w:r>
      <w:r>
        <w:t xml:space="preserve"> to withhold the record.</w:t>
      </w:r>
    </w:p>
    <w:p w14:paraId="5A563FF5" w14:textId="59B5BDBB" w:rsidR="00681BA7" w:rsidRPr="00345637" w:rsidRDefault="002007FF" w:rsidP="00322085">
      <w:pPr>
        <w:pStyle w:val="Heading2"/>
      </w:pPr>
      <w:bookmarkStart w:id="76" w:name="_Toc159851492"/>
      <w:r>
        <w:t>C</w:t>
      </w:r>
      <w:r w:rsidR="00681BA7" w:rsidRPr="00345637">
        <w:t>.</w:t>
      </w:r>
      <w:r w:rsidR="00681BA7" w:rsidRPr="00345637">
        <w:tab/>
        <w:t>Waiver of a</w:t>
      </w:r>
      <w:r w:rsidR="008614DE">
        <w:t xml:space="preserve"> Discretionary</w:t>
      </w:r>
      <w:r w:rsidR="00681BA7" w:rsidRPr="00345637">
        <w:t xml:space="preserve"> Exemption</w:t>
      </w:r>
      <w:bookmarkEnd w:id="76"/>
    </w:p>
    <w:p w14:paraId="39E07365" w14:textId="77777777" w:rsidR="00681BA7" w:rsidRDefault="00681BA7" w:rsidP="00BE5E2A">
      <w:pPr>
        <w:spacing w:line="220" w:lineRule="exact"/>
        <w:ind w:left="360"/>
        <w:jc w:val="both"/>
      </w:pPr>
      <w:r>
        <w:t>If a valid discretionary exemption applies to a particular record, but the public office voluntarily discloses it, the office is deemed to have waived</w:t>
      </w:r>
      <w:r>
        <w:rPr>
          <w:rStyle w:val="EndnoteReference"/>
        </w:rPr>
        <w:endnoteReference w:id="255"/>
      </w:r>
      <w:r>
        <w:t xml:space="preserve"> (abandoned) that exemption for that particular record, especially if the disclosure was to a person whose interests are antagonistic to those of the public office.</w:t>
      </w:r>
      <w:r>
        <w:rPr>
          <w:rStyle w:val="EndnoteReference"/>
        </w:rPr>
        <w:endnoteReference w:id="256"/>
      </w:r>
      <w:r>
        <w:t xml:space="preserve">  However, “waiver does not necessarily occur when the public office that possesses the information makes limited disclosures [to other public officials] to carry out its business.”</w:t>
      </w:r>
      <w:r>
        <w:rPr>
          <w:rStyle w:val="EndnoteReference"/>
        </w:rPr>
        <w:endnoteReference w:id="257"/>
      </w:r>
      <w:r>
        <w:t xml:space="preserve">  Under such circumstances, the information has never been disclosed to the public.</w:t>
      </w:r>
      <w:r>
        <w:rPr>
          <w:rStyle w:val="EndnoteReference"/>
        </w:rPr>
        <w:endnoteReference w:id="258"/>
      </w:r>
    </w:p>
    <w:p w14:paraId="72B7B7EA" w14:textId="2BAAEAD5" w:rsidR="00681BA7" w:rsidRPr="00345637" w:rsidRDefault="002007FF" w:rsidP="00322085">
      <w:pPr>
        <w:pStyle w:val="Heading2"/>
      </w:pPr>
      <w:bookmarkStart w:id="77" w:name="_Toc159851493"/>
      <w:r>
        <w:t>D</w:t>
      </w:r>
      <w:r w:rsidR="00681BA7" w:rsidRPr="00345637">
        <w:t>.</w:t>
      </w:r>
      <w:r w:rsidR="00681BA7" w:rsidRPr="00345637">
        <w:tab/>
        <w:t>Applying Exemptions</w:t>
      </w:r>
      <w:bookmarkEnd w:id="77"/>
    </w:p>
    <w:p w14:paraId="0D177E21" w14:textId="03B591ED" w:rsidR="00681BA7" w:rsidRDefault="008614DE" w:rsidP="00BE5E2A">
      <w:pPr>
        <w:spacing w:line="220" w:lineRule="exact"/>
        <w:ind w:left="360"/>
        <w:jc w:val="both"/>
      </w:pPr>
      <w:r>
        <w:t>P</w:t>
      </w:r>
      <w:r w:rsidR="00681BA7">
        <w:t>ublic records belong to the people, not to the government officials</w:t>
      </w:r>
      <w:r>
        <w:t xml:space="preserve"> or offices</w:t>
      </w:r>
      <w:r w:rsidR="00681BA7">
        <w:t xml:space="preserve"> holding the</w:t>
      </w:r>
      <w:r w:rsidR="004B1375">
        <w:t xml:space="preserve"> records</w:t>
      </w:r>
      <w:r w:rsidR="00681BA7">
        <w:t>.</w:t>
      </w:r>
      <w:r>
        <w:t xml:space="preserve"> </w:t>
      </w:r>
      <w:r w:rsidR="00681BA7">
        <w:t>Accordingly, public records law</w:t>
      </w:r>
      <w:r>
        <w:t>s</w:t>
      </w:r>
      <w:r w:rsidR="00681BA7">
        <w:t xml:space="preserve"> must be liberally interpreted in favor of disclosure, and any exemptions in the law that permit certain types of records to be withheld from disclosure must be narrowly construed</w:t>
      </w:r>
      <w:r w:rsidR="004B1375">
        <w:t xml:space="preserve"> against the public records custodian</w:t>
      </w:r>
      <w:r w:rsidR="00681BA7">
        <w:t>.</w:t>
      </w:r>
      <w:r w:rsidR="00681BA7">
        <w:rPr>
          <w:rStyle w:val="EndnoteReference"/>
        </w:rPr>
        <w:endnoteReference w:id="259"/>
      </w:r>
      <w:r w:rsidR="00681BA7">
        <w:t xml:space="preserve">  The public office has the burden of establishing that an exemption applies; the public office fails to meet that burden if it </w:t>
      </w:r>
      <w:r w:rsidR="004B1375">
        <w:t xml:space="preserve">does </w:t>
      </w:r>
      <w:r w:rsidR="00681BA7">
        <w:t xml:space="preserve">not prove that the requested records fall squarely within </w:t>
      </w:r>
      <w:r w:rsidR="004B1375">
        <w:t>a valid</w:t>
      </w:r>
      <w:r w:rsidR="00681BA7">
        <w:t xml:space="preserve"> exemption.</w:t>
      </w:r>
      <w:r w:rsidR="00681BA7">
        <w:rPr>
          <w:rStyle w:val="EndnoteReference"/>
        </w:rPr>
        <w:endnoteReference w:id="260"/>
      </w:r>
      <w:r w:rsidR="00681BA7">
        <w:t xml:space="preserve">  The Supreme Court </w:t>
      </w:r>
      <w:r w:rsidR="0040318D">
        <w:t xml:space="preserve">of Ohio </w:t>
      </w:r>
      <w:r w:rsidR="00681BA7">
        <w:t>has stated that “in enumerating very narrow, specific exceptions to the public records statute, the General Assembly has already weighed and balanced the competing public policy considerations between the public’s right to know how its state agencies make decisions and the potential harm, inconvenience or burden imposed on the agency by disclosure.”</w:t>
      </w:r>
      <w:r w:rsidR="00681BA7">
        <w:rPr>
          <w:rStyle w:val="EndnoteReference"/>
        </w:rPr>
        <w:endnoteReference w:id="261"/>
      </w:r>
    </w:p>
    <w:p w14:paraId="17EAAC6E" w14:textId="77777777" w:rsidR="00681BA7" w:rsidRDefault="00681BA7">
      <w:pPr>
        <w:spacing w:line="220" w:lineRule="exact"/>
        <w:jc w:val="both"/>
      </w:pPr>
    </w:p>
    <w:p w14:paraId="20E5A79E" w14:textId="062BD0C7" w:rsidR="00681BA7" w:rsidRDefault="008614DE" w:rsidP="00BE5E2A">
      <w:pPr>
        <w:spacing w:line="220" w:lineRule="exact"/>
        <w:ind w:left="360"/>
        <w:jc w:val="both"/>
      </w:pPr>
      <w:r>
        <w:t xml:space="preserve">Thus, public offices must apply exemptions narrowly and only to the specific record or information in a record that falls squarely within the exemption. If only a single word is covered by an exemption, only that word may be redacted. </w:t>
      </w:r>
      <w:r w:rsidR="00681BA7">
        <w:t xml:space="preserve">Even if a statute expressly states that specific records of a public office are public, it does </w:t>
      </w:r>
      <w:r w:rsidR="00681BA7">
        <w:rPr>
          <w:i/>
        </w:rPr>
        <w:t>not</w:t>
      </w:r>
      <w:r w:rsidR="00681BA7">
        <w:t xml:space="preserve"> mean that all other records of that office are exempt from disclosure.</w:t>
      </w:r>
      <w:r w:rsidR="00681BA7">
        <w:rPr>
          <w:rStyle w:val="EndnoteReference"/>
        </w:rPr>
        <w:endnoteReference w:id="262"/>
      </w:r>
      <w:r w:rsidR="00681BA7">
        <w:t xml:space="preserve">  The Public Records Act still applies to all the public records of the office.</w:t>
      </w:r>
    </w:p>
    <w:p w14:paraId="255C1FF5" w14:textId="77777777" w:rsidR="00681BA7" w:rsidRDefault="00681BA7">
      <w:pPr>
        <w:spacing w:line="220" w:lineRule="exact"/>
        <w:jc w:val="both"/>
      </w:pPr>
    </w:p>
    <w:p w14:paraId="4EE74341" w14:textId="3C5E1DDC" w:rsidR="008614DE" w:rsidRDefault="00681BA7" w:rsidP="00BE5E2A">
      <w:pPr>
        <w:spacing w:line="220" w:lineRule="exact"/>
        <w:ind w:left="360"/>
        <w:jc w:val="both"/>
      </w:pPr>
      <w:r>
        <w:t xml:space="preserve">When an office can show that non-exempt records are “inextricably intertwined” with exempt materials, the non-exempt records </w:t>
      </w:r>
      <w:r w:rsidR="008614DE">
        <w:t>but</w:t>
      </w:r>
      <w:r>
        <w:t xml:space="preserve"> only to the extent they are inseparable.</w:t>
      </w:r>
      <w:r>
        <w:rPr>
          <w:rStyle w:val="EndnoteReference"/>
        </w:rPr>
        <w:endnoteReference w:id="263"/>
      </w:r>
      <w:r>
        <w:t xml:space="preserve">  </w:t>
      </w:r>
    </w:p>
    <w:p w14:paraId="79716DB0" w14:textId="77777777" w:rsidR="008614DE" w:rsidRDefault="008614DE" w:rsidP="00BE5E2A">
      <w:pPr>
        <w:spacing w:line="220" w:lineRule="exact"/>
        <w:ind w:left="360"/>
        <w:jc w:val="both"/>
      </w:pPr>
    </w:p>
    <w:p w14:paraId="05A29778" w14:textId="109B4ECF" w:rsidR="00A00EAE" w:rsidRDefault="008614DE" w:rsidP="00E551BD">
      <w:pPr>
        <w:spacing w:line="220" w:lineRule="exact"/>
        <w:ind w:left="360"/>
        <w:jc w:val="both"/>
      </w:pPr>
      <w:r>
        <w:t>A p</w:t>
      </w:r>
      <w:r w:rsidR="00681BA7">
        <w:t>ublic office has no duty to submit a “privilege log” to preserve a claimed public records exemption.</w:t>
      </w:r>
      <w:r w:rsidR="00681BA7">
        <w:rPr>
          <w:rStyle w:val="EndnoteReference"/>
        </w:rPr>
        <w:endnoteReference w:id="264"/>
      </w:r>
    </w:p>
    <w:p w14:paraId="49997E4E" w14:textId="2C1D7171" w:rsidR="00681BA7" w:rsidRPr="00345637" w:rsidRDefault="002007FF" w:rsidP="00322085">
      <w:pPr>
        <w:pStyle w:val="Heading2"/>
      </w:pPr>
      <w:bookmarkStart w:id="78" w:name="_Toc159851494"/>
      <w:r>
        <w:t>E</w:t>
      </w:r>
      <w:r w:rsidR="00681BA7" w:rsidRPr="00345637">
        <w:t>.</w:t>
      </w:r>
      <w:r w:rsidR="00681BA7" w:rsidRPr="00345637">
        <w:tab/>
        <w:t xml:space="preserve">Exemptions </w:t>
      </w:r>
      <w:r w:rsidR="00424776">
        <w:t>Liste</w:t>
      </w:r>
      <w:r w:rsidR="00681BA7" w:rsidRPr="00345637">
        <w:t>d in the Public Records Act</w:t>
      </w:r>
      <w:bookmarkEnd w:id="78"/>
    </w:p>
    <w:p w14:paraId="3ABA1B1E" w14:textId="7DCB6B62" w:rsidR="004B1375" w:rsidRPr="002007FF" w:rsidRDefault="00681BA7" w:rsidP="002007FF">
      <w:pPr>
        <w:spacing w:line="220" w:lineRule="exact"/>
        <w:ind w:left="360"/>
        <w:jc w:val="both"/>
        <w:rPr>
          <w:rFonts w:asciiTheme="minorHAnsi" w:hAnsiTheme="minorHAnsi" w:cstheme="minorHAnsi"/>
        </w:rPr>
      </w:pPr>
      <w:r w:rsidRPr="001F0CB1">
        <w:rPr>
          <w:rFonts w:asciiTheme="minorHAnsi" w:hAnsiTheme="minorHAnsi" w:cstheme="minorHAnsi"/>
        </w:rPr>
        <w:t>The Public Records Act contains a list of records and types of information removed from the definition of “public record.”</w:t>
      </w:r>
      <w:r w:rsidRPr="001F0CB1">
        <w:rPr>
          <w:rStyle w:val="EndnoteReference"/>
          <w:rFonts w:asciiTheme="minorHAnsi" w:hAnsiTheme="minorHAnsi" w:cstheme="minorHAnsi"/>
        </w:rPr>
        <w:endnoteReference w:id="265"/>
      </w:r>
      <w:r w:rsidRPr="001F0CB1">
        <w:rPr>
          <w:rFonts w:asciiTheme="minorHAnsi" w:hAnsiTheme="minorHAnsi" w:cstheme="minorHAnsi"/>
        </w:rPr>
        <w:t xml:space="preserve">  The full </w:t>
      </w:r>
      <w:r w:rsidR="00424776" w:rsidRPr="001F0CB1">
        <w:rPr>
          <w:rFonts w:asciiTheme="minorHAnsi" w:hAnsiTheme="minorHAnsi" w:cstheme="minorHAnsi"/>
        </w:rPr>
        <w:t xml:space="preserve">list is </w:t>
      </w:r>
      <w:r w:rsidR="008614DE" w:rsidRPr="001F0CB1">
        <w:rPr>
          <w:rFonts w:asciiTheme="minorHAnsi" w:hAnsiTheme="minorHAnsi" w:cstheme="minorHAnsi"/>
        </w:rPr>
        <w:t>under</w:t>
      </w:r>
      <w:r w:rsidR="00F50688" w:rsidRPr="001F0CB1">
        <w:rPr>
          <w:rFonts w:asciiTheme="minorHAnsi" w:hAnsiTheme="minorHAnsi" w:cstheme="minorHAnsi"/>
        </w:rPr>
        <w:t xml:space="preserve"> R.C. 149.43(A)(1)</w:t>
      </w:r>
      <w:r w:rsidRPr="001F0CB1">
        <w:rPr>
          <w:rFonts w:asciiTheme="minorHAnsi" w:hAnsiTheme="minorHAnsi" w:cstheme="minorHAnsi"/>
        </w:rPr>
        <w:t xml:space="preserve">.  </w:t>
      </w:r>
      <w:r w:rsidR="00424776" w:rsidRPr="001F0CB1">
        <w:rPr>
          <w:rFonts w:asciiTheme="minorHAnsi" w:hAnsiTheme="minorHAnsi" w:cstheme="minorHAnsi"/>
        </w:rPr>
        <w:t>T</w:t>
      </w:r>
      <w:r w:rsidRPr="001F0CB1">
        <w:rPr>
          <w:rFonts w:asciiTheme="minorHAnsi" w:hAnsiTheme="minorHAnsi" w:cstheme="minorHAnsi"/>
        </w:rPr>
        <w:t xml:space="preserve">hese exemptions are </w:t>
      </w:r>
      <w:r w:rsidR="00424776" w:rsidRPr="001F0CB1">
        <w:rPr>
          <w:rFonts w:asciiTheme="minorHAnsi" w:hAnsiTheme="minorHAnsi" w:cstheme="minorHAnsi"/>
        </w:rPr>
        <w:t>listed below</w:t>
      </w:r>
      <w:r w:rsidRPr="001F0CB1">
        <w:rPr>
          <w:rFonts w:asciiTheme="minorHAnsi" w:hAnsiTheme="minorHAnsi" w:cstheme="minorHAnsi"/>
        </w:rPr>
        <w:t xml:space="preserve"> in brief summaries.  </w:t>
      </w:r>
      <w:r w:rsidR="00424776" w:rsidRPr="001F0CB1">
        <w:rPr>
          <w:rFonts w:asciiTheme="minorHAnsi" w:hAnsiTheme="minorHAnsi" w:cstheme="minorHAnsi"/>
        </w:rPr>
        <w:t>A</w:t>
      </w:r>
      <w:r w:rsidRPr="001F0CB1">
        <w:rPr>
          <w:rFonts w:asciiTheme="minorHAnsi" w:hAnsiTheme="minorHAnsi" w:cstheme="minorHAnsi"/>
        </w:rPr>
        <w:t>lthough the language of R.C. 149.43(A)(1) – “</w:t>
      </w:r>
      <w:r w:rsidRPr="001F0CB1">
        <w:rPr>
          <w:rFonts w:asciiTheme="minorHAnsi" w:hAnsiTheme="minorHAnsi" w:cstheme="minorHAnsi"/>
          <w:i/>
        </w:rPr>
        <w:t xml:space="preserve">Public record” does not mean any of the following ─ </w:t>
      </w:r>
      <w:r w:rsidRPr="001F0CB1">
        <w:rPr>
          <w:rFonts w:asciiTheme="minorHAnsi" w:hAnsiTheme="minorHAnsi" w:cstheme="minorHAnsi"/>
        </w:rPr>
        <w:t xml:space="preserve">gives the public office the </w:t>
      </w:r>
      <w:r w:rsidRPr="001F0CB1">
        <w:rPr>
          <w:rFonts w:asciiTheme="minorHAnsi" w:hAnsiTheme="minorHAnsi" w:cstheme="minorHAnsi"/>
          <w:i/>
        </w:rPr>
        <w:t>choice</w:t>
      </w:r>
      <w:r w:rsidRPr="001F0CB1">
        <w:rPr>
          <w:rFonts w:asciiTheme="minorHAnsi" w:hAnsiTheme="minorHAnsi" w:cstheme="minorHAnsi"/>
        </w:rPr>
        <w:t xml:space="preserve"> </w:t>
      </w:r>
      <w:r w:rsidR="00424776" w:rsidRPr="001F0CB1">
        <w:rPr>
          <w:rFonts w:asciiTheme="minorHAnsi" w:hAnsiTheme="minorHAnsi" w:cstheme="minorHAnsi"/>
        </w:rPr>
        <w:t>to</w:t>
      </w:r>
      <w:r w:rsidRPr="001F0CB1">
        <w:rPr>
          <w:rFonts w:asciiTheme="minorHAnsi" w:hAnsiTheme="minorHAnsi" w:cstheme="minorHAnsi"/>
        </w:rPr>
        <w:t xml:space="preserve"> withhold or releas</w:t>
      </w:r>
      <w:r w:rsidR="00424776" w:rsidRPr="001F0CB1">
        <w:rPr>
          <w:rFonts w:asciiTheme="minorHAnsi" w:hAnsiTheme="minorHAnsi" w:cstheme="minorHAnsi"/>
        </w:rPr>
        <w:t>e</w:t>
      </w:r>
      <w:r w:rsidRPr="001F0CB1">
        <w:rPr>
          <w:rFonts w:asciiTheme="minorHAnsi" w:hAnsiTheme="minorHAnsi" w:cstheme="minorHAnsi"/>
        </w:rPr>
        <w:t xml:space="preserve"> the</w:t>
      </w:r>
      <w:r w:rsidR="004B1375" w:rsidRPr="001F0CB1">
        <w:rPr>
          <w:rFonts w:asciiTheme="minorHAnsi" w:hAnsiTheme="minorHAnsi" w:cstheme="minorHAnsi"/>
        </w:rPr>
        <w:t>se</w:t>
      </w:r>
      <w:r w:rsidRPr="001F0CB1">
        <w:rPr>
          <w:rFonts w:asciiTheme="minorHAnsi" w:hAnsiTheme="minorHAnsi" w:cstheme="minorHAnsi"/>
        </w:rPr>
        <w:t xml:space="preserve"> records, many of these same records are </w:t>
      </w:r>
      <w:r w:rsidR="004B1375" w:rsidRPr="001F0CB1">
        <w:rPr>
          <w:rFonts w:asciiTheme="minorHAnsi" w:hAnsiTheme="minorHAnsi" w:cstheme="minorHAnsi"/>
        </w:rPr>
        <w:t>also</w:t>
      </w:r>
      <w:r w:rsidRPr="001F0CB1">
        <w:rPr>
          <w:rFonts w:asciiTheme="minorHAnsi" w:hAnsiTheme="minorHAnsi" w:cstheme="minorHAnsi"/>
        </w:rPr>
        <w:t xml:space="preserve"> subject to other </w:t>
      </w:r>
      <w:r w:rsidR="004B1375" w:rsidRPr="001F0CB1">
        <w:rPr>
          <w:rFonts w:asciiTheme="minorHAnsi" w:hAnsiTheme="minorHAnsi" w:cstheme="minorHAnsi"/>
        </w:rPr>
        <w:t>laws</w:t>
      </w:r>
      <w:r w:rsidR="00D65B63" w:rsidRPr="001F0CB1">
        <w:rPr>
          <w:rFonts w:asciiTheme="minorHAnsi" w:hAnsiTheme="minorHAnsi" w:cstheme="minorHAnsi"/>
        </w:rPr>
        <w:t xml:space="preserve"> </w:t>
      </w:r>
      <w:r w:rsidRPr="001F0CB1">
        <w:rPr>
          <w:rFonts w:asciiTheme="minorHAnsi" w:hAnsiTheme="minorHAnsi" w:cstheme="minorHAnsi"/>
        </w:rPr>
        <w:t xml:space="preserve">that </w:t>
      </w:r>
      <w:r w:rsidRPr="001F0CB1">
        <w:rPr>
          <w:rFonts w:asciiTheme="minorHAnsi" w:hAnsiTheme="minorHAnsi" w:cstheme="minorHAnsi"/>
          <w:i/>
        </w:rPr>
        <w:t>prohibit</w:t>
      </w:r>
      <w:r w:rsidRPr="001F0CB1">
        <w:rPr>
          <w:rFonts w:asciiTheme="minorHAnsi" w:hAnsiTheme="minorHAnsi" w:cstheme="minorHAnsi"/>
        </w:rPr>
        <w:t xml:space="preserve"> their release.</w:t>
      </w:r>
    </w:p>
    <w:p w14:paraId="36904E2C" w14:textId="77777777" w:rsidR="00681BA7" w:rsidRDefault="00681BA7">
      <w:pPr>
        <w:spacing w:line="220" w:lineRule="exact"/>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emptions Enumerated in the Public Records Act"/>
        <w:tblDescription w:val="A table listing all of the exemptions that are included in the Public Records Act, with descriptions for each."/>
      </w:tblPr>
      <w:tblGrid>
        <w:gridCol w:w="2535"/>
        <w:gridCol w:w="701"/>
        <w:gridCol w:w="6232"/>
      </w:tblGrid>
      <w:tr w:rsidR="00223E12" w:rsidRPr="00704A17" w14:paraId="33A04BC1" w14:textId="77777777" w:rsidTr="004B1375">
        <w:trPr>
          <w:cantSplit/>
          <w:trHeight w:val="576"/>
          <w:tblHeader/>
        </w:trPr>
        <w:tc>
          <w:tcPr>
            <w:tcW w:w="2535" w:type="dxa"/>
            <w:shd w:val="clear" w:color="auto" w:fill="D9D9D9" w:themeFill="background1" w:themeFillShade="D9"/>
            <w:vAlign w:val="center"/>
          </w:tcPr>
          <w:p w14:paraId="5913CE1E" w14:textId="77777777" w:rsidR="00223E12" w:rsidRPr="00D3367F" w:rsidRDefault="00223E12" w:rsidP="00D3367F">
            <w:pPr>
              <w:rPr>
                <w:b/>
                <w:bCs/>
                <w:i/>
              </w:rPr>
            </w:pPr>
            <w:bookmarkStart w:id="79" w:name="_Toc97727461"/>
            <w:bookmarkStart w:id="80" w:name="_Toc128391154"/>
            <w:r w:rsidRPr="00D3367F">
              <w:rPr>
                <w:b/>
                <w:bCs/>
              </w:rPr>
              <w:lastRenderedPageBreak/>
              <w:t>Type of Record(s)</w:t>
            </w:r>
            <w:bookmarkEnd w:id="79"/>
            <w:bookmarkEnd w:id="80"/>
          </w:p>
        </w:tc>
        <w:tc>
          <w:tcPr>
            <w:tcW w:w="701" w:type="dxa"/>
            <w:shd w:val="clear" w:color="auto" w:fill="D9D9D9" w:themeFill="background1" w:themeFillShade="D9"/>
            <w:vAlign w:val="center"/>
          </w:tcPr>
          <w:p w14:paraId="67D73075" w14:textId="77777777" w:rsidR="00223E12" w:rsidRPr="00D3367F" w:rsidRDefault="00223E12" w:rsidP="00D3367F">
            <w:pPr>
              <w:rPr>
                <w:b/>
                <w:bCs/>
                <w:i/>
              </w:rPr>
            </w:pPr>
            <w:bookmarkStart w:id="81" w:name="_Toc97727462"/>
            <w:bookmarkStart w:id="82" w:name="_Toc128391155"/>
            <w:r w:rsidRPr="00D3367F">
              <w:rPr>
                <w:b/>
                <w:bCs/>
              </w:rPr>
              <w:t>§</w:t>
            </w:r>
            <w:bookmarkEnd w:id="81"/>
            <w:bookmarkEnd w:id="82"/>
          </w:p>
        </w:tc>
        <w:tc>
          <w:tcPr>
            <w:tcW w:w="6232" w:type="dxa"/>
            <w:shd w:val="clear" w:color="auto" w:fill="D9D9D9" w:themeFill="background1" w:themeFillShade="D9"/>
            <w:vAlign w:val="center"/>
          </w:tcPr>
          <w:p w14:paraId="456AF75C" w14:textId="4AECF8C2" w:rsidR="00223E12" w:rsidRPr="00D3367F" w:rsidRDefault="00223E12" w:rsidP="00D3367F">
            <w:pPr>
              <w:rPr>
                <w:b/>
                <w:bCs/>
                <w:i/>
              </w:rPr>
            </w:pPr>
            <w:bookmarkStart w:id="83" w:name="_Toc97727463"/>
            <w:bookmarkStart w:id="84" w:name="_Toc128391156"/>
            <w:r w:rsidRPr="00D3367F">
              <w:rPr>
                <w:b/>
                <w:bCs/>
              </w:rPr>
              <w:t>Descriptio</w:t>
            </w:r>
            <w:bookmarkEnd w:id="83"/>
            <w:bookmarkEnd w:id="84"/>
            <w:r w:rsidR="006A12FD" w:rsidRPr="00D3367F">
              <w:rPr>
                <w:b/>
                <w:bCs/>
              </w:rPr>
              <w:t>n</w:t>
            </w:r>
          </w:p>
        </w:tc>
      </w:tr>
      <w:tr w:rsidR="00681BA7" w:rsidRPr="00704A17" w14:paraId="2293917F" w14:textId="77777777" w:rsidTr="004B1375">
        <w:trPr>
          <w:cantSplit/>
        </w:trPr>
        <w:tc>
          <w:tcPr>
            <w:tcW w:w="2535" w:type="dxa"/>
            <w:shd w:val="clear" w:color="auto" w:fill="auto"/>
          </w:tcPr>
          <w:p w14:paraId="278701F5" w14:textId="5D024905" w:rsidR="00681BA7" w:rsidRPr="00D3367F" w:rsidRDefault="00681BA7" w:rsidP="00D3367F">
            <w:pPr>
              <w:rPr>
                <w:b/>
                <w:bCs/>
                <w:iCs/>
              </w:rPr>
            </w:pPr>
            <w:bookmarkStart w:id="85" w:name="_Toc343328"/>
            <w:bookmarkStart w:id="86" w:name="_Toc97727464"/>
            <w:bookmarkStart w:id="87" w:name="_Toc128391157"/>
            <w:r w:rsidRPr="00D3367F">
              <w:rPr>
                <w:b/>
                <w:bCs/>
                <w:iCs/>
              </w:rPr>
              <w:t>Medical records</w:t>
            </w:r>
            <w:bookmarkEnd w:id="85"/>
            <w:bookmarkEnd w:id="86"/>
            <w:bookmarkEnd w:id="87"/>
          </w:p>
        </w:tc>
        <w:tc>
          <w:tcPr>
            <w:tcW w:w="701" w:type="dxa"/>
            <w:shd w:val="clear" w:color="auto" w:fill="auto"/>
          </w:tcPr>
          <w:p w14:paraId="0162DB7D" w14:textId="77777777" w:rsidR="00681BA7" w:rsidRPr="006A12FD" w:rsidRDefault="00681BA7" w:rsidP="00D3367F">
            <w:pPr>
              <w:rPr>
                <w:iCs/>
              </w:rPr>
            </w:pPr>
            <w:bookmarkStart w:id="88" w:name="_Toc343329"/>
            <w:bookmarkStart w:id="89" w:name="_Toc97727465"/>
            <w:bookmarkStart w:id="90" w:name="_Toc128391158"/>
            <w:r w:rsidRPr="006A12FD">
              <w:rPr>
                <w:iCs/>
              </w:rPr>
              <w:t>(a)</w:t>
            </w:r>
            <w:bookmarkEnd w:id="88"/>
            <w:bookmarkEnd w:id="89"/>
            <w:bookmarkEnd w:id="90"/>
          </w:p>
        </w:tc>
        <w:tc>
          <w:tcPr>
            <w:tcW w:w="6232" w:type="dxa"/>
            <w:shd w:val="clear" w:color="auto" w:fill="auto"/>
          </w:tcPr>
          <w:p w14:paraId="488B08D3" w14:textId="26E0C2A9" w:rsidR="00681BA7" w:rsidRPr="006A12FD" w:rsidRDefault="00CC3906" w:rsidP="00D3367F">
            <w:pPr>
              <w:rPr>
                <w:iCs/>
              </w:rPr>
            </w:pPr>
            <w:bookmarkStart w:id="91" w:name="_Toc343330"/>
            <w:bookmarkStart w:id="92" w:name="_Toc97727466"/>
            <w:bookmarkStart w:id="93" w:name="_Toc128391159"/>
            <w:r w:rsidRPr="006A12FD">
              <w:rPr>
                <w:iCs/>
              </w:rPr>
              <w:t>Me</w:t>
            </w:r>
            <w:r w:rsidR="00681BA7" w:rsidRPr="006A12FD">
              <w:rPr>
                <w:iCs/>
              </w:rPr>
              <w:t>dical records are defined as any document or combination of documents that:</w:t>
            </w:r>
            <w:bookmarkEnd w:id="91"/>
            <w:bookmarkEnd w:id="92"/>
            <w:bookmarkEnd w:id="93"/>
          </w:p>
          <w:p w14:paraId="18DE6C42" w14:textId="0E7F6D9A" w:rsidR="00681BA7" w:rsidRPr="006A12FD" w:rsidRDefault="00681BA7" w:rsidP="00D3367F">
            <w:pPr>
              <w:rPr>
                <w:iCs/>
              </w:rPr>
            </w:pPr>
            <w:r w:rsidRPr="006A12FD">
              <w:rPr>
                <w:iCs/>
              </w:rPr>
              <w:t>1)</w:t>
            </w:r>
            <w:r w:rsidRPr="006A12FD">
              <w:rPr>
                <w:iCs/>
              </w:rPr>
              <w:tab/>
              <w:t>pertain</w:t>
            </w:r>
            <w:r w:rsidR="008614DE" w:rsidRPr="006A12FD">
              <w:rPr>
                <w:iCs/>
              </w:rPr>
              <w:t>s</w:t>
            </w:r>
            <w:r w:rsidRPr="006A12FD">
              <w:rPr>
                <w:iCs/>
              </w:rPr>
              <w:t xml:space="preserve"> to a patient’s medical history, diagnosis, prognosis, or medical condition;</w:t>
            </w:r>
          </w:p>
          <w:p w14:paraId="27EBEA9B" w14:textId="77777777" w:rsidR="00681BA7" w:rsidRPr="006A12FD" w:rsidRDefault="00681BA7" w:rsidP="00D3367F">
            <w:pPr>
              <w:rPr>
                <w:iCs/>
              </w:rPr>
            </w:pPr>
            <w:r w:rsidRPr="006A12FD">
              <w:rPr>
                <w:iCs/>
              </w:rPr>
              <w:tab/>
              <w:t>and</w:t>
            </w:r>
          </w:p>
          <w:p w14:paraId="209412DA" w14:textId="11E9FAA5" w:rsidR="00681BA7" w:rsidRPr="006A12FD" w:rsidRDefault="00681BA7" w:rsidP="00D3367F">
            <w:pPr>
              <w:rPr>
                <w:iCs/>
              </w:rPr>
            </w:pPr>
            <w:r w:rsidRPr="006A12FD">
              <w:rPr>
                <w:iCs/>
              </w:rPr>
              <w:t>2)</w:t>
            </w:r>
            <w:r w:rsidRPr="006A12FD">
              <w:rPr>
                <w:iCs/>
              </w:rPr>
              <w:tab/>
              <w:t>w</w:t>
            </w:r>
            <w:r w:rsidR="008614DE" w:rsidRPr="006A12FD">
              <w:rPr>
                <w:iCs/>
              </w:rPr>
              <w:t>as</w:t>
            </w:r>
            <w:r w:rsidRPr="006A12FD">
              <w:rPr>
                <w:iCs/>
              </w:rPr>
              <w:t xml:space="preserve"> generated and maintained in the process of medical treatment.</w:t>
            </w:r>
            <w:r w:rsidRPr="006A12FD">
              <w:rPr>
                <w:rStyle w:val="EndnoteReference"/>
                <w:rFonts w:asciiTheme="minorHAnsi" w:hAnsiTheme="minorHAnsi" w:cstheme="minorHAnsi"/>
                <w:iCs/>
              </w:rPr>
              <w:endnoteReference w:id="266"/>
            </w:r>
          </w:p>
          <w:p w14:paraId="6BA4072A" w14:textId="77777777" w:rsidR="00681BA7" w:rsidRPr="006A12FD" w:rsidRDefault="00681BA7" w:rsidP="00D3367F">
            <w:pPr>
              <w:rPr>
                <w:iCs/>
              </w:rPr>
            </w:pPr>
          </w:p>
          <w:p w14:paraId="0EB3CB86" w14:textId="77777777" w:rsidR="00681BA7" w:rsidRPr="006A12FD" w:rsidRDefault="00681BA7" w:rsidP="00D3367F">
            <w:pPr>
              <w:rPr>
                <w:iCs/>
              </w:rPr>
            </w:pPr>
            <w:r w:rsidRPr="006A12FD">
              <w:rPr>
                <w:iCs/>
              </w:rPr>
              <w:t>Records meeting this definition need not be disclosed.</w:t>
            </w:r>
            <w:r w:rsidRPr="006A12FD">
              <w:rPr>
                <w:rStyle w:val="EndnoteReference"/>
                <w:rFonts w:asciiTheme="minorHAnsi" w:hAnsiTheme="minorHAnsi" w:cstheme="minorHAnsi"/>
                <w:iCs/>
              </w:rPr>
              <w:endnoteReference w:id="267"/>
            </w:r>
            <w:r w:rsidRPr="006A12FD">
              <w:rPr>
                <w:iCs/>
              </w:rPr>
              <w:t xml:space="preserve">  Birth, death, and hospital admission or discharge records are not considered medical records for purposes of Ohio’s public records law</w:t>
            </w:r>
            <w:r w:rsidR="00A00EAE" w:rsidRPr="006A12FD">
              <w:rPr>
                <w:iCs/>
              </w:rPr>
              <w:t xml:space="preserve"> and should be disclosed</w:t>
            </w:r>
            <w:r w:rsidRPr="006A12FD">
              <w:rPr>
                <w:iCs/>
              </w:rPr>
              <w:t>.</w:t>
            </w:r>
            <w:r w:rsidRPr="006A12FD">
              <w:rPr>
                <w:rStyle w:val="EndnoteReference"/>
                <w:rFonts w:asciiTheme="minorHAnsi" w:hAnsiTheme="minorHAnsi" w:cstheme="minorHAnsi"/>
                <w:iCs/>
              </w:rPr>
              <w:endnoteReference w:id="268"/>
            </w:r>
            <w:r w:rsidRPr="006A12FD">
              <w:rPr>
                <w:iCs/>
              </w:rPr>
              <w:t xml:space="preserve">  Reports generated for reasons other than medical diagnosis or treatment, such as for employment or litigation purposes, are not “medical records” exempt from disclosure under the Public Records Act.</w:t>
            </w:r>
            <w:r w:rsidRPr="006A12FD">
              <w:rPr>
                <w:rStyle w:val="EndnoteReference"/>
                <w:rFonts w:asciiTheme="minorHAnsi" w:hAnsiTheme="minorHAnsi" w:cstheme="minorHAnsi"/>
                <w:iCs/>
              </w:rPr>
              <w:endnoteReference w:id="269"/>
            </w:r>
            <w:r w:rsidRPr="006A12FD">
              <w:rPr>
                <w:iCs/>
              </w:rPr>
              <w:t xml:space="preserve">  However, other statutes or federal constitutional rights may prohibit disclosure,</w:t>
            </w:r>
            <w:r w:rsidRPr="006A12FD">
              <w:rPr>
                <w:rStyle w:val="EndnoteReference"/>
                <w:rFonts w:asciiTheme="minorHAnsi" w:hAnsiTheme="minorHAnsi" w:cstheme="minorHAnsi"/>
                <w:iCs/>
              </w:rPr>
              <w:endnoteReference w:id="270"/>
            </w:r>
            <w:r w:rsidRPr="006A12FD">
              <w:rPr>
                <w:iCs/>
              </w:rPr>
              <w:t xml:space="preserve"> in which case the records or information are not public records under the “catch-all exemption,” R.C. 149.43(A)(1)(v).</w:t>
            </w:r>
          </w:p>
        </w:tc>
      </w:tr>
      <w:tr w:rsidR="00681BA7" w:rsidRPr="00704A17" w14:paraId="2E8C8BB8" w14:textId="77777777" w:rsidTr="004B1375">
        <w:trPr>
          <w:cantSplit/>
        </w:trPr>
        <w:tc>
          <w:tcPr>
            <w:tcW w:w="2535" w:type="dxa"/>
            <w:shd w:val="clear" w:color="auto" w:fill="auto"/>
          </w:tcPr>
          <w:p w14:paraId="1241895C" w14:textId="337F9267" w:rsidR="00681BA7" w:rsidRPr="00D3367F" w:rsidRDefault="00681BA7" w:rsidP="00D3367F">
            <w:pPr>
              <w:rPr>
                <w:b/>
                <w:bCs/>
                <w:iCs/>
              </w:rPr>
            </w:pPr>
            <w:bookmarkStart w:id="94" w:name="_Toc343331"/>
            <w:bookmarkStart w:id="95" w:name="_Toc97727467"/>
            <w:bookmarkStart w:id="96" w:name="_Toc128391160"/>
            <w:r w:rsidRPr="00D3367F">
              <w:rPr>
                <w:b/>
                <w:bCs/>
                <w:iCs/>
              </w:rPr>
              <w:t>Probation/parole/post-release control</w:t>
            </w:r>
            <w:bookmarkEnd w:id="94"/>
            <w:bookmarkEnd w:id="95"/>
            <w:bookmarkEnd w:id="96"/>
          </w:p>
        </w:tc>
        <w:tc>
          <w:tcPr>
            <w:tcW w:w="701" w:type="dxa"/>
            <w:shd w:val="clear" w:color="auto" w:fill="auto"/>
          </w:tcPr>
          <w:p w14:paraId="773F4830" w14:textId="77777777" w:rsidR="00681BA7" w:rsidRPr="006A12FD" w:rsidRDefault="00681BA7" w:rsidP="00D3367F">
            <w:pPr>
              <w:rPr>
                <w:iCs/>
              </w:rPr>
            </w:pPr>
            <w:bookmarkStart w:id="97" w:name="_Toc343332"/>
            <w:bookmarkStart w:id="98" w:name="_Toc97727468"/>
            <w:bookmarkStart w:id="99" w:name="_Toc128391161"/>
            <w:r w:rsidRPr="006A12FD">
              <w:rPr>
                <w:iCs/>
              </w:rPr>
              <w:t>(b)</w:t>
            </w:r>
            <w:bookmarkEnd w:id="97"/>
            <w:bookmarkEnd w:id="98"/>
            <w:bookmarkEnd w:id="99"/>
          </w:p>
        </w:tc>
        <w:tc>
          <w:tcPr>
            <w:tcW w:w="6232" w:type="dxa"/>
            <w:shd w:val="clear" w:color="auto" w:fill="auto"/>
          </w:tcPr>
          <w:p w14:paraId="2FCB8A7C" w14:textId="5E7E0284" w:rsidR="00681BA7" w:rsidRPr="006A12FD" w:rsidRDefault="00681BA7" w:rsidP="00D3367F">
            <w:pPr>
              <w:rPr>
                <w:iCs/>
              </w:rPr>
            </w:pPr>
            <w:bookmarkStart w:id="100" w:name="_Toc343333"/>
            <w:bookmarkStart w:id="101" w:name="_Toc97727469"/>
            <w:bookmarkStart w:id="102" w:name="_Toc128391162"/>
            <w:r w:rsidRPr="006A12FD">
              <w:rPr>
                <w:iCs/>
              </w:rPr>
              <w:t>Records pertaining to probation and parole proceedings or proceedings related to the imposition of community control sanctions,</w:t>
            </w:r>
            <w:r w:rsidRPr="006A12FD">
              <w:rPr>
                <w:rStyle w:val="EndnoteReference"/>
                <w:rFonts w:asciiTheme="minorHAnsi" w:hAnsiTheme="minorHAnsi" w:cstheme="minorHAnsi"/>
                <w:iCs/>
              </w:rPr>
              <w:endnoteReference w:id="271"/>
            </w:r>
            <w:r w:rsidRPr="006A12FD">
              <w:rPr>
                <w:iCs/>
              </w:rPr>
              <w:t xml:space="preserve"> post-release control sanctions,</w:t>
            </w:r>
            <w:r w:rsidRPr="006A12FD">
              <w:rPr>
                <w:rStyle w:val="EndnoteReference"/>
                <w:rFonts w:asciiTheme="minorHAnsi" w:hAnsiTheme="minorHAnsi" w:cstheme="minorHAnsi"/>
                <w:iCs/>
              </w:rPr>
              <w:endnoteReference w:id="272"/>
            </w:r>
            <w:r w:rsidRPr="006A12FD">
              <w:rPr>
                <w:iCs/>
              </w:rPr>
              <w:t xml:space="preserve"> or to proceedings related to determinations under R.C. 2967.271 regarding the release o</w:t>
            </w:r>
            <w:r w:rsidR="00A00EAE" w:rsidRPr="006A12FD">
              <w:rPr>
                <w:iCs/>
              </w:rPr>
              <w:t>r</w:t>
            </w:r>
            <w:r w:rsidRPr="006A12FD">
              <w:rPr>
                <w:iCs/>
              </w:rPr>
              <w:t xml:space="preserve"> continued incarceration of an offender to whom that section applies.  Examples of records covered by this exemption include</w:t>
            </w:r>
            <w:bookmarkEnd w:id="100"/>
            <w:bookmarkEnd w:id="101"/>
            <w:bookmarkEnd w:id="102"/>
            <w:r w:rsidR="00AB6AEB">
              <w:rPr>
                <w:iCs/>
              </w:rPr>
              <w:t xml:space="preserve"> p</w:t>
            </w:r>
            <w:r w:rsidRPr="006A12FD">
              <w:rPr>
                <w:iCs/>
              </w:rPr>
              <w:t>re-sentence investigation reports;</w:t>
            </w:r>
            <w:r w:rsidRPr="006A12FD">
              <w:rPr>
                <w:rStyle w:val="EndnoteReference"/>
                <w:rFonts w:asciiTheme="minorHAnsi" w:hAnsiTheme="minorHAnsi" w:cstheme="minorHAnsi"/>
                <w:iCs/>
              </w:rPr>
              <w:endnoteReference w:id="273"/>
            </w:r>
            <w:r w:rsidR="00AB6AEB">
              <w:rPr>
                <w:iCs/>
              </w:rPr>
              <w:t xml:space="preserve"> r</w:t>
            </w:r>
            <w:r w:rsidRPr="006A12FD">
              <w:rPr>
                <w:iCs/>
              </w:rPr>
              <w:t>ecords relied on to compile a pre-sentence investigation report;</w:t>
            </w:r>
            <w:r w:rsidRPr="006A12FD">
              <w:rPr>
                <w:rStyle w:val="EndnoteReference"/>
                <w:rFonts w:asciiTheme="minorHAnsi" w:hAnsiTheme="minorHAnsi" w:cstheme="minorHAnsi"/>
                <w:iCs/>
              </w:rPr>
              <w:endnoteReference w:id="274"/>
            </w:r>
            <w:r w:rsidR="00AB6AEB">
              <w:rPr>
                <w:iCs/>
              </w:rPr>
              <w:t xml:space="preserve"> d</w:t>
            </w:r>
            <w:r w:rsidRPr="006A12FD">
              <w:rPr>
                <w:iCs/>
              </w:rPr>
              <w:t>ocuments reviewed by the Parol</w:t>
            </w:r>
            <w:r w:rsidR="0068093D" w:rsidRPr="006A12FD">
              <w:rPr>
                <w:iCs/>
              </w:rPr>
              <w:t>e</w:t>
            </w:r>
            <w:r w:rsidRPr="006A12FD">
              <w:rPr>
                <w:iCs/>
              </w:rPr>
              <w:t xml:space="preserve"> Board in preparation for a parole hearing;</w:t>
            </w:r>
            <w:r w:rsidRPr="006A12FD">
              <w:rPr>
                <w:rStyle w:val="EndnoteReference"/>
                <w:rFonts w:asciiTheme="minorHAnsi" w:hAnsiTheme="minorHAnsi" w:cstheme="minorHAnsi"/>
                <w:iCs/>
              </w:rPr>
              <w:endnoteReference w:id="275"/>
            </w:r>
            <w:r w:rsidRPr="006A12FD">
              <w:rPr>
                <w:iCs/>
              </w:rPr>
              <w:t xml:space="preserve"> and</w:t>
            </w:r>
            <w:r w:rsidR="00AB6AEB">
              <w:rPr>
                <w:iCs/>
              </w:rPr>
              <w:t xml:space="preserve"> r</w:t>
            </w:r>
            <w:r w:rsidRPr="006A12FD">
              <w:rPr>
                <w:iCs/>
              </w:rPr>
              <w:t>ecords of parole proceedings.</w:t>
            </w:r>
            <w:r w:rsidRPr="006A12FD">
              <w:rPr>
                <w:rStyle w:val="EndnoteReference"/>
                <w:rFonts w:asciiTheme="minorHAnsi" w:hAnsiTheme="minorHAnsi" w:cstheme="minorHAnsi"/>
                <w:iCs/>
              </w:rPr>
              <w:endnoteReference w:id="276"/>
            </w:r>
          </w:p>
        </w:tc>
      </w:tr>
      <w:tr w:rsidR="00681BA7" w:rsidRPr="00704A17" w14:paraId="3BE7E0A3" w14:textId="77777777" w:rsidTr="004B1375">
        <w:trPr>
          <w:cantSplit/>
        </w:trPr>
        <w:tc>
          <w:tcPr>
            <w:tcW w:w="2535" w:type="dxa"/>
            <w:shd w:val="clear" w:color="auto" w:fill="auto"/>
          </w:tcPr>
          <w:p w14:paraId="60D8CF0F" w14:textId="19D2AF8A" w:rsidR="00681BA7" w:rsidRPr="00D3367F" w:rsidRDefault="00681BA7" w:rsidP="00D3367F">
            <w:pPr>
              <w:rPr>
                <w:b/>
                <w:bCs/>
              </w:rPr>
            </w:pPr>
            <w:bookmarkStart w:id="103" w:name="_Toc343334"/>
            <w:bookmarkStart w:id="104" w:name="_Toc97727470"/>
            <w:bookmarkStart w:id="105" w:name="_Toc128391163"/>
            <w:r w:rsidRPr="00D3367F">
              <w:rPr>
                <w:b/>
                <w:bCs/>
              </w:rPr>
              <w:t>Juvenile abortion proceedings</w:t>
            </w:r>
            <w:bookmarkEnd w:id="103"/>
            <w:bookmarkEnd w:id="104"/>
            <w:bookmarkEnd w:id="105"/>
          </w:p>
        </w:tc>
        <w:tc>
          <w:tcPr>
            <w:tcW w:w="701" w:type="dxa"/>
            <w:shd w:val="clear" w:color="auto" w:fill="auto"/>
          </w:tcPr>
          <w:p w14:paraId="788C5BA5" w14:textId="77777777" w:rsidR="00681BA7" w:rsidRPr="00D3367F" w:rsidRDefault="00681BA7" w:rsidP="00D3367F">
            <w:bookmarkStart w:id="106" w:name="_Toc343335"/>
            <w:bookmarkStart w:id="107" w:name="_Toc97727471"/>
            <w:bookmarkStart w:id="108" w:name="_Toc128391164"/>
            <w:r w:rsidRPr="00D3367F">
              <w:t>(c)</w:t>
            </w:r>
            <w:bookmarkEnd w:id="106"/>
            <w:bookmarkEnd w:id="107"/>
            <w:bookmarkEnd w:id="108"/>
          </w:p>
        </w:tc>
        <w:tc>
          <w:tcPr>
            <w:tcW w:w="6232" w:type="dxa"/>
            <w:shd w:val="clear" w:color="auto" w:fill="auto"/>
          </w:tcPr>
          <w:p w14:paraId="3BA4CA0B" w14:textId="77777777" w:rsidR="00681BA7" w:rsidRPr="00D3367F" w:rsidRDefault="00681BA7" w:rsidP="00D3367F">
            <w:bookmarkStart w:id="109" w:name="_Toc343336"/>
            <w:bookmarkStart w:id="110" w:name="_Toc97727472"/>
            <w:bookmarkStart w:id="111" w:name="_Toc128391165"/>
            <w:r w:rsidRPr="00D3367F">
              <w:t>All records associated with the statutory process through which unmarried and unemancipated minors may obtain judicial approval for abortion procedures in lieu of parental consent.  This exemption includes records from both trial- and appellate-level proceedings.</w:t>
            </w:r>
            <w:r w:rsidRPr="00D3367F">
              <w:rPr>
                <w:rStyle w:val="EndnoteReference"/>
                <w:rFonts w:asciiTheme="minorHAnsi" w:hAnsiTheme="minorHAnsi" w:cstheme="minorHAnsi"/>
              </w:rPr>
              <w:endnoteReference w:id="277"/>
            </w:r>
            <w:bookmarkEnd w:id="109"/>
            <w:bookmarkEnd w:id="110"/>
            <w:bookmarkEnd w:id="111"/>
          </w:p>
        </w:tc>
      </w:tr>
      <w:tr w:rsidR="00681BA7" w:rsidRPr="00704A17" w14:paraId="5A1E3E58" w14:textId="77777777" w:rsidTr="004B1375">
        <w:trPr>
          <w:cantSplit/>
        </w:trPr>
        <w:tc>
          <w:tcPr>
            <w:tcW w:w="2535" w:type="dxa"/>
            <w:shd w:val="clear" w:color="auto" w:fill="auto"/>
          </w:tcPr>
          <w:p w14:paraId="49A1A27C" w14:textId="2917ABCC" w:rsidR="00681BA7" w:rsidRPr="00D3367F" w:rsidRDefault="00681BA7" w:rsidP="00D3367F">
            <w:pPr>
              <w:rPr>
                <w:b/>
                <w:bCs/>
                <w:iCs/>
              </w:rPr>
            </w:pPr>
            <w:bookmarkStart w:id="112" w:name="_Toc343337"/>
            <w:bookmarkStart w:id="113" w:name="_Toc97727473"/>
            <w:bookmarkStart w:id="114" w:name="_Toc128391166"/>
            <w:r w:rsidRPr="00D3367F">
              <w:rPr>
                <w:b/>
                <w:bCs/>
                <w:iCs/>
              </w:rPr>
              <w:lastRenderedPageBreak/>
              <w:t>Adoption proceedings</w:t>
            </w:r>
            <w:bookmarkEnd w:id="112"/>
            <w:bookmarkEnd w:id="113"/>
            <w:bookmarkEnd w:id="114"/>
          </w:p>
        </w:tc>
        <w:tc>
          <w:tcPr>
            <w:tcW w:w="701" w:type="dxa"/>
            <w:shd w:val="clear" w:color="auto" w:fill="auto"/>
          </w:tcPr>
          <w:p w14:paraId="6BF1019E" w14:textId="5C1FCD77" w:rsidR="00681BA7" w:rsidRPr="006A12FD" w:rsidRDefault="00681BA7" w:rsidP="00D3367F">
            <w:pPr>
              <w:rPr>
                <w:iCs/>
              </w:rPr>
            </w:pPr>
            <w:bookmarkStart w:id="115" w:name="_Toc343338"/>
            <w:bookmarkStart w:id="116" w:name="_Toc97727474"/>
            <w:bookmarkStart w:id="117" w:name="_Toc128391167"/>
            <w:r w:rsidRPr="006A12FD">
              <w:rPr>
                <w:iCs/>
              </w:rPr>
              <w:t>(d),</w:t>
            </w:r>
            <w:bookmarkEnd w:id="115"/>
            <w:bookmarkEnd w:id="116"/>
            <w:bookmarkEnd w:id="117"/>
            <w:r w:rsidR="006A12FD">
              <w:rPr>
                <w:i/>
                <w:iCs/>
              </w:rPr>
              <w:t xml:space="preserve"> </w:t>
            </w:r>
            <w:r w:rsidRPr="006A12FD">
              <w:rPr>
                <w:iCs/>
              </w:rPr>
              <w:t>(e),</w:t>
            </w:r>
            <w:r w:rsidR="006A12FD">
              <w:rPr>
                <w:i/>
                <w:iCs/>
              </w:rPr>
              <w:t xml:space="preserve"> </w:t>
            </w:r>
            <w:r w:rsidRPr="006A12FD">
              <w:rPr>
                <w:iCs/>
              </w:rPr>
              <w:t>and</w:t>
            </w:r>
            <w:r w:rsidR="006A12FD">
              <w:rPr>
                <w:i/>
                <w:iCs/>
              </w:rPr>
              <w:t xml:space="preserve"> </w:t>
            </w:r>
            <w:r w:rsidRPr="006A12FD">
              <w:rPr>
                <w:iCs/>
              </w:rPr>
              <w:t>(f)</w:t>
            </w:r>
          </w:p>
        </w:tc>
        <w:tc>
          <w:tcPr>
            <w:tcW w:w="6232" w:type="dxa"/>
            <w:shd w:val="clear" w:color="auto" w:fill="auto"/>
          </w:tcPr>
          <w:p w14:paraId="17D7F3AD" w14:textId="77777777" w:rsidR="00681BA7" w:rsidRPr="006A12FD" w:rsidRDefault="00681BA7" w:rsidP="00D3367F">
            <w:pPr>
              <w:rPr>
                <w:iCs/>
              </w:rPr>
            </w:pPr>
            <w:bookmarkStart w:id="118" w:name="_Toc343339"/>
            <w:bookmarkStart w:id="119" w:name="_Toc97727475"/>
            <w:bookmarkStart w:id="120" w:name="_Toc128391168"/>
            <w:r w:rsidRPr="006A12FD">
              <w:rPr>
                <w:iCs/>
              </w:rPr>
              <w:t>These three exemptions all relate to the confidentiality of adoption proceedings.</w:t>
            </w:r>
            <w:bookmarkEnd w:id="118"/>
            <w:bookmarkEnd w:id="119"/>
            <w:bookmarkEnd w:id="120"/>
          </w:p>
          <w:p w14:paraId="52ABEF44" w14:textId="77777777" w:rsidR="00681BA7" w:rsidRPr="006A12FD" w:rsidRDefault="00681BA7" w:rsidP="00D3367F">
            <w:pPr>
              <w:rPr>
                <w:iCs/>
              </w:rPr>
            </w:pPr>
          </w:p>
          <w:p w14:paraId="6C23C4ED" w14:textId="7CB8C459" w:rsidR="00681BA7" w:rsidRPr="006A12FD" w:rsidRDefault="00681BA7" w:rsidP="00D3367F">
            <w:pPr>
              <w:rPr>
                <w:iCs/>
              </w:rPr>
            </w:pPr>
            <w:r w:rsidRPr="006A12FD">
              <w:rPr>
                <w:iCs/>
              </w:rPr>
              <w:t>Documents removed from the definition of “public record” include</w:t>
            </w:r>
            <w:r w:rsidR="00AB6AEB">
              <w:rPr>
                <w:iCs/>
              </w:rPr>
              <w:t xml:space="preserve"> r</w:t>
            </w:r>
            <w:r w:rsidRPr="006A12FD">
              <w:rPr>
                <w:iCs/>
              </w:rPr>
              <w:t>ecords pertaining to adoption proceedings;</w:t>
            </w:r>
            <w:r w:rsidRPr="006A12FD">
              <w:rPr>
                <w:rStyle w:val="EndnoteReference"/>
                <w:rFonts w:asciiTheme="minorHAnsi" w:hAnsiTheme="minorHAnsi" w:cstheme="minorHAnsi"/>
                <w:iCs/>
              </w:rPr>
              <w:endnoteReference w:id="278"/>
            </w:r>
            <w:r w:rsidR="00AB6AEB">
              <w:rPr>
                <w:iCs/>
              </w:rPr>
              <w:t xml:space="preserve"> c</w:t>
            </w:r>
            <w:r w:rsidRPr="006A12FD">
              <w:rPr>
                <w:iCs/>
              </w:rPr>
              <w:t>ontents of an adoption file maintained by the Department of Health;</w:t>
            </w:r>
            <w:r w:rsidRPr="006A12FD">
              <w:rPr>
                <w:rStyle w:val="EndnoteReference"/>
                <w:rFonts w:asciiTheme="minorHAnsi" w:hAnsiTheme="minorHAnsi" w:cstheme="minorHAnsi"/>
                <w:iCs/>
              </w:rPr>
              <w:endnoteReference w:id="279"/>
            </w:r>
            <w:r w:rsidR="00AB6AEB">
              <w:rPr>
                <w:iCs/>
              </w:rPr>
              <w:t xml:space="preserve"> a</w:t>
            </w:r>
            <w:r w:rsidRPr="006A12FD">
              <w:rPr>
                <w:iCs/>
              </w:rPr>
              <w:t xml:space="preserve"> putative father registry;</w:t>
            </w:r>
            <w:r w:rsidRPr="006A12FD">
              <w:rPr>
                <w:rStyle w:val="EndnoteReference"/>
                <w:rFonts w:asciiTheme="minorHAnsi" w:hAnsiTheme="minorHAnsi" w:cstheme="minorHAnsi"/>
                <w:iCs/>
              </w:rPr>
              <w:endnoteReference w:id="280"/>
            </w:r>
            <w:r w:rsidRPr="006A12FD">
              <w:rPr>
                <w:iCs/>
              </w:rPr>
              <w:t xml:space="preserve"> and</w:t>
            </w:r>
            <w:r w:rsidR="00AB6AEB">
              <w:rPr>
                <w:iCs/>
              </w:rPr>
              <w:t xml:space="preserve"> a</w:t>
            </w:r>
            <w:r w:rsidRPr="006A12FD">
              <w:rPr>
                <w:iCs/>
              </w:rPr>
              <w:t>n original birth record after a new birth record has been issued.</w:t>
            </w:r>
            <w:r w:rsidRPr="006A12FD">
              <w:rPr>
                <w:rStyle w:val="EndnoteReference"/>
                <w:rFonts w:asciiTheme="minorHAnsi" w:hAnsiTheme="minorHAnsi" w:cstheme="minorHAnsi"/>
                <w:iCs/>
              </w:rPr>
              <w:endnoteReference w:id="281"/>
            </w:r>
          </w:p>
          <w:p w14:paraId="33469FB9" w14:textId="77777777" w:rsidR="00681BA7" w:rsidRPr="006A12FD" w:rsidRDefault="00681BA7" w:rsidP="00D3367F">
            <w:pPr>
              <w:rPr>
                <w:iCs/>
              </w:rPr>
            </w:pPr>
          </w:p>
          <w:p w14:paraId="06AA4E11" w14:textId="5C3D8579" w:rsidR="00681BA7" w:rsidRDefault="00681BA7" w:rsidP="00D3367F">
            <w:pPr>
              <w:rPr>
                <w:iCs/>
              </w:rPr>
            </w:pPr>
            <w:r w:rsidRPr="006A12FD">
              <w:rPr>
                <w:iCs/>
              </w:rPr>
              <w:t>In limited circumstances, release of adoption records and proceedings may be appropriate.  For example</w:t>
            </w:r>
            <w:r w:rsidR="00AB6AEB">
              <w:rPr>
                <w:iCs/>
              </w:rPr>
              <w:t>, t</w:t>
            </w:r>
            <w:r w:rsidRPr="006A12FD">
              <w:rPr>
                <w:iCs/>
              </w:rPr>
              <w:t>he Department of Job and Family Services may release a putative father’s registration forms to the mother of the minor or to the agency or attorney who is attempting to arrange the minor’s adoption.</w:t>
            </w:r>
            <w:r w:rsidRPr="006A12FD">
              <w:rPr>
                <w:rStyle w:val="EndnoteReference"/>
                <w:rFonts w:asciiTheme="minorHAnsi" w:hAnsiTheme="minorHAnsi" w:cstheme="minorHAnsi"/>
                <w:iCs/>
              </w:rPr>
              <w:endnoteReference w:id="282"/>
            </w:r>
          </w:p>
          <w:p w14:paraId="2315A9CC" w14:textId="77777777" w:rsidR="00AB6AEB" w:rsidRPr="006A12FD" w:rsidRDefault="00AB6AEB" w:rsidP="00D3367F">
            <w:pPr>
              <w:rPr>
                <w:iCs/>
              </w:rPr>
            </w:pPr>
          </w:p>
          <w:p w14:paraId="5E901FBB" w14:textId="0B0D5E0F" w:rsidR="00681BA7" w:rsidRPr="006A12FD" w:rsidRDefault="00681BA7" w:rsidP="00D3367F">
            <w:pPr>
              <w:rPr>
                <w:iCs/>
              </w:rPr>
            </w:pPr>
            <w:r w:rsidRPr="006A12FD">
              <w:rPr>
                <w:iCs/>
              </w:rPr>
              <w:t>Forms pertaining to the social and medical histories of the biological parents may be inspected by an adopted person who has reached majority or to the adoptive parents of a minor.</w:t>
            </w:r>
            <w:r w:rsidRPr="006A12FD">
              <w:rPr>
                <w:rStyle w:val="EndnoteReference"/>
                <w:rFonts w:asciiTheme="minorHAnsi" w:hAnsiTheme="minorHAnsi" w:cstheme="minorHAnsi"/>
                <w:iCs/>
              </w:rPr>
              <w:endnoteReference w:id="283"/>
            </w:r>
            <w:r w:rsidR="00AB6AEB">
              <w:rPr>
                <w:iCs/>
              </w:rPr>
              <w:t xml:space="preserve"> </w:t>
            </w:r>
            <w:r w:rsidRPr="006A12FD">
              <w:rPr>
                <w:iCs/>
              </w:rPr>
              <w:t xml:space="preserve">An adopted person at least </w:t>
            </w:r>
            <w:r w:rsidR="00EC1D52" w:rsidRPr="006A12FD">
              <w:rPr>
                <w:iCs/>
              </w:rPr>
              <w:t>18</w:t>
            </w:r>
            <w:r w:rsidRPr="006A12FD">
              <w:rPr>
                <w:iCs/>
              </w:rPr>
              <w:t xml:space="preserve"> years old may be entitled to the release of identifying information or access to their adoption file.</w:t>
            </w:r>
            <w:r w:rsidRPr="006A12FD">
              <w:rPr>
                <w:rStyle w:val="EndnoteReference"/>
                <w:rFonts w:asciiTheme="minorHAnsi" w:hAnsiTheme="minorHAnsi" w:cstheme="minorHAnsi"/>
                <w:iCs/>
              </w:rPr>
              <w:endnoteReference w:id="284"/>
            </w:r>
          </w:p>
        </w:tc>
      </w:tr>
      <w:tr w:rsidR="00681BA7" w:rsidRPr="00704A17" w14:paraId="3BB7866C" w14:textId="77777777" w:rsidTr="004B1375">
        <w:trPr>
          <w:cantSplit/>
        </w:trPr>
        <w:tc>
          <w:tcPr>
            <w:tcW w:w="2535" w:type="dxa"/>
            <w:shd w:val="clear" w:color="auto" w:fill="auto"/>
          </w:tcPr>
          <w:p w14:paraId="554AA802" w14:textId="7BF6ECE9" w:rsidR="00681BA7" w:rsidRPr="00D3367F" w:rsidRDefault="00681BA7" w:rsidP="00D3367F">
            <w:pPr>
              <w:rPr>
                <w:b/>
                <w:bCs/>
                <w:iCs/>
              </w:rPr>
            </w:pPr>
            <w:bookmarkStart w:id="121" w:name="_Toc343340"/>
            <w:bookmarkStart w:id="122" w:name="_Toc97727476"/>
            <w:bookmarkStart w:id="123" w:name="_Toc128391169"/>
            <w:r w:rsidRPr="00D3367F">
              <w:rPr>
                <w:b/>
                <w:bCs/>
                <w:iCs/>
              </w:rPr>
              <w:t>Trial preparation</w:t>
            </w:r>
            <w:bookmarkEnd w:id="121"/>
            <w:bookmarkEnd w:id="122"/>
            <w:bookmarkEnd w:id="123"/>
          </w:p>
        </w:tc>
        <w:tc>
          <w:tcPr>
            <w:tcW w:w="701" w:type="dxa"/>
            <w:shd w:val="clear" w:color="auto" w:fill="auto"/>
          </w:tcPr>
          <w:p w14:paraId="2C1C401A" w14:textId="77777777" w:rsidR="00681BA7" w:rsidRPr="006A12FD" w:rsidRDefault="00681BA7" w:rsidP="00D3367F">
            <w:pPr>
              <w:rPr>
                <w:iCs/>
              </w:rPr>
            </w:pPr>
            <w:bookmarkStart w:id="124" w:name="_Toc343341"/>
            <w:bookmarkStart w:id="125" w:name="_Toc97727477"/>
            <w:bookmarkStart w:id="126" w:name="_Toc128391170"/>
            <w:r w:rsidRPr="006A12FD">
              <w:rPr>
                <w:iCs/>
              </w:rPr>
              <w:t>(g)</w:t>
            </w:r>
            <w:bookmarkEnd w:id="124"/>
            <w:bookmarkEnd w:id="125"/>
            <w:bookmarkEnd w:id="126"/>
          </w:p>
        </w:tc>
        <w:tc>
          <w:tcPr>
            <w:tcW w:w="6232" w:type="dxa"/>
            <w:shd w:val="clear" w:color="auto" w:fill="auto"/>
          </w:tcPr>
          <w:p w14:paraId="52D3E416" w14:textId="77777777" w:rsidR="00681BA7" w:rsidRPr="006A12FD" w:rsidRDefault="00681BA7" w:rsidP="00D3367F">
            <w:pPr>
              <w:rPr>
                <w:iCs/>
              </w:rPr>
            </w:pPr>
            <w:bookmarkStart w:id="127" w:name="_Toc343342"/>
            <w:bookmarkStart w:id="128" w:name="_Toc97727478"/>
            <w:bookmarkStart w:id="129" w:name="_Toc128391171"/>
            <w:r w:rsidRPr="006A12FD">
              <w:rPr>
                <w:iCs/>
              </w:rPr>
              <w:t>“Trial preparation record” is defined as “any record that contains information that is specifically compiled in reasonable anticipation of, or in defense of, a civil or criminal action or proceeding, including the independent thought processes and personal trial preparation of an attorney.”</w:t>
            </w:r>
            <w:r w:rsidRPr="006A12FD">
              <w:rPr>
                <w:rStyle w:val="EndnoteReference"/>
                <w:rFonts w:asciiTheme="minorHAnsi" w:hAnsiTheme="minorHAnsi" w:cstheme="minorHAnsi"/>
                <w:iCs/>
              </w:rPr>
              <w:endnoteReference w:id="285"/>
            </w:r>
            <w:bookmarkEnd w:id="127"/>
            <w:bookmarkEnd w:id="128"/>
            <w:bookmarkEnd w:id="129"/>
          </w:p>
          <w:p w14:paraId="25E1F423" w14:textId="77777777" w:rsidR="00681BA7" w:rsidRPr="006A12FD" w:rsidRDefault="00681BA7" w:rsidP="00D3367F">
            <w:pPr>
              <w:rPr>
                <w:iCs/>
              </w:rPr>
            </w:pPr>
          </w:p>
          <w:p w14:paraId="6AF4BD1A" w14:textId="77777777" w:rsidR="00AB6AEB" w:rsidRDefault="00681BA7" w:rsidP="00D3367F">
            <w:pPr>
              <w:rPr>
                <w:iCs/>
              </w:rPr>
            </w:pPr>
            <w:r w:rsidRPr="006A12FD">
              <w:rPr>
                <w:iCs/>
              </w:rPr>
              <w:t>Documents that a public office obtains through discovery during litigation are considered trial preparation records.</w:t>
            </w:r>
            <w:r w:rsidRPr="006A12FD">
              <w:rPr>
                <w:rStyle w:val="EndnoteReference"/>
                <w:rFonts w:asciiTheme="minorHAnsi" w:hAnsiTheme="minorHAnsi" w:cstheme="minorHAnsi"/>
                <w:iCs/>
              </w:rPr>
              <w:endnoteReference w:id="286"/>
            </w:r>
            <w:r w:rsidRPr="006A12FD">
              <w:rPr>
                <w:iCs/>
              </w:rPr>
              <w:t xml:space="preserve">  </w:t>
            </w:r>
            <w:r w:rsidR="008614DE" w:rsidRPr="006A12FD">
              <w:rPr>
                <w:iCs/>
              </w:rPr>
              <w:t>M</w:t>
            </w:r>
            <w:r w:rsidRPr="006A12FD">
              <w:rPr>
                <w:iCs/>
              </w:rPr>
              <w:t xml:space="preserve">aterial compiled for a public attorney’s personal trial preparation </w:t>
            </w:r>
            <w:r w:rsidR="008614DE" w:rsidRPr="006A12FD">
              <w:rPr>
                <w:iCs/>
              </w:rPr>
              <w:t xml:space="preserve">may also </w:t>
            </w:r>
            <w:r w:rsidRPr="006A12FD">
              <w:rPr>
                <w:iCs/>
              </w:rPr>
              <w:t>constitute a trial preparation record.</w:t>
            </w:r>
            <w:r w:rsidRPr="006A12FD">
              <w:rPr>
                <w:rStyle w:val="EndnoteReference"/>
                <w:rFonts w:asciiTheme="minorHAnsi" w:hAnsiTheme="minorHAnsi" w:cstheme="minorHAnsi"/>
                <w:iCs/>
              </w:rPr>
              <w:endnoteReference w:id="287"/>
            </w:r>
            <w:r w:rsidRPr="006A12FD">
              <w:rPr>
                <w:iCs/>
              </w:rPr>
              <w:t xml:space="preserve">  The exemption does not apply to settlement agreements or settlement proposals,</w:t>
            </w:r>
            <w:r w:rsidRPr="006A12FD">
              <w:rPr>
                <w:rStyle w:val="EndnoteReference"/>
                <w:rFonts w:asciiTheme="minorHAnsi" w:hAnsiTheme="minorHAnsi" w:cstheme="minorHAnsi"/>
                <w:iCs/>
              </w:rPr>
              <w:endnoteReference w:id="288"/>
            </w:r>
            <w:r w:rsidRPr="006A12FD">
              <w:rPr>
                <w:iCs/>
              </w:rPr>
              <w:t xml:space="preserve"> or when there is insufficient evidence that litigation is reasonably anticipated at the time the records were prepared.</w:t>
            </w:r>
            <w:r w:rsidRPr="006A12FD">
              <w:rPr>
                <w:rStyle w:val="EndnoteReference"/>
                <w:rFonts w:asciiTheme="minorHAnsi" w:hAnsiTheme="minorHAnsi" w:cstheme="minorHAnsi"/>
                <w:iCs/>
              </w:rPr>
              <w:endnoteReference w:id="289"/>
            </w:r>
            <w:r w:rsidR="004B1375" w:rsidRPr="006A12FD">
              <w:rPr>
                <w:iCs/>
              </w:rPr>
              <w:t xml:space="preserve"> </w:t>
            </w:r>
          </w:p>
          <w:p w14:paraId="6B3CDA83" w14:textId="77777777" w:rsidR="00AB6AEB" w:rsidRDefault="00AB6AEB" w:rsidP="00D3367F">
            <w:pPr>
              <w:rPr>
                <w:iCs/>
              </w:rPr>
            </w:pPr>
          </w:p>
          <w:p w14:paraId="685FBBE1" w14:textId="1E34D0D9" w:rsidR="00681BA7" w:rsidRPr="006A12FD" w:rsidRDefault="00947CC7" w:rsidP="00D3367F">
            <w:pPr>
              <w:rPr>
                <w:iCs/>
              </w:rPr>
            </w:pPr>
            <w:r w:rsidRPr="006A12FD">
              <w:rPr>
                <w:iCs/>
              </w:rPr>
              <w:t xml:space="preserve">Refer to </w:t>
            </w:r>
            <w:r w:rsidR="004B1375" w:rsidRPr="006A12FD">
              <w:rPr>
                <w:iCs/>
              </w:rPr>
              <w:t>Chapter Three: F.5.d. “Trial preparation records</w:t>
            </w:r>
            <w:r w:rsidRPr="006A12FD">
              <w:rPr>
                <w:iCs/>
              </w:rPr>
              <w:t>,</w:t>
            </w:r>
            <w:r w:rsidR="004B1375" w:rsidRPr="006A12FD">
              <w:rPr>
                <w:iCs/>
              </w:rPr>
              <w:t>”</w:t>
            </w:r>
            <w:r w:rsidRPr="006A12FD">
              <w:rPr>
                <w:iCs/>
              </w:rPr>
              <w:t xml:space="preserve"> for additional discussion of this exemption.</w:t>
            </w:r>
          </w:p>
        </w:tc>
      </w:tr>
      <w:tr w:rsidR="00681BA7" w:rsidRPr="00704A17" w14:paraId="22C4F239" w14:textId="77777777" w:rsidTr="004B1375">
        <w:trPr>
          <w:cantSplit/>
        </w:trPr>
        <w:tc>
          <w:tcPr>
            <w:tcW w:w="2535" w:type="dxa"/>
            <w:shd w:val="clear" w:color="auto" w:fill="auto"/>
          </w:tcPr>
          <w:p w14:paraId="0AACB55B" w14:textId="62EB17C5" w:rsidR="00681BA7" w:rsidRPr="00D3367F" w:rsidRDefault="00681BA7" w:rsidP="00D3367F">
            <w:pPr>
              <w:rPr>
                <w:b/>
                <w:bCs/>
                <w:iCs/>
              </w:rPr>
            </w:pPr>
            <w:bookmarkStart w:id="130" w:name="_Toc343343"/>
            <w:bookmarkStart w:id="131" w:name="_Toc97727479"/>
            <w:bookmarkStart w:id="132" w:name="_Toc128391172"/>
            <w:r w:rsidRPr="00D3367F">
              <w:rPr>
                <w:b/>
                <w:bCs/>
                <w:iCs/>
              </w:rPr>
              <w:lastRenderedPageBreak/>
              <w:t>Confidential law enforcement investigatory records</w:t>
            </w:r>
            <w:bookmarkEnd w:id="130"/>
            <w:r w:rsidR="004B1375" w:rsidRPr="00D3367F">
              <w:rPr>
                <w:b/>
                <w:bCs/>
                <w:iCs/>
              </w:rPr>
              <w:t xml:space="preserve"> (CLEIRs)</w:t>
            </w:r>
            <w:bookmarkEnd w:id="131"/>
            <w:bookmarkEnd w:id="132"/>
          </w:p>
        </w:tc>
        <w:tc>
          <w:tcPr>
            <w:tcW w:w="701" w:type="dxa"/>
            <w:shd w:val="clear" w:color="auto" w:fill="auto"/>
          </w:tcPr>
          <w:p w14:paraId="1EB6088D" w14:textId="77777777" w:rsidR="00681BA7" w:rsidRPr="006A12FD" w:rsidRDefault="00681BA7" w:rsidP="00D3367F">
            <w:pPr>
              <w:rPr>
                <w:iCs/>
              </w:rPr>
            </w:pPr>
            <w:bookmarkStart w:id="133" w:name="_Toc343344"/>
            <w:bookmarkStart w:id="134" w:name="_Toc97727480"/>
            <w:bookmarkStart w:id="135" w:name="_Toc128391173"/>
            <w:r w:rsidRPr="006A12FD">
              <w:rPr>
                <w:iCs/>
              </w:rPr>
              <w:t>(h)</w:t>
            </w:r>
            <w:bookmarkEnd w:id="133"/>
            <w:bookmarkEnd w:id="134"/>
            <w:bookmarkEnd w:id="135"/>
          </w:p>
        </w:tc>
        <w:tc>
          <w:tcPr>
            <w:tcW w:w="6232" w:type="dxa"/>
            <w:shd w:val="clear" w:color="auto" w:fill="auto"/>
          </w:tcPr>
          <w:p w14:paraId="706B10B8" w14:textId="6CCDBC94" w:rsidR="00681BA7" w:rsidRPr="006A12FD" w:rsidRDefault="00681BA7" w:rsidP="00D3367F">
            <w:pPr>
              <w:rPr>
                <w:iCs/>
              </w:rPr>
            </w:pPr>
            <w:r w:rsidRPr="006A12FD">
              <w:rPr>
                <w:iCs/>
              </w:rPr>
              <w:t>CLEIRs are defined</w:t>
            </w:r>
            <w:r w:rsidRPr="006A12FD">
              <w:rPr>
                <w:rStyle w:val="EndnoteReference"/>
                <w:rFonts w:asciiTheme="minorHAnsi" w:hAnsiTheme="minorHAnsi" w:cstheme="minorHAnsi"/>
                <w:iCs/>
              </w:rPr>
              <w:endnoteReference w:id="290"/>
            </w:r>
            <w:r w:rsidRPr="006A12FD">
              <w:rPr>
                <w:iCs/>
              </w:rPr>
              <w:t xml:space="preserve"> as records that (1) pertain to a law enforcement matter, </w:t>
            </w:r>
            <w:r w:rsidRPr="006A12FD">
              <w:rPr>
                <w:iCs/>
                <w:u w:val="single"/>
              </w:rPr>
              <w:t>and</w:t>
            </w:r>
            <w:r w:rsidRPr="006A12FD">
              <w:rPr>
                <w:iCs/>
              </w:rPr>
              <w:t xml:space="preserve"> (2) have a high probability of disclosing any of the following:</w:t>
            </w:r>
          </w:p>
          <w:p w14:paraId="566D62BF" w14:textId="73DE78BF" w:rsidR="00681BA7" w:rsidRPr="006A12FD" w:rsidRDefault="00AB6AEB" w:rsidP="00D3367F">
            <w:pPr>
              <w:rPr>
                <w:iCs/>
              </w:rPr>
            </w:pPr>
            <w:r>
              <w:rPr>
                <w:iCs/>
              </w:rPr>
              <w:t xml:space="preserve">(1) </w:t>
            </w:r>
            <w:r w:rsidR="00681BA7" w:rsidRPr="006A12FD">
              <w:rPr>
                <w:iCs/>
              </w:rPr>
              <w:t>The identity of an uncharged suspect;</w:t>
            </w:r>
          </w:p>
          <w:p w14:paraId="3D7215A0" w14:textId="548E1AEA" w:rsidR="00681BA7" w:rsidRPr="006A12FD" w:rsidRDefault="00AB6AEB" w:rsidP="00D3367F">
            <w:pPr>
              <w:rPr>
                <w:iCs/>
              </w:rPr>
            </w:pPr>
            <w:r>
              <w:rPr>
                <w:iCs/>
              </w:rPr>
              <w:t xml:space="preserve">(2) </w:t>
            </w:r>
            <w:r w:rsidR="00681BA7" w:rsidRPr="006A12FD">
              <w:rPr>
                <w:iCs/>
              </w:rPr>
              <w:t xml:space="preserve">The identity of an information source or witness to whom confidentiality has been reasonably promised, </w:t>
            </w:r>
            <w:r w:rsidR="00A00EAE" w:rsidRPr="006A12FD">
              <w:rPr>
                <w:iCs/>
              </w:rPr>
              <w:t xml:space="preserve">as well as any information provided by that source or witness </w:t>
            </w:r>
            <w:r w:rsidR="00681BA7" w:rsidRPr="006A12FD">
              <w:rPr>
                <w:iCs/>
              </w:rPr>
              <w:t>that would tend to reveal the identity of the source or witness;</w:t>
            </w:r>
          </w:p>
          <w:p w14:paraId="5CB4659A" w14:textId="4E8717F3" w:rsidR="00681BA7" w:rsidRPr="006A12FD" w:rsidRDefault="00AB6AEB" w:rsidP="00D3367F">
            <w:pPr>
              <w:rPr>
                <w:iCs/>
              </w:rPr>
            </w:pPr>
            <w:r>
              <w:rPr>
                <w:iCs/>
              </w:rPr>
              <w:t xml:space="preserve">(3) </w:t>
            </w:r>
            <w:r w:rsidR="00681BA7" w:rsidRPr="006A12FD">
              <w:rPr>
                <w:iCs/>
              </w:rPr>
              <w:t>Specific confidential investigatory techniques or procedures or specific investigatory work product; or</w:t>
            </w:r>
          </w:p>
          <w:p w14:paraId="2C2A7195" w14:textId="03E25B73" w:rsidR="00681BA7" w:rsidRPr="006A12FD" w:rsidRDefault="00AB6AEB" w:rsidP="00D3367F">
            <w:pPr>
              <w:rPr>
                <w:iCs/>
              </w:rPr>
            </w:pPr>
            <w:r>
              <w:rPr>
                <w:iCs/>
              </w:rPr>
              <w:t xml:space="preserve">(4) </w:t>
            </w:r>
            <w:r w:rsidR="00681BA7" w:rsidRPr="006A12FD">
              <w:rPr>
                <w:iCs/>
              </w:rPr>
              <w:t>Information that would endanger the life or physical safety of law enforcement personnel, a crime victim, a witness, or a confidential information source.</w:t>
            </w:r>
          </w:p>
          <w:p w14:paraId="2BA6AC67" w14:textId="77777777" w:rsidR="00AB6AEB" w:rsidRDefault="00AB6AEB" w:rsidP="00D3367F">
            <w:pPr>
              <w:rPr>
                <w:iCs/>
              </w:rPr>
            </w:pPr>
          </w:p>
          <w:p w14:paraId="0FAAB3EB" w14:textId="6072B56B" w:rsidR="004B1375" w:rsidRPr="006A12FD" w:rsidRDefault="00947CC7" w:rsidP="00D3367F">
            <w:pPr>
              <w:rPr>
                <w:iCs/>
              </w:rPr>
            </w:pPr>
            <w:r w:rsidRPr="006A12FD">
              <w:rPr>
                <w:iCs/>
              </w:rPr>
              <w:t>Refer to Chapter Four: A. “CLEIRs: Confidential Law Enforcement Investigatory Records,” for additional discussion of this exemption.</w:t>
            </w:r>
          </w:p>
        </w:tc>
      </w:tr>
      <w:tr w:rsidR="00681BA7" w:rsidRPr="00704A17" w14:paraId="61360471" w14:textId="77777777" w:rsidTr="004B1375">
        <w:trPr>
          <w:cantSplit/>
        </w:trPr>
        <w:tc>
          <w:tcPr>
            <w:tcW w:w="2535" w:type="dxa"/>
            <w:shd w:val="clear" w:color="auto" w:fill="auto"/>
          </w:tcPr>
          <w:p w14:paraId="788D42DB" w14:textId="1F412979" w:rsidR="00681BA7" w:rsidRPr="00D3367F" w:rsidRDefault="00681BA7" w:rsidP="00D3367F">
            <w:pPr>
              <w:rPr>
                <w:b/>
                <w:bCs/>
              </w:rPr>
            </w:pPr>
            <w:bookmarkStart w:id="136" w:name="_Toc343346"/>
            <w:bookmarkStart w:id="137" w:name="_Toc97727481"/>
            <w:bookmarkStart w:id="138" w:name="_Toc128391174"/>
            <w:r w:rsidRPr="00D3367F">
              <w:rPr>
                <w:b/>
                <w:bCs/>
              </w:rPr>
              <w:t>Mediation</w:t>
            </w:r>
            <w:bookmarkEnd w:id="136"/>
            <w:bookmarkEnd w:id="137"/>
            <w:bookmarkEnd w:id="138"/>
          </w:p>
        </w:tc>
        <w:tc>
          <w:tcPr>
            <w:tcW w:w="701" w:type="dxa"/>
            <w:shd w:val="clear" w:color="auto" w:fill="auto"/>
          </w:tcPr>
          <w:p w14:paraId="5E4AB6B4" w14:textId="77777777" w:rsidR="00681BA7" w:rsidRPr="00D3367F" w:rsidRDefault="00681BA7" w:rsidP="00D3367F">
            <w:bookmarkStart w:id="139" w:name="_Toc343347"/>
            <w:bookmarkStart w:id="140" w:name="_Toc97727482"/>
            <w:bookmarkStart w:id="141" w:name="_Toc128391175"/>
            <w:r w:rsidRPr="00D3367F">
              <w:t>(i)</w:t>
            </w:r>
            <w:bookmarkEnd w:id="139"/>
            <w:bookmarkEnd w:id="140"/>
            <w:bookmarkEnd w:id="141"/>
          </w:p>
        </w:tc>
        <w:tc>
          <w:tcPr>
            <w:tcW w:w="6232" w:type="dxa"/>
            <w:shd w:val="clear" w:color="auto" w:fill="auto"/>
          </w:tcPr>
          <w:p w14:paraId="73500E00" w14:textId="77777777" w:rsidR="00681BA7" w:rsidRPr="00D3367F" w:rsidRDefault="00681BA7" w:rsidP="00D3367F">
            <w:bookmarkStart w:id="142" w:name="_Toc343348"/>
            <w:bookmarkStart w:id="143" w:name="_Toc97727483"/>
            <w:bookmarkStart w:id="144" w:name="_Toc128391176"/>
            <w:r w:rsidRPr="00D3367F">
              <w:t>Records containing confidential “mediation communications” (R.C. 2710.03) or records of the Ohio Civil Rights Commission made confidential under R.C. 4112.05.</w:t>
            </w:r>
            <w:r w:rsidRPr="00D3367F">
              <w:rPr>
                <w:rStyle w:val="EndnoteReference"/>
                <w:rFonts w:asciiTheme="minorHAnsi" w:hAnsiTheme="minorHAnsi" w:cstheme="minorHAnsi"/>
              </w:rPr>
              <w:endnoteReference w:id="291"/>
            </w:r>
            <w:bookmarkEnd w:id="142"/>
            <w:bookmarkEnd w:id="143"/>
            <w:bookmarkEnd w:id="144"/>
          </w:p>
        </w:tc>
      </w:tr>
      <w:tr w:rsidR="00681BA7" w:rsidRPr="00704A17" w14:paraId="64A258D8" w14:textId="77777777" w:rsidTr="004B1375">
        <w:trPr>
          <w:cantSplit/>
        </w:trPr>
        <w:tc>
          <w:tcPr>
            <w:tcW w:w="2535" w:type="dxa"/>
            <w:shd w:val="clear" w:color="auto" w:fill="auto"/>
          </w:tcPr>
          <w:p w14:paraId="7055595C" w14:textId="7EF8E7BF" w:rsidR="00681BA7" w:rsidRPr="00D3367F" w:rsidRDefault="00681BA7" w:rsidP="00D3367F">
            <w:pPr>
              <w:rPr>
                <w:b/>
                <w:bCs/>
              </w:rPr>
            </w:pPr>
            <w:bookmarkStart w:id="145" w:name="_Toc343349"/>
            <w:bookmarkStart w:id="146" w:name="_Toc97727484"/>
            <w:bookmarkStart w:id="147" w:name="_Toc128391177"/>
            <w:r w:rsidRPr="00D3367F">
              <w:rPr>
                <w:b/>
                <w:bCs/>
              </w:rPr>
              <w:t>DNA</w:t>
            </w:r>
            <w:bookmarkEnd w:id="145"/>
            <w:bookmarkEnd w:id="146"/>
            <w:bookmarkEnd w:id="147"/>
          </w:p>
        </w:tc>
        <w:tc>
          <w:tcPr>
            <w:tcW w:w="701" w:type="dxa"/>
            <w:shd w:val="clear" w:color="auto" w:fill="auto"/>
          </w:tcPr>
          <w:p w14:paraId="1552175C" w14:textId="77777777" w:rsidR="00681BA7" w:rsidRPr="00D3367F" w:rsidRDefault="00681BA7" w:rsidP="00D3367F">
            <w:bookmarkStart w:id="148" w:name="_Toc343350"/>
            <w:bookmarkStart w:id="149" w:name="_Toc97727485"/>
            <w:bookmarkStart w:id="150" w:name="_Toc128391178"/>
            <w:r w:rsidRPr="00D3367F">
              <w:t>(j)</w:t>
            </w:r>
            <w:bookmarkEnd w:id="148"/>
            <w:bookmarkEnd w:id="149"/>
            <w:bookmarkEnd w:id="150"/>
          </w:p>
        </w:tc>
        <w:tc>
          <w:tcPr>
            <w:tcW w:w="6232" w:type="dxa"/>
            <w:shd w:val="clear" w:color="auto" w:fill="auto"/>
          </w:tcPr>
          <w:p w14:paraId="0956DE7F" w14:textId="77777777" w:rsidR="00681BA7" w:rsidRPr="00D3367F" w:rsidRDefault="00681BA7" w:rsidP="00D3367F">
            <w:bookmarkStart w:id="151" w:name="_Toc343351"/>
            <w:bookmarkStart w:id="152" w:name="_Toc97727486"/>
            <w:bookmarkStart w:id="153" w:name="_Toc128391179"/>
            <w:r w:rsidRPr="00D3367F">
              <w:t>DNA records stored in the state DNA database, pursuant to R.C. 109.573.</w:t>
            </w:r>
            <w:r w:rsidRPr="00D3367F">
              <w:rPr>
                <w:rStyle w:val="EndnoteReference"/>
                <w:rFonts w:asciiTheme="minorHAnsi" w:hAnsiTheme="minorHAnsi" w:cstheme="minorHAnsi"/>
              </w:rPr>
              <w:endnoteReference w:id="292"/>
            </w:r>
            <w:bookmarkEnd w:id="151"/>
            <w:bookmarkEnd w:id="152"/>
            <w:bookmarkEnd w:id="153"/>
          </w:p>
        </w:tc>
      </w:tr>
      <w:tr w:rsidR="00681BA7" w:rsidRPr="00704A17" w14:paraId="50C9BCB3" w14:textId="77777777" w:rsidTr="004B1375">
        <w:trPr>
          <w:cantSplit/>
        </w:trPr>
        <w:tc>
          <w:tcPr>
            <w:tcW w:w="2535" w:type="dxa"/>
            <w:shd w:val="clear" w:color="auto" w:fill="auto"/>
          </w:tcPr>
          <w:p w14:paraId="433744D7" w14:textId="38012968" w:rsidR="00681BA7" w:rsidRPr="00D3367F" w:rsidRDefault="00681BA7" w:rsidP="00D3367F">
            <w:pPr>
              <w:rPr>
                <w:b/>
                <w:bCs/>
              </w:rPr>
            </w:pPr>
            <w:bookmarkStart w:id="154" w:name="_Toc343352"/>
            <w:bookmarkStart w:id="155" w:name="_Toc97727487"/>
            <w:bookmarkStart w:id="156" w:name="_Toc128391180"/>
            <w:r w:rsidRPr="00D3367F">
              <w:rPr>
                <w:b/>
                <w:bCs/>
              </w:rPr>
              <w:t>Inmate records</w:t>
            </w:r>
            <w:bookmarkEnd w:id="154"/>
            <w:bookmarkEnd w:id="155"/>
            <w:bookmarkEnd w:id="156"/>
          </w:p>
        </w:tc>
        <w:tc>
          <w:tcPr>
            <w:tcW w:w="701" w:type="dxa"/>
            <w:shd w:val="clear" w:color="auto" w:fill="auto"/>
          </w:tcPr>
          <w:p w14:paraId="3A58B4F0" w14:textId="77777777" w:rsidR="00681BA7" w:rsidRPr="00D3367F" w:rsidRDefault="00681BA7" w:rsidP="00D3367F">
            <w:bookmarkStart w:id="157" w:name="_Toc343353"/>
            <w:bookmarkStart w:id="158" w:name="_Toc97727488"/>
            <w:bookmarkStart w:id="159" w:name="_Toc128391181"/>
            <w:r w:rsidRPr="00D3367F">
              <w:t>(k)</w:t>
            </w:r>
            <w:bookmarkEnd w:id="157"/>
            <w:bookmarkEnd w:id="158"/>
            <w:bookmarkEnd w:id="159"/>
          </w:p>
        </w:tc>
        <w:tc>
          <w:tcPr>
            <w:tcW w:w="6232" w:type="dxa"/>
            <w:shd w:val="clear" w:color="auto" w:fill="auto"/>
          </w:tcPr>
          <w:p w14:paraId="782223F1" w14:textId="77777777" w:rsidR="00681BA7" w:rsidRPr="00D3367F" w:rsidRDefault="00681BA7" w:rsidP="00D3367F">
            <w:bookmarkStart w:id="160" w:name="_Toc343354"/>
            <w:bookmarkStart w:id="161" w:name="_Toc97727489"/>
            <w:bookmarkStart w:id="162" w:name="_Toc128391182"/>
            <w:r w:rsidRPr="00D3367F">
              <w:t>Inmate records released by the Department of Rehabilitation and Correction (DRC) to the Department of Youth Services (DYS) or a court of record, pursuant to R.C. 5120.21(E).</w:t>
            </w:r>
            <w:r w:rsidRPr="00D3367F">
              <w:rPr>
                <w:rStyle w:val="EndnoteReference"/>
                <w:rFonts w:asciiTheme="minorHAnsi" w:hAnsiTheme="minorHAnsi" w:cstheme="minorHAnsi"/>
              </w:rPr>
              <w:endnoteReference w:id="293"/>
            </w:r>
            <w:bookmarkEnd w:id="160"/>
            <w:bookmarkEnd w:id="161"/>
            <w:bookmarkEnd w:id="162"/>
          </w:p>
        </w:tc>
      </w:tr>
      <w:tr w:rsidR="00681BA7" w:rsidRPr="002B2C2E" w14:paraId="113F3A3A" w14:textId="77777777" w:rsidTr="004B1375">
        <w:trPr>
          <w:cantSplit/>
        </w:trPr>
        <w:tc>
          <w:tcPr>
            <w:tcW w:w="2535" w:type="dxa"/>
            <w:shd w:val="clear" w:color="auto" w:fill="auto"/>
          </w:tcPr>
          <w:p w14:paraId="66590B72" w14:textId="292C1FAA" w:rsidR="00681BA7" w:rsidRPr="00D3367F" w:rsidRDefault="00681BA7" w:rsidP="00D3367F">
            <w:pPr>
              <w:rPr>
                <w:b/>
                <w:bCs/>
              </w:rPr>
            </w:pPr>
            <w:bookmarkStart w:id="163" w:name="_Toc343355"/>
            <w:bookmarkStart w:id="164" w:name="_Toc97727490"/>
            <w:bookmarkStart w:id="165" w:name="_Toc128391183"/>
            <w:r w:rsidRPr="00D3367F">
              <w:rPr>
                <w:b/>
                <w:bCs/>
              </w:rPr>
              <w:t>Department of Youth Services</w:t>
            </w:r>
            <w:bookmarkEnd w:id="163"/>
            <w:bookmarkEnd w:id="164"/>
            <w:bookmarkEnd w:id="165"/>
          </w:p>
        </w:tc>
        <w:tc>
          <w:tcPr>
            <w:tcW w:w="701" w:type="dxa"/>
            <w:shd w:val="clear" w:color="auto" w:fill="auto"/>
          </w:tcPr>
          <w:p w14:paraId="01190E40" w14:textId="77777777" w:rsidR="00681BA7" w:rsidRPr="00D3367F" w:rsidRDefault="00681BA7" w:rsidP="00D3367F">
            <w:bookmarkStart w:id="166" w:name="_Toc343356"/>
            <w:bookmarkStart w:id="167" w:name="_Toc97727491"/>
            <w:bookmarkStart w:id="168" w:name="_Toc128391184"/>
            <w:r w:rsidRPr="00D3367F">
              <w:t>(l)</w:t>
            </w:r>
            <w:bookmarkEnd w:id="166"/>
            <w:bookmarkEnd w:id="167"/>
            <w:bookmarkEnd w:id="168"/>
          </w:p>
        </w:tc>
        <w:tc>
          <w:tcPr>
            <w:tcW w:w="6232" w:type="dxa"/>
            <w:shd w:val="clear" w:color="auto" w:fill="auto"/>
          </w:tcPr>
          <w:p w14:paraId="39446E10" w14:textId="03BCE823" w:rsidR="00681BA7" w:rsidRPr="00D3367F" w:rsidRDefault="00681BA7" w:rsidP="00D3367F">
            <w:bookmarkStart w:id="169" w:name="_Toc343357"/>
            <w:bookmarkStart w:id="170" w:name="_Toc97727492"/>
            <w:bookmarkStart w:id="171" w:name="_Toc128391185"/>
            <w:r w:rsidRPr="00D3367F">
              <w:t>Records</w:t>
            </w:r>
            <w:r w:rsidR="00B614EB" w:rsidRPr="00D3367F">
              <w:t xml:space="preserve"> </w:t>
            </w:r>
            <w:r w:rsidRPr="00D3367F">
              <w:t>regarding children in its custody that are released for the limited purpose of carrying out the duties of DRC.</w:t>
            </w:r>
            <w:r w:rsidRPr="00D3367F">
              <w:rPr>
                <w:rStyle w:val="EndnoteReference"/>
                <w:rFonts w:asciiTheme="minorHAnsi" w:hAnsiTheme="minorHAnsi" w:cstheme="minorHAnsi"/>
              </w:rPr>
              <w:endnoteReference w:id="294"/>
            </w:r>
            <w:bookmarkEnd w:id="169"/>
            <w:bookmarkEnd w:id="170"/>
            <w:bookmarkEnd w:id="171"/>
          </w:p>
        </w:tc>
      </w:tr>
      <w:tr w:rsidR="00681BA7" w:rsidRPr="00704A17" w14:paraId="60D48D91" w14:textId="77777777" w:rsidTr="004B1375">
        <w:trPr>
          <w:cantSplit/>
        </w:trPr>
        <w:tc>
          <w:tcPr>
            <w:tcW w:w="2535" w:type="dxa"/>
            <w:shd w:val="clear" w:color="auto" w:fill="auto"/>
          </w:tcPr>
          <w:p w14:paraId="41A97CEA" w14:textId="7B94E991" w:rsidR="00681BA7" w:rsidRPr="00D3367F" w:rsidRDefault="00681BA7" w:rsidP="00D3367F">
            <w:pPr>
              <w:rPr>
                <w:b/>
                <w:bCs/>
              </w:rPr>
            </w:pPr>
            <w:bookmarkStart w:id="172" w:name="_Toc343358"/>
            <w:bookmarkStart w:id="173" w:name="_Toc97727493"/>
            <w:bookmarkStart w:id="174" w:name="_Toc128391186"/>
            <w:r w:rsidRPr="00D3367F">
              <w:rPr>
                <w:b/>
                <w:bCs/>
              </w:rPr>
              <w:t>Intellectual property records</w:t>
            </w:r>
            <w:bookmarkEnd w:id="172"/>
            <w:bookmarkEnd w:id="173"/>
            <w:bookmarkEnd w:id="174"/>
          </w:p>
        </w:tc>
        <w:tc>
          <w:tcPr>
            <w:tcW w:w="701" w:type="dxa"/>
            <w:shd w:val="clear" w:color="auto" w:fill="auto"/>
          </w:tcPr>
          <w:p w14:paraId="1E29FF8A" w14:textId="77777777" w:rsidR="00681BA7" w:rsidRPr="00D3367F" w:rsidRDefault="00681BA7" w:rsidP="00D3367F">
            <w:bookmarkStart w:id="175" w:name="_Toc343359"/>
            <w:bookmarkStart w:id="176" w:name="_Toc97727494"/>
            <w:bookmarkStart w:id="177" w:name="_Toc128391187"/>
            <w:r w:rsidRPr="00D3367F">
              <w:t>(m)</w:t>
            </w:r>
            <w:bookmarkEnd w:id="175"/>
            <w:bookmarkEnd w:id="176"/>
            <w:bookmarkEnd w:id="177"/>
          </w:p>
        </w:tc>
        <w:tc>
          <w:tcPr>
            <w:tcW w:w="6232" w:type="dxa"/>
            <w:shd w:val="clear" w:color="auto" w:fill="auto"/>
          </w:tcPr>
          <w:p w14:paraId="4D3A7017" w14:textId="77777777" w:rsidR="00AB6AEB" w:rsidRDefault="00681BA7" w:rsidP="00D3367F">
            <w:bookmarkStart w:id="178" w:name="_Toc343360"/>
            <w:bookmarkStart w:id="179" w:name="_Toc97727495"/>
            <w:bookmarkStart w:id="180" w:name="_Toc128391188"/>
            <w:r w:rsidRPr="00D3367F">
              <w:t xml:space="preserve">While this exemption seems broad, it has a specific definition for the purposes of the Public Records Act, and is limited to those </w:t>
            </w:r>
            <w:r w:rsidR="00A00EAE" w:rsidRPr="00D3367F">
              <w:t xml:space="preserve">non-financial and non-administrative </w:t>
            </w:r>
            <w:r w:rsidRPr="00D3367F">
              <w:t>records that are produced or collected: (1) by or for state university faculty or staff; (2) in relation to studies or research on an education, commercial, scientific, artistic, technical, or scholarly issue; and (3) which have not been publicly released, published, or patented.</w:t>
            </w:r>
            <w:r w:rsidRPr="00D3367F">
              <w:rPr>
                <w:rStyle w:val="EndnoteReference"/>
                <w:rFonts w:asciiTheme="minorHAnsi" w:hAnsiTheme="minorHAnsi" w:cstheme="minorHAnsi"/>
              </w:rPr>
              <w:endnoteReference w:id="295"/>
            </w:r>
            <w:bookmarkEnd w:id="178"/>
            <w:r w:rsidR="004B1375" w:rsidRPr="00D3367F">
              <w:t xml:space="preserve"> </w:t>
            </w:r>
            <w:bookmarkEnd w:id="179"/>
            <w:bookmarkEnd w:id="180"/>
          </w:p>
          <w:p w14:paraId="31DFC717" w14:textId="77777777" w:rsidR="00AB6AEB" w:rsidRDefault="00AB6AEB" w:rsidP="00D3367F"/>
          <w:p w14:paraId="4C3D2580" w14:textId="55EAF5AD" w:rsidR="00681BA7" w:rsidRPr="00D3367F" w:rsidRDefault="00947CC7" w:rsidP="00D3367F">
            <w:r w:rsidRPr="00D3367F">
              <w:t>Refer to Chapter Three: F.6. “Intellectual property,” for additional discussion of this exemption.</w:t>
            </w:r>
          </w:p>
        </w:tc>
      </w:tr>
      <w:tr w:rsidR="00681BA7" w:rsidRPr="002B2C2E" w14:paraId="26A0855B" w14:textId="77777777" w:rsidTr="004B1375">
        <w:trPr>
          <w:cantSplit/>
        </w:trPr>
        <w:tc>
          <w:tcPr>
            <w:tcW w:w="2535" w:type="dxa"/>
            <w:shd w:val="clear" w:color="auto" w:fill="auto"/>
          </w:tcPr>
          <w:p w14:paraId="5547ED5C" w14:textId="5DCE376E" w:rsidR="00681BA7" w:rsidRPr="00D3367F" w:rsidRDefault="00681BA7" w:rsidP="00D3367F">
            <w:pPr>
              <w:rPr>
                <w:b/>
                <w:bCs/>
              </w:rPr>
            </w:pPr>
            <w:bookmarkStart w:id="181" w:name="_Toc343361"/>
            <w:bookmarkStart w:id="182" w:name="_Toc97727496"/>
            <w:bookmarkStart w:id="183" w:name="_Toc128391189"/>
            <w:r w:rsidRPr="00D3367F">
              <w:rPr>
                <w:b/>
                <w:bCs/>
              </w:rPr>
              <w:t>Donor profile records</w:t>
            </w:r>
            <w:bookmarkEnd w:id="181"/>
            <w:bookmarkEnd w:id="182"/>
            <w:bookmarkEnd w:id="183"/>
          </w:p>
        </w:tc>
        <w:tc>
          <w:tcPr>
            <w:tcW w:w="701" w:type="dxa"/>
            <w:shd w:val="clear" w:color="auto" w:fill="auto"/>
          </w:tcPr>
          <w:p w14:paraId="4369BBA9" w14:textId="77777777" w:rsidR="00681BA7" w:rsidRPr="00D3367F" w:rsidRDefault="00681BA7" w:rsidP="00D3367F">
            <w:bookmarkStart w:id="184" w:name="_Toc343362"/>
            <w:bookmarkStart w:id="185" w:name="_Toc97727497"/>
            <w:bookmarkStart w:id="186" w:name="_Toc128391190"/>
            <w:r w:rsidRPr="00D3367F">
              <w:t>(n)</w:t>
            </w:r>
            <w:bookmarkEnd w:id="184"/>
            <w:bookmarkEnd w:id="185"/>
            <w:bookmarkEnd w:id="186"/>
          </w:p>
        </w:tc>
        <w:tc>
          <w:tcPr>
            <w:tcW w:w="6232" w:type="dxa"/>
            <w:shd w:val="clear" w:color="auto" w:fill="auto"/>
          </w:tcPr>
          <w:p w14:paraId="4A51290C" w14:textId="4F73344C" w:rsidR="00681BA7" w:rsidRPr="00D3367F" w:rsidRDefault="00681BA7" w:rsidP="00D3367F">
            <w:bookmarkStart w:id="187" w:name="_Toc343363"/>
            <w:bookmarkStart w:id="188" w:name="_Toc97727498"/>
            <w:bookmarkStart w:id="189" w:name="_Toc128391191"/>
            <w:r w:rsidRPr="00D3367F">
              <w:t>“</w:t>
            </w:r>
            <w:r w:rsidR="008614DE" w:rsidRPr="00D3367F">
              <w:t>D</w:t>
            </w:r>
            <w:r w:rsidRPr="00D3367F">
              <w:t xml:space="preserve">onor profile records” </w:t>
            </w:r>
            <w:r w:rsidR="008614DE" w:rsidRPr="00D3367F">
              <w:t>have</w:t>
            </w:r>
            <w:r w:rsidRPr="00D3367F">
              <w:t xml:space="preserve"> a specific, limited definition for the purposes of the Public Records Act.  First, it only applies to records about donors or potential donors to public colleges and universities.</w:t>
            </w:r>
            <w:r w:rsidRPr="00D3367F">
              <w:rPr>
                <w:rStyle w:val="EndnoteReference"/>
                <w:rFonts w:asciiTheme="minorHAnsi" w:hAnsiTheme="minorHAnsi" w:cstheme="minorHAnsi"/>
              </w:rPr>
              <w:endnoteReference w:id="296"/>
            </w:r>
            <w:r w:rsidRPr="00D3367F">
              <w:t xml:space="preserve">  Second, the names and reported addresses of all donors and the date, amount, and condition of their donation(s) are all public information.</w:t>
            </w:r>
            <w:r w:rsidRPr="00D3367F">
              <w:rPr>
                <w:rStyle w:val="EndnoteReference"/>
                <w:rFonts w:asciiTheme="minorHAnsi" w:hAnsiTheme="minorHAnsi" w:cstheme="minorHAnsi"/>
              </w:rPr>
              <w:endnoteReference w:id="297"/>
            </w:r>
            <w:r w:rsidRPr="00D3367F">
              <w:t xml:space="preserve">  The exemption applies only to all other records about a donor or potential donor.</w:t>
            </w:r>
            <w:bookmarkEnd w:id="187"/>
            <w:bookmarkEnd w:id="188"/>
            <w:bookmarkEnd w:id="189"/>
          </w:p>
        </w:tc>
      </w:tr>
      <w:tr w:rsidR="00681BA7" w:rsidRPr="00704A17" w14:paraId="0448B981" w14:textId="77777777" w:rsidTr="004B1375">
        <w:trPr>
          <w:cantSplit/>
        </w:trPr>
        <w:tc>
          <w:tcPr>
            <w:tcW w:w="2535" w:type="dxa"/>
            <w:shd w:val="clear" w:color="auto" w:fill="auto"/>
          </w:tcPr>
          <w:p w14:paraId="7728BF49" w14:textId="05D84F1F" w:rsidR="00681BA7" w:rsidRPr="00D3367F" w:rsidRDefault="00681BA7" w:rsidP="00D3367F">
            <w:pPr>
              <w:rPr>
                <w:b/>
                <w:bCs/>
              </w:rPr>
            </w:pPr>
            <w:bookmarkStart w:id="190" w:name="_Toc343364"/>
            <w:bookmarkStart w:id="191" w:name="_Toc97727499"/>
            <w:bookmarkStart w:id="192" w:name="_Toc128391192"/>
            <w:r w:rsidRPr="00D3367F">
              <w:rPr>
                <w:b/>
                <w:bCs/>
              </w:rPr>
              <w:lastRenderedPageBreak/>
              <w:t>Ohio Department of Job and Family Services</w:t>
            </w:r>
            <w:bookmarkEnd w:id="190"/>
            <w:bookmarkEnd w:id="191"/>
            <w:bookmarkEnd w:id="192"/>
          </w:p>
        </w:tc>
        <w:tc>
          <w:tcPr>
            <w:tcW w:w="701" w:type="dxa"/>
            <w:shd w:val="clear" w:color="auto" w:fill="auto"/>
          </w:tcPr>
          <w:p w14:paraId="713F3B71" w14:textId="77777777" w:rsidR="00681BA7" w:rsidRPr="00D3367F" w:rsidRDefault="00681BA7" w:rsidP="00D3367F">
            <w:bookmarkStart w:id="193" w:name="_Toc343365"/>
            <w:bookmarkStart w:id="194" w:name="_Toc97727500"/>
            <w:bookmarkStart w:id="195" w:name="_Toc128391193"/>
            <w:r w:rsidRPr="00D3367F">
              <w:t>(o)</w:t>
            </w:r>
            <w:bookmarkEnd w:id="193"/>
            <w:bookmarkEnd w:id="194"/>
            <w:bookmarkEnd w:id="195"/>
          </w:p>
        </w:tc>
        <w:tc>
          <w:tcPr>
            <w:tcW w:w="6232" w:type="dxa"/>
            <w:shd w:val="clear" w:color="auto" w:fill="auto"/>
          </w:tcPr>
          <w:p w14:paraId="21D85BDC" w14:textId="77777777" w:rsidR="00681BA7" w:rsidRPr="00D3367F" w:rsidRDefault="00681BA7" w:rsidP="00D3367F">
            <w:bookmarkStart w:id="196" w:name="_Toc343366"/>
            <w:bookmarkStart w:id="197" w:name="_Toc97727501"/>
            <w:bookmarkStart w:id="198" w:name="_Toc128391194"/>
            <w:r w:rsidRPr="00D3367F">
              <w:t>Records maintained by the Ohio Department of Job and Family Services on statutory employer reports of new hires.</w:t>
            </w:r>
            <w:r w:rsidRPr="00D3367F">
              <w:rPr>
                <w:rStyle w:val="EndnoteReference"/>
                <w:rFonts w:asciiTheme="minorHAnsi" w:hAnsiTheme="minorHAnsi" w:cstheme="minorHAnsi"/>
              </w:rPr>
              <w:endnoteReference w:id="298"/>
            </w:r>
            <w:bookmarkEnd w:id="196"/>
            <w:bookmarkEnd w:id="197"/>
            <w:bookmarkEnd w:id="198"/>
          </w:p>
        </w:tc>
      </w:tr>
      <w:tr w:rsidR="00681BA7" w:rsidRPr="002B2C2E" w14:paraId="22EC4D6B" w14:textId="77777777" w:rsidTr="004B1375">
        <w:trPr>
          <w:cantSplit/>
        </w:trPr>
        <w:tc>
          <w:tcPr>
            <w:tcW w:w="2535" w:type="dxa"/>
            <w:shd w:val="clear" w:color="auto" w:fill="auto"/>
          </w:tcPr>
          <w:p w14:paraId="75012E47" w14:textId="08B35F3D" w:rsidR="00681BA7" w:rsidRPr="00D3367F" w:rsidRDefault="00681BA7" w:rsidP="00D3367F">
            <w:pPr>
              <w:rPr>
                <w:b/>
                <w:bCs/>
              </w:rPr>
            </w:pPr>
            <w:bookmarkStart w:id="199" w:name="_Toc343367"/>
            <w:bookmarkStart w:id="200" w:name="_Toc97727502"/>
            <w:bookmarkStart w:id="201" w:name="_Toc128391195"/>
            <w:r w:rsidRPr="00D3367F">
              <w:rPr>
                <w:b/>
                <w:bCs/>
              </w:rPr>
              <w:t xml:space="preserve">Designated </w:t>
            </w:r>
            <w:r w:rsidR="00244F01" w:rsidRPr="00D3367F">
              <w:rPr>
                <w:b/>
                <w:bCs/>
              </w:rPr>
              <w:t>p</w:t>
            </w:r>
            <w:r w:rsidRPr="00D3367F">
              <w:rPr>
                <w:b/>
                <w:bCs/>
              </w:rPr>
              <w:t xml:space="preserve">ublic </w:t>
            </w:r>
            <w:r w:rsidR="00244F01" w:rsidRPr="00D3367F">
              <w:rPr>
                <w:b/>
                <w:bCs/>
              </w:rPr>
              <w:t>s</w:t>
            </w:r>
            <w:r w:rsidRPr="00D3367F">
              <w:rPr>
                <w:b/>
                <w:bCs/>
              </w:rPr>
              <w:t xml:space="preserve">ervice </w:t>
            </w:r>
            <w:r w:rsidR="00244F01" w:rsidRPr="00D3367F">
              <w:rPr>
                <w:b/>
                <w:bCs/>
              </w:rPr>
              <w:t>w</w:t>
            </w:r>
            <w:r w:rsidRPr="00D3367F">
              <w:rPr>
                <w:b/>
                <w:bCs/>
              </w:rPr>
              <w:t>orkers</w:t>
            </w:r>
            <w:bookmarkEnd w:id="199"/>
            <w:bookmarkEnd w:id="200"/>
            <w:bookmarkEnd w:id="201"/>
          </w:p>
        </w:tc>
        <w:tc>
          <w:tcPr>
            <w:tcW w:w="701" w:type="dxa"/>
            <w:shd w:val="clear" w:color="auto" w:fill="auto"/>
          </w:tcPr>
          <w:p w14:paraId="49593E46" w14:textId="77777777" w:rsidR="00681BA7" w:rsidRPr="00D3367F" w:rsidRDefault="00681BA7" w:rsidP="00D3367F">
            <w:bookmarkStart w:id="202" w:name="_Toc343368"/>
            <w:bookmarkStart w:id="203" w:name="_Toc97727503"/>
            <w:bookmarkStart w:id="204" w:name="_Toc128391196"/>
            <w:r w:rsidRPr="00D3367F">
              <w:t>(p)</w:t>
            </w:r>
            <w:bookmarkEnd w:id="202"/>
            <w:bookmarkEnd w:id="203"/>
            <w:bookmarkEnd w:id="204"/>
          </w:p>
        </w:tc>
        <w:tc>
          <w:tcPr>
            <w:tcW w:w="6232" w:type="dxa"/>
            <w:shd w:val="clear" w:color="auto" w:fill="auto"/>
          </w:tcPr>
          <w:p w14:paraId="2F11F6F0" w14:textId="77777777" w:rsidR="00AB6AEB" w:rsidRDefault="00244F01" w:rsidP="00D3367F">
            <w:bookmarkStart w:id="205" w:name="_Toc343369"/>
            <w:bookmarkStart w:id="206" w:name="_Toc97727504"/>
            <w:bookmarkStart w:id="207" w:name="_Toc128391197"/>
            <w:r w:rsidRPr="00D3367F">
              <w:t>Residential and familial information of a p</w:t>
            </w:r>
            <w:r w:rsidR="00681BA7" w:rsidRPr="00D3367F">
              <w:t>eace officer, parole officer, probation officer, bailiff, prosecuting attorney, assistant prosecuting attorney, correctional employee, county or multicounty corrections officer,</w:t>
            </w:r>
            <w:r w:rsidR="00B614EB" w:rsidRPr="00D3367F">
              <w:t xml:space="preserve"> </w:t>
            </w:r>
            <w:r w:rsidR="00681BA7" w:rsidRPr="00D3367F">
              <w:t xml:space="preserve">community-based correctional facility employee, </w:t>
            </w:r>
            <w:r w:rsidRPr="00D3367F">
              <w:t xml:space="preserve">designated Ohio national guard member, protective services worker, </w:t>
            </w:r>
            <w:r w:rsidR="00681BA7" w:rsidRPr="00D3367F">
              <w:t xml:space="preserve">youth services employee, firefighter, EMT, EMS medical director or member of a cooperating physician advisory board, board of pharmacy employee, </w:t>
            </w:r>
            <w:r w:rsidR="000B5F29" w:rsidRPr="00D3367F">
              <w:t>BCI investigator,</w:t>
            </w:r>
            <w:r w:rsidRPr="00D3367F">
              <w:t xml:space="preserve"> emergency service telecommunicator, forensic mental health or mental health evaluation provider, regional psychiatric hospital employee,</w:t>
            </w:r>
            <w:r w:rsidR="000B5F29" w:rsidRPr="00D3367F">
              <w:t xml:space="preserve"> </w:t>
            </w:r>
            <w:r w:rsidR="00681BA7" w:rsidRPr="00D3367F">
              <w:t>judge, magistrate, or federal law enforcement officer</w:t>
            </w:r>
            <w:r w:rsidRPr="00D3367F">
              <w:t>.</w:t>
            </w:r>
            <w:r w:rsidR="00681BA7" w:rsidRPr="00D3367F">
              <w:rPr>
                <w:rStyle w:val="EndnoteReference"/>
                <w:rFonts w:asciiTheme="minorHAnsi" w:hAnsiTheme="minorHAnsi" w:cstheme="minorHAnsi"/>
              </w:rPr>
              <w:endnoteReference w:id="299"/>
            </w:r>
            <w:r w:rsidR="00681BA7" w:rsidRPr="00D3367F">
              <w:t xml:space="preserve">  </w:t>
            </w:r>
          </w:p>
          <w:p w14:paraId="7A5A4A4D" w14:textId="77777777" w:rsidR="00AB6AEB" w:rsidRDefault="00AB6AEB" w:rsidP="00D3367F"/>
          <w:p w14:paraId="7FB6CD3B" w14:textId="5F3B207D" w:rsidR="00681BA7" w:rsidRPr="00D3367F" w:rsidRDefault="00947CC7" w:rsidP="00D3367F">
            <w:r w:rsidRPr="00D3367F">
              <w:t xml:space="preserve">Refer to </w:t>
            </w:r>
            <w:r w:rsidR="00681BA7" w:rsidRPr="00D3367F">
              <w:t xml:space="preserve">Chapter </w:t>
            </w:r>
            <w:r w:rsidR="00031CB6" w:rsidRPr="00D3367F">
              <w:t>Four</w:t>
            </w:r>
            <w:r w:rsidR="00681BA7" w:rsidRPr="00D3367F">
              <w:t xml:space="preserve">: </w:t>
            </w:r>
            <w:r w:rsidR="00C2648C" w:rsidRPr="00D3367F">
              <w:t>D</w:t>
            </w:r>
            <w:r w:rsidR="00681BA7" w:rsidRPr="00D3367F">
              <w:t>.</w:t>
            </w:r>
            <w:r w:rsidR="00031CB6" w:rsidRPr="00D3367F">
              <w:t>5.</w:t>
            </w:r>
            <w:r w:rsidR="00681BA7" w:rsidRPr="00D3367F">
              <w:t xml:space="preserve"> “Residential and </w:t>
            </w:r>
            <w:r w:rsidRPr="00D3367F">
              <w:t>f</w:t>
            </w:r>
            <w:r w:rsidR="00681BA7" w:rsidRPr="00D3367F">
              <w:t xml:space="preserve">amilial </w:t>
            </w:r>
            <w:r w:rsidRPr="00D3367F">
              <w:t>i</w:t>
            </w:r>
            <w:r w:rsidR="00681BA7" w:rsidRPr="00D3367F">
              <w:t xml:space="preserve">nformation of </w:t>
            </w:r>
            <w:r w:rsidRPr="00D3367F">
              <w:t>c</w:t>
            </w:r>
            <w:r w:rsidR="00681BA7" w:rsidRPr="00D3367F">
              <w:t xml:space="preserve">overed </w:t>
            </w:r>
            <w:r w:rsidRPr="00D3367F">
              <w:t>p</w:t>
            </w:r>
            <w:r w:rsidR="00681BA7" w:rsidRPr="00D3367F">
              <w:t>rofessions</w:t>
            </w:r>
            <w:r w:rsidRPr="00D3367F">
              <w:t>,</w:t>
            </w:r>
            <w:r w:rsidR="00681BA7" w:rsidRPr="00D3367F">
              <w:t>”</w:t>
            </w:r>
            <w:bookmarkEnd w:id="205"/>
            <w:bookmarkEnd w:id="206"/>
            <w:bookmarkEnd w:id="207"/>
            <w:r w:rsidRPr="00D3367F">
              <w:t xml:space="preserve"> for additional discussion of this exemption.</w:t>
            </w:r>
          </w:p>
        </w:tc>
      </w:tr>
      <w:tr w:rsidR="00681BA7" w:rsidRPr="00704A17" w14:paraId="488F8BE8" w14:textId="77777777" w:rsidTr="004B1375">
        <w:trPr>
          <w:cantSplit/>
        </w:trPr>
        <w:tc>
          <w:tcPr>
            <w:tcW w:w="2535" w:type="dxa"/>
            <w:shd w:val="clear" w:color="auto" w:fill="auto"/>
          </w:tcPr>
          <w:p w14:paraId="5E62B472" w14:textId="6BAA19FF" w:rsidR="00681BA7" w:rsidRPr="00D3367F" w:rsidRDefault="00681BA7" w:rsidP="00D3367F">
            <w:pPr>
              <w:rPr>
                <w:b/>
                <w:bCs/>
              </w:rPr>
            </w:pPr>
            <w:bookmarkStart w:id="208" w:name="_Toc343370"/>
            <w:bookmarkStart w:id="209" w:name="_Toc97727505"/>
            <w:bookmarkStart w:id="210" w:name="_Toc128391198"/>
            <w:r w:rsidRPr="00D3367F">
              <w:rPr>
                <w:b/>
                <w:bCs/>
              </w:rPr>
              <w:t>Hospital trade secrets</w:t>
            </w:r>
            <w:bookmarkEnd w:id="208"/>
            <w:bookmarkEnd w:id="209"/>
            <w:bookmarkEnd w:id="210"/>
          </w:p>
        </w:tc>
        <w:tc>
          <w:tcPr>
            <w:tcW w:w="701" w:type="dxa"/>
            <w:shd w:val="clear" w:color="auto" w:fill="auto"/>
          </w:tcPr>
          <w:p w14:paraId="0BB16A8F" w14:textId="77777777" w:rsidR="00681BA7" w:rsidRPr="00D3367F" w:rsidRDefault="00681BA7" w:rsidP="00D3367F">
            <w:bookmarkStart w:id="211" w:name="_Toc343371"/>
            <w:bookmarkStart w:id="212" w:name="_Toc97727506"/>
            <w:bookmarkStart w:id="213" w:name="_Toc128391199"/>
            <w:r w:rsidRPr="00D3367F">
              <w:t>(q)</w:t>
            </w:r>
            <w:bookmarkEnd w:id="211"/>
            <w:bookmarkEnd w:id="212"/>
            <w:bookmarkEnd w:id="213"/>
          </w:p>
        </w:tc>
        <w:tc>
          <w:tcPr>
            <w:tcW w:w="6232" w:type="dxa"/>
            <w:shd w:val="clear" w:color="auto" w:fill="auto"/>
          </w:tcPr>
          <w:p w14:paraId="3051AE11" w14:textId="77777777" w:rsidR="00681BA7" w:rsidRPr="00D3367F" w:rsidRDefault="00681BA7" w:rsidP="00D3367F">
            <w:bookmarkStart w:id="214" w:name="_Toc343372"/>
            <w:bookmarkStart w:id="215" w:name="_Toc97727507"/>
            <w:bookmarkStart w:id="216" w:name="_Toc128391200"/>
            <w:r w:rsidRPr="00D3367F">
              <w:t>Trade secrets of certain county and municipal hospitals.</w:t>
            </w:r>
            <w:r w:rsidRPr="00D3367F">
              <w:rPr>
                <w:rStyle w:val="EndnoteReference"/>
                <w:rFonts w:asciiTheme="minorHAnsi" w:hAnsiTheme="minorHAnsi" w:cstheme="minorHAnsi"/>
              </w:rPr>
              <w:endnoteReference w:id="300"/>
            </w:r>
            <w:r w:rsidRPr="00D3367F">
              <w:t xml:space="preserve">  “Trade secrets” are defined at R.C. 1333.61(D), the definitional section of Ohio’s Uniform Trade Secrets Act.</w:t>
            </w:r>
            <w:bookmarkEnd w:id="214"/>
            <w:bookmarkEnd w:id="215"/>
            <w:bookmarkEnd w:id="216"/>
          </w:p>
        </w:tc>
      </w:tr>
      <w:tr w:rsidR="00681BA7" w:rsidRPr="002B2C2E" w14:paraId="6DA4AE4C" w14:textId="77777777" w:rsidTr="004B1375">
        <w:trPr>
          <w:cantSplit/>
        </w:trPr>
        <w:tc>
          <w:tcPr>
            <w:tcW w:w="2535" w:type="dxa"/>
            <w:shd w:val="clear" w:color="auto" w:fill="auto"/>
          </w:tcPr>
          <w:p w14:paraId="45F712EE" w14:textId="3FA8B3DF" w:rsidR="00681BA7" w:rsidRPr="00D3367F" w:rsidRDefault="00681BA7" w:rsidP="00D3367F">
            <w:pPr>
              <w:rPr>
                <w:b/>
                <w:bCs/>
              </w:rPr>
            </w:pPr>
            <w:bookmarkStart w:id="217" w:name="_Toc343373"/>
            <w:bookmarkStart w:id="218" w:name="_Toc97727508"/>
            <w:bookmarkStart w:id="219" w:name="_Toc128391201"/>
            <w:r w:rsidRPr="00D3367F">
              <w:rPr>
                <w:b/>
                <w:bCs/>
              </w:rPr>
              <w:t>Recreational activities of minors</w:t>
            </w:r>
            <w:bookmarkEnd w:id="217"/>
            <w:bookmarkEnd w:id="218"/>
            <w:bookmarkEnd w:id="219"/>
          </w:p>
        </w:tc>
        <w:tc>
          <w:tcPr>
            <w:tcW w:w="701" w:type="dxa"/>
            <w:shd w:val="clear" w:color="auto" w:fill="auto"/>
          </w:tcPr>
          <w:p w14:paraId="329E1186" w14:textId="77777777" w:rsidR="00681BA7" w:rsidRPr="00D3367F" w:rsidRDefault="00681BA7" w:rsidP="00D3367F">
            <w:bookmarkStart w:id="220" w:name="_Toc343374"/>
            <w:bookmarkStart w:id="221" w:name="_Toc97727509"/>
            <w:bookmarkStart w:id="222" w:name="_Toc128391202"/>
            <w:r w:rsidRPr="00D3367F">
              <w:t>(r)</w:t>
            </w:r>
            <w:bookmarkEnd w:id="220"/>
            <w:bookmarkEnd w:id="221"/>
            <w:bookmarkEnd w:id="222"/>
          </w:p>
        </w:tc>
        <w:tc>
          <w:tcPr>
            <w:tcW w:w="6232" w:type="dxa"/>
            <w:shd w:val="clear" w:color="auto" w:fill="auto"/>
          </w:tcPr>
          <w:p w14:paraId="75130C15" w14:textId="7FBFE0D6" w:rsidR="00681BA7" w:rsidRPr="00D3367F" w:rsidRDefault="00681BA7" w:rsidP="00D3367F">
            <w:bookmarkStart w:id="223" w:name="_Toc343375"/>
            <w:bookmarkStart w:id="224" w:name="_Toc97727510"/>
            <w:bookmarkStart w:id="225" w:name="_Toc128391203"/>
            <w:r w:rsidRPr="00D3367F">
              <w:t xml:space="preserve">Information pertaining to the recreational activities of a person under the age of </w:t>
            </w:r>
            <w:r w:rsidR="00EC1D52" w:rsidRPr="00D3367F">
              <w:t>18</w:t>
            </w:r>
            <w:r w:rsidRPr="00D3367F">
              <w:t>.  This includes any information that would reveal the person’s:</w:t>
            </w:r>
            <w:bookmarkEnd w:id="223"/>
            <w:bookmarkEnd w:id="224"/>
            <w:bookmarkEnd w:id="225"/>
          </w:p>
          <w:p w14:paraId="76C369A0" w14:textId="647CF4A3" w:rsidR="00681BA7" w:rsidRPr="00D3367F" w:rsidRDefault="00F76F10" w:rsidP="00D3367F">
            <w:r>
              <w:t xml:space="preserve">(1) </w:t>
            </w:r>
            <w:r w:rsidR="00681BA7" w:rsidRPr="00D3367F">
              <w:t>Address or telephone number, or that of the person’s guardian, custodian, or emergency contact person;</w:t>
            </w:r>
          </w:p>
          <w:p w14:paraId="41B823D3" w14:textId="0919A1C1" w:rsidR="00681BA7" w:rsidRPr="00D3367F" w:rsidRDefault="00F76F10" w:rsidP="00D3367F">
            <w:r>
              <w:t xml:space="preserve">(2) </w:t>
            </w:r>
            <w:r w:rsidR="00681BA7" w:rsidRPr="00D3367F">
              <w:t>Social security number, birth date, or photographic image;</w:t>
            </w:r>
          </w:p>
          <w:p w14:paraId="50432381" w14:textId="5D338AA4" w:rsidR="00681BA7" w:rsidRPr="00D3367F" w:rsidRDefault="00F76F10" w:rsidP="00D3367F">
            <w:r>
              <w:t xml:space="preserve">(3) </w:t>
            </w:r>
            <w:r w:rsidR="00681BA7" w:rsidRPr="00D3367F">
              <w:t>Medical records, history, or information; or</w:t>
            </w:r>
          </w:p>
          <w:p w14:paraId="3AB5DB23" w14:textId="081DC33B" w:rsidR="00681BA7" w:rsidRPr="00D3367F" w:rsidRDefault="00F76F10" w:rsidP="00D3367F">
            <w:r>
              <w:t xml:space="preserve">(4) </w:t>
            </w:r>
            <w:r w:rsidR="00681BA7" w:rsidRPr="00D3367F">
              <w:t>Information sought or required for the purpose of allowing that person to participate in any recreational activity conducted or sponsored by a public office or obtain admission privileges to any recreational facility owned or operated by a public office.</w:t>
            </w:r>
            <w:r w:rsidR="00681BA7" w:rsidRPr="00D3367F">
              <w:rPr>
                <w:rStyle w:val="EndnoteReference"/>
                <w:rFonts w:asciiTheme="minorHAnsi" w:hAnsiTheme="minorHAnsi" w:cstheme="minorHAnsi"/>
              </w:rPr>
              <w:endnoteReference w:id="301"/>
            </w:r>
          </w:p>
        </w:tc>
      </w:tr>
      <w:tr w:rsidR="00681BA7" w:rsidRPr="00704A17" w14:paraId="4076F2D6" w14:textId="77777777" w:rsidTr="004B1375">
        <w:trPr>
          <w:cantSplit/>
        </w:trPr>
        <w:tc>
          <w:tcPr>
            <w:tcW w:w="2535" w:type="dxa"/>
            <w:shd w:val="clear" w:color="auto" w:fill="auto"/>
          </w:tcPr>
          <w:p w14:paraId="61BF789E" w14:textId="17C9EFD8" w:rsidR="00681BA7" w:rsidRPr="00D3367F" w:rsidRDefault="00681BA7" w:rsidP="00D3367F">
            <w:pPr>
              <w:rPr>
                <w:b/>
                <w:bCs/>
              </w:rPr>
            </w:pPr>
            <w:bookmarkStart w:id="226" w:name="_Toc343376"/>
            <w:bookmarkStart w:id="227" w:name="_Toc97727511"/>
            <w:bookmarkStart w:id="228" w:name="_Toc128391204"/>
            <w:r w:rsidRPr="00D3367F">
              <w:rPr>
                <w:b/>
                <w:bCs/>
              </w:rPr>
              <w:t>Child fatality review board</w:t>
            </w:r>
            <w:bookmarkEnd w:id="226"/>
            <w:bookmarkEnd w:id="227"/>
            <w:bookmarkEnd w:id="228"/>
          </w:p>
        </w:tc>
        <w:tc>
          <w:tcPr>
            <w:tcW w:w="701" w:type="dxa"/>
            <w:shd w:val="clear" w:color="auto" w:fill="auto"/>
          </w:tcPr>
          <w:p w14:paraId="09832B88" w14:textId="77777777" w:rsidR="00681BA7" w:rsidRPr="00D3367F" w:rsidRDefault="00681BA7" w:rsidP="00D3367F">
            <w:bookmarkStart w:id="229" w:name="_Toc343377"/>
            <w:bookmarkStart w:id="230" w:name="_Toc97727512"/>
            <w:bookmarkStart w:id="231" w:name="_Toc128391205"/>
            <w:r w:rsidRPr="00D3367F">
              <w:t>(s)</w:t>
            </w:r>
            <w:bookmarkEnd w:id="229"/>
            <w:bookmarkEnd w:id="230"/>
            <w:bookmarkEnd w:id="231"/>
          </w:p>
        </w:tc>
        <w:tc>
          <w:tcPr>
            <w:tcW w:w="6232" w:type="dxa"/>
            <w:shd w:val="clear" w:color="auto" w:fill="auto"/>
          </w:tcPr>
          <w:p w14:paraId="0829A3A0" w14:textId="77777777" w:rsidR="00681BA7" w:rsidRPr="00D3367F" w:rsidRDefault="00681BA7" w:rsidP="00D3367F">
            <w:bookmarkStart w:id="232" w:name="_Toc343378"/>
            <w:bookmarkStart w:id="233" w:name="_Toc97727513"/>
            <w:bookmarkStart w:id="234" w:name="_Toc128391206"/>
            <w:r w:rsidRPr="00D3367F">
              <w:t>Listed records of a child fatality review board (except for the annual reports the boards are required by statute to submit to the Ohio Department of Health).</w:t>
            </w:r>
            <w:r w:rsidRPr="00D3367F">
              <w:rPr>
                <w:rStyle w:val="EndnoteReference"/>
                <w:rFonts w:asciiTheme="minorHAnsi" w:hAnsiTheme="minorHAnsi" w:cstheme="minorHAnsi"/>
              </w:rPr>
              <w:endnoteReference w:id="302"/>
            </w:r>
            <w:r w:rsidRPr="00D3367F">
              <w:t xml:space="preserve">  The listed records are also prohibited from unauthorized release by R.C. 307.629.</w:t>
            </w:r>
            <w:bookmarkEnd w:id="232"/>
            <w:bookmarkEnd w:id="233"/>
            <w:bookmarkEnd w:id="234"/>
          </w:p>
        </w:tc>
      </w:tr>
      <w:tr w:rsidR="00681BA7" w:rsidRPr="002B2C2E" w14:paraId="52FEBE88" w14:textId="77777777" w:rsidTr="004B1375">
        <w:trPr>
          <w:cantSplit/>
        </w:trPr>
        <w:tc>
          <w:tcPr>
            <w:tcW w:w="2535" w:type="dxa"/>
            <w:shd w:val="clear" w:color="auto" w:fill="auto"/>
          </w:tcPr>
          <w:p w14:paraId="2E4EE10C" w14:textId="305D3459" w:rsidR="00681BA7" w:rsidRPr="00D3367F" w:rsidRDefault="00681BA7" w:rsidP="00D3367F">
            <w:pPr>
              <w:rPr>
                <w:b/>
                <w:bCs/>
              </w:rPr>
            </w:pPr>
            <w:bookmarkStart w:id="235" w:name="_Toc343379"/>
            <w:bookmarkStart w:id="236" w:name="_Toc97727514"/>
            <w:bookmarkStart w:id="237" w:name="_Toc128391207"/>
            <w:r w:rsidRPr="00D3367F">
              <w:rPr>
                <w:b/>
                <w:bCs/>
              </w:rPr>
              <w:t>Death of minor</w:t>
            </w:r>
            <w:bookmarkEnd w:id="235"/>
            <w:bookmarkEnd w:id="236"/>
            <w:bookmarkEnd w:id="237"/>
          </w:p>
        </w:tc>
        <w:tc>
          <w:tcPr>
            <w:tcW w:w="701" w:type="dxa"/>
            <w:shd w:val="clear" w:color="auto" w:fill="auto"/>
          </w:tcPr>
          <w:p w14:paraId="231C5304" w14:textId="77777777" w:rsidR="00681BA7" w:rsidRPr="00D3367F" w:rsidRDefault="00681BA7" w:rsidP="00D3367F">
            <w:bookmarkStart w:id="238" w:name="_Toc343380"/>
            <w:bookmarkStart w:id="239" w:name="_Toc97727515"/>
            <w:bookmarkStart w:id="240" w:name="_Toc128391208"/>
            <w:r w:rsidRPr="00D3367F">
              <w:t>(t)</w:t>
            </w:r>
            <w:bookmarkEnd w:id="238"/>
            <w:bookmarkEnd w:id="239"/>
            <w:bookmarkEnd w:id="240"/>
          </w:p>
        </w:tc>
        <w:tc>
          <w:tcPr>
            <w:tcW w:w="6232" w:type="dxa"/>
            <w:shd w:val="clear" w:color="auto" w:fill="auto"/>
          </w:tcPr>
          <w:p w14:paraId="10A98923" w14:textId="5ABAEEC1" w:rsidR="00681BA7" w:rsidRPr="00D3367F" w:rsidRDefault="00681BA7" w:rsidP="00D3367F">
            <w:bookmarkStart w:id="241" w:name="_Toc343381"/>
            <w:bookmarkStart w:id="242" w:name="_Toc97727516"/>
            <w:bookmarkStart w:id="243" w:name="_Toc128391209"/>
            <w:r w:rsidRPr="00D3367F">
              <w:t>Records and information provided to the executive director of a public children services agency or prosecutor regarding the death of a minor from possible abuse, neglect, or other criminal conduct.</w:t>
            </w:r>
            <w:r w:rsidRPr="00D3367F">
              <w:rPr>
                <w:rStyle w:val="EndnoteReference"/>
                <w:rFonts w:asciiTheme="minorHAnsi" w:hAnsiTheme="minorHAnsi" w:cstheme="minorHAnsi"/>
              </w:rPr>
              <w:endnoteReference w:id="303"/>
            </w:r>
            <w:bookmarkEnd w:id="241"/>
            <w:bookmarkEnd w:id="242"/>
            <w:bookmarkEnd w:id="243"/>
          </w:p>
        </w:tc>
      </w:tr>
      <w:tr w:rsidR="00681BA7" w:rsidRPr="00704A17" w14:paraId="7E2F06DC" w14:textId="77777777" w:rsidTr="004B1375">
        <w:trPr>
          <w:cantSplit/>
        </w:trPr>
        <w:tc>
          <w:tcPr>
            <w:tcW w:w="2535" w:type="dxa"/>
            <w:shd w:val="clear" w:color="auto" w:fill="auto"/>
          </w:tcPr>
          <w:p w14:paraId="11E057CD" w14:textId="23D9BB4F" w:rsidR="00681BA7" w:rsidRPr="00D3367F" w:rsidRDefault="00681BA7" w:rsidP="00D3367F">
            <w:pPr>
              <w:rPr>
                <w:b/>
                <w:bCs/>
              </w:rPr>
            </w:pPr>
            <w:bookmarkStart w:id="244" w:name="_Toc343382"/>
            <w:bookmarkStart w:id="245" w:name="_Toc97727517"/>
            <w:bookmarkStart w:id="246" w:name="_Toc128391210"/>
            <w:r w:rsidRPr="00D3367F">
              <w:rPr>
                <w:b/>
                <w:bCs/>
              </w:rPr>
              <w:t>Nursing home administrator licensing</w:t>
            </w:r>
            <w:bookmarkEnd w:id="244"/>
            <w:bookmarkEnd w:id="245"/>
            <w:bookmarkEnd w:id="246"/>
          </w:p>
        </w:tc>
        <w:tc>
          <w:tcPr>
            <w:tcW w:w="701" w:type="dxa"/>
            <w:shd w:val="clear" w:color="auto" w:fill="auto"/>
          </w:tcPr>
          <w:p w14:paraId="669518A1" w14:textId="77777777" w:rsidR="00681BA7" w:rsidRPr="00D3367F" w:rsidRDefault="00681BA7" w:rsidP="00D3367F">
            <w:bookmarkStart w:id="247" w:name="_Toc343383"/>
            <w:bookmarkStart w:id="248" w:name="_Toc97727518"/>
            <w:bookmarkStart w:id="249" w:name="_Toc128391211"/>
            <w:r w:rsidRPr="00D3367F">
              <w:t>(u)</w:t>
            </w:r>
            <w:bookmarkEnd w:id="247"/>
            <w:bookmarkEnd w:id="248"/>
            <w:bookmarkEnd w:id="249"/>
          </w:p>
        </w:tc>
        <w:tc>
          <w:tcPr>
            <w:tcW w:w="6232" w:type="dxa"/>
            <w:shd w:val="clear" w:color="auto" w:fill="auto"/>
          </w:tcPr>
          <w:p w14:paraId="00DECB6F" w14:textId="77777777" w:rsidR="00681BA7" w:rsidRPr="00D3367F" w:rsidRDefault="00681BA7" w:rsidP="00D3367F">
            <w:bookmarkStart w:id="250" w:name="_Toc343384"/>
            <w:bookmarkStart w:id="251" w:name="_Toc97727519"/>
            <w:bookmarkStart w:id="252" w:name="_Toc128391212"/>
            <w:r w:rsidRPr="00D3367F">
              <w:t>Nursing home administrator licensing test materials, examinations, or evaluation tools.</w:t>
            </w:r>
            <w:r w:rsidRPr="00D3367F">
              <w:rPr>
                <w:rStyle w:val="EndnoteReference"/>
                <w:rFonts w:asciiTheme="minorHAnsi" w:hAnsiTheme="minorHAnsi" w:cstheme="minorHAnsi"/>
              </w:rPr>
              <w:endnoteReference w:id="304"/>
            </w:r>
            <w:bookmarkEnd w:id="250"/>
            <w:bookmarkEnd w:id="251"/>
            <w:bookmarkEnd w:id="252"/>
          </w:p>
        </w:tc>
      </w:tr>
      <w:tr w:rsidR="00681BA7" w:rsidRPr="002B2C2E" w14:paraId="30DBB5B9" w14:textId="77777777" w:rsidTr="004B1375">
        <w:trPr>
          <w:cantSplit/>
        </w:trPr>
        <w:tc>
          <w:tcPr>
            <w:tcW w:w="2535" w:type="dxa"/>
            <w:shd w:val="clear" w:color="auto" w:fill="auto"/>
          </w:tcPr>
          <w:p w14:paraId="6D272633" w14:textId="7E645E3A" w:rsidR="00681BA7" w:rsidRPr="00D3367F" w:rsidRDefault="00681BA7" w:rsidP="00D3367F">
            <w:pPr>
              <w:rPr>
                <w:b/>
                <w:bCs/>
                <w:iCs/>
              </w:rPr>
            </w:pPr>
            <w:bookmarkStart w:id="253" w:name="_Toc343385"/>
            <w:bookmarkStart w:id="254" w:name="_Toc97727520"/>
            <w:bookmarkStart w:id="255" w:name="_Toc128391213"/>
            <w:r w:rsidRPr="00D3367F">
              <w:rPr>
                <w:b/>
                <w:bCs/>
                <w:iCs/>
              </w:rPr>
              <w:lastRenderedPageBreak/>
              <w:t>Catch-all exemption</w:t>
            </w:r>
            <w:bookmarkEnd w:id="253"/>
            <w:bookmarkEnd w:id="254"/>
            <w:bookmarkEnd w:id="255"/>
          </w:p>
        </w:tc>
        <w:tc>
          <w:tcPr>
            <w:tcW w:w="701" w:type="dxa"/>
            <w:shd w:val="clear" w:color="auto" w:fill="auto"/>
          </w:tcPr>
          <w:p w14:paraId="11F156B6" w14:textId="77777777" w:rsidR="00681BA7" w:rsidRPr="006A12FD" w:rsidRDefault="00681BA7" w:rsidP="00D3367F">
            <w:pPr>
              <w:rPr>
                <w:iCs/>
              </w:rPr>
            </w:pPr>
            <w:bookmarkStart w:id="256" w:name="_Toc343386"/>
            <w:bookmarkStart w:id="257" w:name="_Toc97727521"/>
            <w:bookmarkStart w:id="258" w:name="_Toc128391214"/>
            <w:r w:rsidRPr="006A12FD">
              <w:rPr>
                <w:iCs/>
              </w:rPr>
              <w:t>(v)</w:t>
            </w:r>
            <w:bookmarkEnd w:id="256"/>
            <w:bookmarkEnd w:id="257"/>
            <w:bookmarkEnd w:id="258"/>
          </w:p>
        </w:tc>
        <w:tc>
          <w:tcPr>
            <w:tcW w:w="6232" w:type="dxa"/>
            <w:shd w:val="clear" w:color="auto" w:fill="auto"/>
          </w:tcPr>
          <w:p w14:paraId="7298320C" w14:textId="67D6B2AA" w:rsidR="00681BA7" w:rsidRPr="006A12FD" w:rsidRDefault="00681BA7" w:rsidP="00D3367F">
            <w:pPr>
              <w:rPr>
                <w:iCs/>
              </w:rPr>
            </w:pPr>
            <w:bookmarkStart w:id="259" w:name="_Toc343387"/>
            <w:bookmarkStart w:id="260" w:name="_Toc97727522"/>
            <w:bookmarkStart w:id="261" w:name="_Toc128391215"/>
            <w:r w:rsidRPr="006A12FD">
              <w:rPr>
                <w:iCs/>
              </w:rPr>
              <w:t>Records the release of which is prohibited by state or federal law; this is often called the “catch-all” exemption.</w:t>
            </w:r>
            <w:r w:rsidR="00244F01" w:rsidRPr="006A12FD">
              <w:rPr>
                <w:rStyle w:val="EndnoteReference"/>
                <w:rFonts w:asciiTheme="minorHAnsi" w:hAnsiTheme="minorHAnsi" w:cstheme="minorHAnsi"/>
                <w:iCs/>
              </w:rPr>
              <w:endnoteReference w:id="305"/>
            </w:r>
            <w:r w:rsidRPr="006A12FD">
              <w:rPr>
                <w:iCs/>
              </w:rPr>
              <w:t xml:space="preserve">  Although state and federal statutes can create both mandatory and discretionary exemptions by themselves, this provision also incorporates any statutes or administrative codes that prohibit the release of specific records.</w:t>
            </w:r>
            <w:bookmarkEnd w:id="259"/>
            <w:bookmarkEnd w:id="260"/>
            <w:bookmarkEnd w:id="261"/>
          </w:p>
          <w:p w14:paraId="53C4DD76" w14:textId="77777777" w:rsidR="00681BA7" w:rsidRPr="006A12FD" w:rsidRDefault="00681BA7" w:rsidP="00D3367F">
            <w:pPr>
              <w:rPr>
                <w:iCs/>
              </w:rPr>
            </w:pPr>
          </w:p>
          <w:p w14:paraId="0179987D" w14:textId="77AC1225" w:rsidR="00681BA7" w:rsidRPr="006A12FD" w:rsidRDefault="008614DE" w:rsidP="00D3367F">
            <w:pPr>
              <w:rPr>
                <w:iCs/>
              </w:rPr>
            </w:pPr>
            <w:r w:rsidRPr="006A12FD">
              <w:rPr>
                <w:iCs/>
              </w:rPr>
              <w:t>A</w:t>
            </w:r>
            <w:r w:rsidR="00681BA7" w:rsidRPr="006A12FD">
              <w:rPr>
                <w:iCs/>
              </w:rPr>
              <w:t xml:space="preserve"> state or federal agency rule designating </w:t>
            </w:r>
            <w:r w:rsidRPr="006A12FD">
              <w:rPr>
                <w:iCs/>
              </w:rPr>
              <w:t>specific</w:t>
            </w:r>
            <w:r w:rsidR="00681BA7" w:rsidRPr="006A12FD">
              <w:rPr>
                <w:iCs/>
              </w:rPr>
              <w:t xml:space="preserve"> records as confidential that is properly promulgated by the agency will constitute a valid exemption</w:t>
            </w:r>
            <w:r w:rsidR="00681BA7" w:rsidRPr="006A12FD">
              <w:rPr>
                <w:rStyle w:val="EndnoteReference"/>
                <w:rFonts w:asciiTheme="minorHAnsi" w:hAnsiTheme="minorHAnsi" w:cstheme="minorHAnsi"/>
                <w:iCs/>
              </w:rPr>
              <w:endnoteReference w:id="306"/>
            </w:r>
            <w:r w:rsidR="00681BA7" w:rsidRPr="006A12FD">
              <w:rPr>
                <w:iCs/>
              </w:rPr>
              <w:t xml:space="preserve"> because such rules have the effect of law.</w:t>
            </w:r>
            <w:r w:rsidR="00681BA7" w:rsidRPr="006A12FD">
              <w:rPr>
                <w:rStyle w:val="EndnoteReference"/>
                <w:rFonts w:asciiTheme="minorHAnsi" w:hAnsiTheme="minorHAnsi" w:cstheme="minorHAnsi"/>
                <w:iCs/>
              </w:rPr>
              <w:endnoteReference w:id="307"/>
            </w:r>
            <w:r w:rsidR="00F76F10">
              <w:rPr>
                <w:iCs/>
              </w:rPr>
              <w:t xml:space="preserve"> </w:t>
            </w:r>
            <w:r w:rsidR="00681BA7" w:rsidRPr="006A12FD">
              <w:rPr>
                <w:iCs/>
              </w:rPr>
              <w:t xml:space="preserve">But, if the rule was promulgated outside the authority statutorily granted to the agency, the rule is </w:t>
            </w:r>
            <w:r w:rsidRPr="006A12FD">
              <w:rPr>
                <w:iCs/>
              </w:rPr>
              <w:t>in</w:t>
            </w:r>
            <w:r w:rsidR="00681BA7" w:rsidRPr="006A12FD">
              <w:rPr>
                <w:iCs/>
              </w:rPr>
              <w:t>valid and will not constitute an exemption to disclosure.</w:t>
            </w:r>
            <w:r w:rsidR="00681BA7" w:rsidRPr="006A12FD">
              <w:rPr>
                <w:rStyle w:val="EndnoteReference"/>
                <w:rFonts w:asciiTheme="minorHAnsi" w:hAnsiTheme="minorHAnsi" w:cstheme="minorHAnsi"/>
                <w:iCs/>
              </w:rPr>
              <w:endnoteReference w:id="308"/>
            </w:r>
          </w:p>
        </w:tc>
      </w:tr>
      <w:tr w:rsidR="00681BA7" w:rsidRPr="00704A17" w14:paraId="3950441B" w14:textId="77777777" w:rsidTr="004B1375">
        <w:trPr>
          <w:cantSplit/>
        </w:trPr>
        <w:tc>
          <w:tcPr>
            <w:tcW w:w="2535" w:type="dxa"/>
            <w:shd w:val="clear" w:color="auto" w:fill="auto"/>
          </w:tcPr>
          <w:p w14:paraId="77D74A87" w14:textId="5CF5FBAC" w:rsidR="00681BA7" w:rsidRPr="00D3367F" w:rsidRDefault="00681BA7" w:rsidP="00D3367F">
            <w:pPr>
              <w:rPr>
                <w:b/>
                <w:bCs/>
              </w:rPr>
            </w:pPr>
            <w:bookmarkStart w:id="262" w:name="_Toc343388"/>
            <w:bookmarkStart w:id="263" w:name="_Toc97727523"/>
            <w:bookmarkStart w:id="264" w:name="_Toc128391216"/>
            <w:r w:rsidRPr="00D3367F">
              <w:rPr>
                <w:b/>
                <w:bCs/>
              </w:rPr>
              <w:t>Ohio Venture Capital Authority</w:t>
            </w:r>
            <w:bookmarkEnd w:id="262"/>
            <w:bookmarkEnd w:id="263"/>
            <w:bookmarkEnd w:id="264"/>
          </w:p>
        </w:tc>
        <w:tc>
          <w:tcPr>
            <w:tcW w:w="701" w:type="dxa"/>
            <w:shd w:val="clear" w:color="auto" w:fill="auto"/>
          </w:tcPr>
          <w:p w14:paraId="19531DF6" w14:textId="77777777" w:rsidR="00681BA7" w:rsidRPr="00D3367F" w:rsidRDefault="00681BA7" w:rsidP="00D3367F">
            <w:bookmarkStart w:id="265" w:name="_Toc343389"/>
            <w:bookmarkStart w:id="266" w:name="_Toc97727524"/>
            <w:bookmarkStart w:id="267" w:name="_Toc128391217"/>
            <w:r w:rsidRPr="00D3367F">
              <w:t>(w)</w:t>
            </w:r>
            <w:bookmarkEnd w:id="265"/>
            <w:bookmarkEnd w:id="266"/>
            <w:bookmarkEnd w:id="267"/>
          </w:p>
        </w:tc>
        <w:tc>
          <w:tcPr>
            <w:tcW w:w="6232" w:type="dxa"/>
            <w:shd w:val="clear" w:color="auto" w:fill="auto"/>
          </w:tcPr>
          <w:p w14:paraId="24B11A72" w14:textId="77777777" w:rsidR="00681BA7" w:rsidRPr="00D3367F" w:rsidRDefault="00681BA7" w:rsidP="00D3367F">
            <w:bookmarkStart w:id="268" w:name="_Toc343390"/>
            <w:bookmarkStart w:id="269" w:name="_Toc97727525"/>
            <w:bookmarkStart w:id="270" w:name="_Toc128391218"/>
            <w:r w:rsidRPr="00D3367F">
              <w:t>Proprietary information of or relating to any person that is submitted to or compiled by the Ohio Venture Capital Authority.</w:t>
            </w:r>
            <w:r w:rsidRPr="00D3367F">
              <w:rPr>
                <w:rStyle w:val="EndnoteReference"/>
                <w:rFonts w:asciiTheme="minorHAnsi" w:hAnsiTheme="minorHAnsi" w:cstheme="minorHAnsi"/>
              </w:rPr>
              <w:endnoteReference w:id="309"/>
            </w:r>
            <w:bookmarkEnd w:id="268"/>
            <w:bookmarkEnd w:id="269"/>
            <w:bookmarkEnd w:id="270"/>
          </w:p>
        </w:tc>
      </w:tr>
      <w:tr w:rsidR="00681BA7" w:rsidRPr="002B2C2E" w14:paraId="104D994E" w14:textId="77777777" w:rsidTr="004B1375">
        <w:trPr>
          <w:cantSplit/>
        </w:trPr>
        <w:tc>
          <w:tcPr>
            <w:tcW w:w="2535" w:type="dxa"/>
            <w:shd w:val="clear" w:color="auto" w:fill="auto"/>
          </w:tcPr>
          <w:p w14:paraId="57519E97" w14:textId="57E8F4A8" w:rsidR="00681BA7" w:rsidRPr="00D3367F" w:rsidRDefault="00681BA7" w:rsidP="00D3367F">
            <w:pPr>
              <w:rPr>
                <w:b/>
                <w:bCs/>
              </w:rPr>
            </w:pPr>
            <w:bookmarkStart w:id="271" w:name="_Toc343391"/>
            <w:bookmarkStart w:id="272" w:name="_Toc97727526"/>
            <w:bookmarkStart w:id="273" w:name="_Toc128391219"/>
            <w:r w:rsidRPr="00D3367F">
              <w:rPr>
                <w:b/>
                <w:bCs/>
              </w:rPr>
              <w:t>Ohio Housing Finance Agency</w:t>
            </w:r>
            <w:bookmarkEnd w:id="271"/>
            <w:bookmarkEnd w:id="272"/>
            <w:bookmarkEnd w:id="273"/>
          </w:p>
        </w:tc>
        <w:tc>
          <w:tcPr>
            <w:tcW w:w="701" w:type="dxa"/>
            <w:shd w:val="clear" w:color="auto" w:fill="auto"/>
          </w:tcPr>
          <w:p w14:paraId="713DFE70" w14:textId="77777777" w:rsidR="00681BA7" w:rsidRPr="00D3367F" w:rsidRDefault="00681BA7" w:rsidP="00D3367F">
            <w:bookmarkStart w:id="274" w:name="_Toc343392"/>
            <w:bookmarkStart w:id="275" w:name="_Toc97727527"/>
            <w:bookmarkStart w:id="276" w:name="_Toc128391220"/>
            <w:r w:rsidRPr="00D3367F">
              <w:t>(x)</w:t>
            </w:r>
            <w:bookmarkEnd w:id="274"/>
            <w:bookmarkEnd w:id="275"/>
            <w:bookmarkEnd w:id="276"/>
          </w:p>
        </w:tc>
        <w:tc>
          <w:tcPr>
            <w:tcW w:w="6232" w:type="dxa"/>
            <w:shd w:val="clear" w:color="auto" w:fill="auto"/>
          </w:tcPr>
          <w:p w14:paraId="72570AFE" w14:textId="67571806" w:rsidR="00681BA7" w:rsidRPr="00D3367F" w:rsidRDefault="00681BA7" w:rsidP="00D3367F">
            <w:bookmarkStart w:id="277" w:name="_Toc343393"/>
            <w:bookmarkStart w:id="278" w:name="_Toc97727528"/>
            <w:bookmarkStart w:id="279" w:name="_Toc128391221"/>
            <w:r w:rsidRPr="00D3367F">
              <w:t xml:space="preserve">Financial statements </w:t>
            </w:r>
            <w:r w:rsidR="00D4661C">
              <w:t>or</w:t>
            </w:r>
            <w:r w:rsidRPr="00D3367F">
              <w:t xml:space="preserve"> data any person submits for any purpose to the Ohio Housing Finance Agency or the Controlling Board in connection with applying for, receiving, or accounting for financial assistance from the agency, and information that identifies any individual who benefits directly or indirectly from financial assistance from the agency.</w:t>
            </w:r>
            <w:r w:rsidRPr="00D3367F">
              <w:rPr>
                <w:rStyle w:val="EndnoteReference"/>
                <w:rFonts w:asciiTheme="minorHAnsi" w:hAnsiTheme="minorHAnsi" w:cstheme="minorHAnsi"/>
              </w:rPr>
              <w:endnoteReference w:id="310"/>
            </w:r>
            <w:bookmarkEnd w:id="277"/>
            <w:bookmarkEnd w:id="278"/>
            <w:bookmarkEnd w:id="279"/>
          </w:p>
        </w:tc>
      </w:tr>
      <w:tr w:rsidR="00681BA7" w:rsidRPr="00704A17" w14:paraId="7F03BE84" w14:textId="77777777" w:rsidTr="004B1375">
        <w:trPr>
          <w:cantSplit/>
        </w:trPr>
        <w:tc>
          <w:tcPr>
            <w:tcW w:w="2535" w:type="dxa"/>
            <w:shd w:val="clear" w:color="auto" w:fill="auto"/>
          </w:tcPr>
          <w:p w14:paraId="0BFEEF86" w14:textId="524B345A" w:rsidR="00681BA7" w:rsidRPr="00D3367F" w:rsidRDefault="00681BA7" w:rsidP="00D3367F">
            <w:pPr>
              <w:rPr>
                <w:b/>
                <w:bCs/>
              </w:rPr>
            </w:pPr>
            <w:bookmarkStart w:id="280" w:name="_Toc343394"/>
            <w:bookmarkStart w:id="281" w:name="_Toc97727529"/>
            <w:bookmarkStart w:id="282" w:name="_Toc128391222"/>
            <w:r w:rsidRPr="00D3367F">
              <w:rPr>
                <w:b/>
                <w:bCs/>
              </w:rPr>
              <w:t>Foster care/</w:t>
            </w:r>
            <w:r w:rsidR="00611596" w:rsidRPr="00D3367F">
              <w:rPr>
                <w:b/>
                <w:bCs/>
              </w:rPr>
              <w:t>childcare</w:t>
            </w:r>
            <w:r w:rsidRPr="00D3367F">
              <w:rPr>
                <w:b/>
                <w:bCs/>
              </w:rPr>
              <w:t xml:space="preserve"> centers</w:t>
            </w:r>
            <w:bookmarkEnd w:id="280"/>
            <w:bookmarkEnd w:id="281"/>
            <w:bookmarkEnd w:id="282"/>
          </w:p>
        </w:tc>
        <w:tc>
          <w:tcPr>
            <w:tcW w:w="701" w:type="dxa"/>
            <w:shd w:val="clear" w:color="auto" w:fill="auto"/>
          </w:tcPr>
          <w:p w14:paraId="4E37A545" w14:textId="77777777" w:rsidR="00681BA7" w:rsidRPr="00D3367F" w:rsidRDefault="00681BA7" w:rsidP="00D3367F">
            <w:bookmarkStart w:id="283" w:name="_Toc343395"/>
            <w:bookmarkStart w:id="284" w:name="_Toc97727530"/>
            <w:bookmarkStart w:id="285" w:name="_Toc128391223"/>
            <w:r w:rsidRPr="00D3367F">
              <w:t>(y)</w:t>
            </w:r>
            <w:bookmarkEnd w:id="283"/>
            <w:bookmarkEnd w:id="284"/>
            <w:bookmarkEnd w:id="285"/>
          </w:p>
        </w:tc>
        <w:tc>
          <w:tcPr>
            <w:tcW w:w="6232" w:type="dxa"/>
            <w:shd w:val="clear" w:color="auto" w:fill="auto"/>
          </w:tcPr>
          <w:p w14:paraId="47CC2DBE" w14:textId="4A0BF545" w:rsidR="00681BA7" w:rsidRPr="00D3367F" w:rsidRDefault="00681BA7" w:rsidP="00D3367F">
            <w:bookmarkStart w:id="286" w:name="_Toc343396"/>
            <w:bookmarkStart w:id="287" w:name="_Toc97727531"/>
            <w:bookmarkStart w:id="288" w:name="_Toc128391224"/>
            <w:r w:rsidRPr="00D3367F">
              <w:t xml:space="preserve">Records and information relating to foster care givers and children housed in foster care, as well as children enrolled in licensed, certified, or registered </w:t>
            </w:r>
            <w:r w:rsidR="00611596" w:rsidRPr="00D3367F">
              <w:t>childcare</w:t>
            </w:r>
            <w:r w:rsidRPr="00D3367F">
              <w:t xml:space="preserve"> centers.  This exemption applies only to records held by county agencies or the Ohio Department of Job and Family Services.</w:t>
            </w:r>
            <w:r w:rsidRPr="00D3367F">
              <w:rPr>
                <w:rStyle w:val="EndnoteReference"/>
                <w:rFonts w:asciiTheme="minorHAnsi" w:hAnsiTheme="minorHAnsi" w:cstheme="minorHAnsi"/>
              </w:rPr>
              <w:endnoteReference w:id="311"/>
            </w:r>
            <w:bookmarkEnd w:id="286"/>
            <w:bookmarkEnd w:id="287"/>
            <w:bookmarkEnd w:id="288"/>
          </w:p>
        </w:tc>
      </w:tr>
      <w:tr w:rsidR="00681BA7" w:rsidRPr="002B2C2E" w14:paraId="4F516DE5" w14:textId="77777777" w:rsidTr="004B1375">
        <w:trPr>
          <w:cantSplit/>
        </w:trPr>
        <w:tc>
          <w:tcPr>
            <w:tcW w:w="2535" w:type="dxa"/>
            <w:shd w:val="clear" w:color="auto" w:fill="auto"/>
          </w:tcPr>
          <w:p w14:paraId="4DB0CEC1" w14:textId="0C4AEB5D" w:rsidR="00681BA7" w:rsidRPr="00D3367F" w:rsidRDefault="00681BA7" w:rsidP="00D3367F">
            <w:pPr>
              <w:rPr>
                <w:b/>
                <w:bCs/>
              </w:rPr>
            </w:pPr>
            <w:bookmarkStart w:id="289" w:name="_Toc343397"/>
            <w:bookmarkStart w:id="290" w:name="_Toc97727532"/>
            <w:bookmarkStart w:id="291" w:name="_Toc128391225"/>
            <w:r w:rsidRPr="00D3367F">
              <w:rPr>
                <w:b/>
                <w:bCs/>
              </w:rPr>
              <w:t>Military discharges</w:t>
            </w:r>
            <w:bookmarkEnd w:id="289"/>
            <w:bookmarkEnd w:id="290"/>
            <w:bookmarkEnd w:id="291"/>
          </w:p>
        </w:tc>
        <w:tc>
          <w:tcPr>
            <w:tcW w:w="701" w:type="dxa"/>
            <w:shd w:val="clear" w:color="auto" w:fill="auto"/>
          </w:tcPr>
          <w:p w14:paraId="12F8A53F" w14:textId="77777777" w:rsidR="00681BA7" w:rsidRPr="00D3367F" w:rsidRDefault="00681BA7" w:rsidP="00D3367F">
            <w:bookmarkStart w:id="292" w:name="_Toc343398"/>
            <w:bookmarkStart w:id="293" w:name="_Toc97727533"/>
            <w:bookmarkStart w:id="294" w:name="_Toc128391226"/>
            <w:r w:rsidRPr="00D3367F">
              <w:t>(z)</w:t>
            </w:r>
            <w:bookmarkEnd w:id="292"/>
            <w:bookmarkEnd w:id="293"/>
            <w:bookmarkEnd w:id="294"/>
          </w:p>
        </w:tc>
        <w:tc>
          <w:tcPr>
            <w:tcW w:w="6232" w:type="dxa"/>
            <w:shd w:val="clear" w:color="auto" w:fill="auto"/>
          </w:tcPr>
          <w:p w14:paraId="67E82146" w14:textId="77777777" w:rsidR="00681BA7" w:rsidRPr="00D3367F" w:rsidRDefault="00681BA7" w:rsidP="00D3367F">
            <w:bookmarkStart w:id="295" w:name="_Toc343399"/>
            <w:bookmarkStart w:id="296" w:name="_Toc97727534"/>
            <w:bookmarkStart w:id="297" w:name="_Toc128391227"/>
            <w:r w:rsidRPr="00D3367F">
              <w:t>Military discharges recorded with a county recorder.</w:t>
            </w:r>
            <w:r w:rsidRPr="00D3367F">
              <w:rPr>
                <w:rStyle w:val="EndnoteReference"/>
                <w:rFonts w:asciiTheme="minorHAnsi" w:hAnsiTheme="minorHAnsi" w:cstheme="minorHAnsi"/>
              </w:rPr>
              <w:endnoteReference w:id="312"/>
            </w:r>
            <w:bookmarkEnd w:id="295"/>
            <w:bookmarkEnd w:id="296"/>
            <w:bookmarkEnd w:id="297"/>
          </w:p>
        </w:tc>
      </w:tr>
      <w:tr w:rsidR="00681BA7" w:rsidRPr="00704A17" w14:paraId="18A1AD3B" w14:textId="77777777" w:rsidTr="004B1375">
        <w:trPr>
          <w:cantSplit/>
        </w:trPr>
        <w:tc>
          <w:tcPr>
            <w:tcW w:w="2535" w:type="dxa"/>
            <w:shd w:val="clear" w:color="auto" w:fill="auto"/>
          </w:tcPr>
          <w:p w14:paraId="01F1C083" w14:textId="4DA00D68" w:rsidR="00681BA7" w:rsidRPr="00D3367F" w:rsidRDefault="00681BA7" w:rsidP="00D3367F">
            <w:pPr>
              <w:rPr>
                <w:b/>
                <w:bCs/>
              </w:rPr>
            </w:pPr>
            <w:bookmarkStart w:id="298" w:name="_Toc343400"/>
            <w:bookmarkStart w:id="299" w:name="_Toc97727535"/>
            <w:bookmarkStart w:id="300" w:name="_Toc128391228"/>
            <w:r w:rsidRPr="00D3367F">
              <w:rPr>
                <w:b/>
                <w:bCs/>
              </w:rPr>
              <w:t>Public utility usage information</w:t>
            </w:r>
            <w:bookmarkEnd w:id="298"/>
            <w:bookmarkEnd w:id="299"/>
            <w:bookmarkEnd w:id="300"/>
          </w:p>
        </w:tc>
        <w:tc>
          <w:tcPr>
            <w:tcW w:w="701" w:type="dxa"/>
            <w:shd w:val="clear" w:color="auto" w:fill="auto"/>
          </w:tcPr>
          <w:p w14:paraId="32731EA8" w14:textId="77777777" w:rsidR="00681BA7" w:rsidRPr="00D3367F" w:rsidRDefault="00681BA7" w:rsidP="00D3367F">
            <w:bookmarkStart w:id="301" w:name="_Toc343401"/>
            <w:bookmarkStart w:id="302" w:name="_Toc97727536"/>
            <w:bookmarkStart w:id="303" w:name="_Toc128391229"/>
            <w:r w:rsidRPr="00D3367F">
              <w:t>(aa)</w:t>
            </w:r>
            <w:bookmarkEnd w:id="301"/>
            <w:bookmarkEnd w:id="302"/>
            <w:bookmarkEnd w:id="303"/>
          </w:p>
        </w:tc>
        <w:tc>
          <w:tcPr>
            <w:tcW w:w="6232" w:type="dxa"/>
            <w:shd w:val="clear" w:color="auto" w:fill="auto"/>
          </w:tcPr>
          <w:p w14:paraId="056BEE4D" w14:textId="77777777" w:rsidR="00681BA7" w:rsidRPr="00D3367F" w:rsidRDefault="00681BA7" w:rsidP="00D3367F">
            <w:bookmarkStart w:id="304" w:name="_Toc343402"/>
            <w:bookmarkStart w:id="305" w:name="_Toc97727537"/>
            <w:bookmarkStart w:id="306" w:name="_Toc128391230"/>
            <w:r w:rsidRPr="00D3367F">
              <w:t>Usage information including names and addresses of specific residential and commercial customers of a municipally owned or operated public utility.</w:t>
            </w:r>
            <w:r w:rsidRPr="00D3367F">
              <w:rPr>
                <w:rStyle w:val="EndnoteReference"/>
                <w:rFonts w:asciiTheme="minorHAnsi" w:hAnsiTheme="minorHAnsi" w:cstheme="minorHAnsi"/>
              </w:rPr>
              <w:endnoteReference w:id="313"/>
            </w:r>
            <w:bookmarkEnd w:id="304"/>
            <w:bookmarkEnd w:id="305"/>
            <w:bookmarkEnd w:id="306"/>
          </w:p>
        </w:tc>
      </w:tr>
      <w:tr w:rsidR="00681BA7" w:rsidRPr="002B2C2E" w14:paraId="15454109" w14:textId="77777777" w:rsidTr="004B1375">
        <w:trPr>
          <w:cantSplit/>
        </w:trPr>
        <w:tc>
          <w:tcPr>
            <w:tcW w:w="2535" w:type="dxa"/>
            <w:shd w:val="clear" w:color="auto" w:fill="auto"/>
          </w:tcPr>
          <w:p w14:paraId="0D7F7F30" w14:textId="081F0D7D" w:rsidR="00681BA7" w:rsidRPr="00D3367F" w:rsidRDefault="00681BA7" w:rsidP="00D3367F">
            <w:pPr>
              <w:rPr>
                <w:b/>
                <w:bCs/>
              </w:rPr>
            </w:pPr>
            <w:bookmarkStart w:id="307" w:name="_Toc343403"/>
            <w:bookmarkStart w:id="308" w:name="_Toc97727538"/>
            <w:bookmarkStart w:id="309" w:name="_Toc128391231"/>
            <w:r w:rsidRPr="00D3367F">
              <w:rPr>
                <w:b/>
                <w:bCs/>
              </w:rPr>
              <w:t>JobsOhio</w:t>
            </w:r>
            <w:bookmarkEnd w:id="307"/>
            <w:bookmarkEnd w:id="308"/>
            <w:bookmarkEnd w:id="309"/>
          </w:p>
        </w:tc>
        <w:tc>
          <w:tcPr>
            <w:tcW w:w="701" w:type="dxa"/>
            <w:shd w:val="clear" w:color="auto" w:fill="auto"/>
          </w:tcPr>
          <w:p w14:paraId="6F3F043D" w14:textId="77777777" w:rsidR="00681BA7" w:rsidRPr="00D3367F" w:rsidRDefault="00681BA7" w:rsidP="00D3367F">
            <w:bookmarkStart w:id="310" w:name="_Toc343404"/>
            <w:bookmarkStart w:id="311" w:name="_Toc97727539"/>
            <w:bookmarkStart w:id="312" w:name="_Toc128391232"/>
            <w:r w:rsidRPr="00D3367F">
              <w:t>(bb)</w:t>
            </w:r>
            <w:bookmarkEnd w:id="310"/>
            <w:bookmarkEnd w:id="311"/>
            <w:bookmarkEnd w:id="312"/>
          </w:p>
        </w:tc>
        <w:tc>
          <w:tcPr>
            <w:tcW w:w="6232" w:type="dxa"/>
            <w:shd w:val="clear" w:color="auto" w:fill="auto"/>
          </w:tcPr>
          <w:p w14:paraId="5F929404" w14:textId="77777777" w:rsidR="00681BA7" w:rsidRPr="00D3367F" w:rsidRDefault="00681BA7" w:rsidP="00D3367F">
            <w:bookmarkStart w:id="313" w:name="_Toc343405"/>
            <w:bookmarkStart w:id="314" w:name="_Toc97727540"/>
            <w:bookmarkStart w:id="315" w:name="_Toc128391233"/>
            <w:r w:rsidRPr="00D3367F">
              <w:t>Records described in R.C. 187.04(C) (relating to JobsOhio) that are not designated to be made available to the public as provided in that division.</w:t>
            </w:r>
            <w:r w:rsidRPr="00D3367F">
              <w:rPr>
                <w:rStyle w:val="EndnoteReference"/>
                <w:rFonts w:asciiTheme="minorHAnsi" w:hAnsiTheme="minorHAnsi" w:cstheme="minorHAnsi"/>
              </w:rPr>
              <w:endnoteReference w:id="314"/>
            </w:r>
            <w:bookmarkEnd w:id="313"/>
            <w:bookmarkEnd w:id="314"/>
            <w:bookmarkEnd w:id="315"/>
          </w:p>
        </w:tc>
      </w:tr>
      <w:tr w:rsidR="00681BA7" w:rsidRPr="00704A17" w14:paraId="4BA2FDE6" w14:textId="77777777" w:rsidTr="004B1375">
        <w:trPr>
          <w:cantSplit/>
        </w:trPr>
        <w:tc>
          <w:tcPr>
            <w:tcW w:w="2535" w:type="dxa"/>
            <w:shd w:val="clear" w:color="auto" w:fill="auto"/>
          </w:tcPr>
          <w:p w14:paraId="1CDCB91C" w14:textId="2E1F89C6" w:rsidR="00681BA7" w:rsidRPr="00D3367F" w:rsidRDefault="00681BA7" w:rsidP="00D3367F">
            <w:pPr>
              <w:rPr>
                <w:b/>
                <w:bCs/>
              </w:rPr>
            </w:pPr>
            <w:bookmarkStart w:id="316" w:name="_Toc343406"/>
            <w:bookmarkStart w:id="317" w:name="_Toc97727541"/>
            <w:bookmarkStart w:id="318" w:name="_Toc128391234"/>
            <w:r w:rsidRPr="00D3367F">
              <w:rPr>
                <w:b/>
                <w:bCs/>
              </w:rPr>
              <w:t>Lethal injection</w:t>
            </w:r>
            <w:bookmarkEnd w:id="316"/>
            <w:bookmarkEnd w:id="317"/>
            <w:bookmarkEnd w:id="318"/>
          </w:p>
        </w:tc>
        <w:tc>
          <w:tcPr>
            <w:tcW w:w="701" w:type="dxa"/>
            <w:shd w:val="clear" w:color="auto" w:fill="auto"/>
          </w:tcPr>
          <w:p w14:paraId="5AB61B8C" w14:textId="77777777" w:rsidR="00681BA7" w:rsidRPr="00D3367F" w:rsidRDefault="00681BA7" w:rsidP="00D3367F">
            <w:bookmarkStart w:id="319" w:name="_Toc343407"/>
            <w:bookmarkStart w:id="320" w:name="_Toc97727542"/>
            <w:bookmarkStart w:id="321" w:name="_Toc128391235"/>
            <w:r w:rsidRPr="00D3367F">
              <w:t>(cc)</w:t>
            </w:r>
            <w:bookmarkEnd w:id="319"/>
            <w:bookmarkEnd w:id="320"/>
            <w:bookmarkEnd w:id="321"/>
          </w:p>
        </w:tc>
        <w:tc>
          <w:tcPr>
            <w:tcW w:w="6232" w:type="dxa"/>
            <w:shd w:val="clear" w:color="auto" w:fill="auto"/>
          </w:tcPr>
          <w:p w14:paraId="174BA26D" w14:textId="1CCB7977" w:rsidR="00681BA7" w:rsidRPr="00D3367F" w:rsidRDefault="00681BA7" w:rsidP="00D3367F">
            <w:bookmarkStart w:id="322" w:name="_Toc343408"/>
            <w:bookmarkStart w:id="323" w:name="_Toc97727543"/>
            <w:bookmarkStart w:id="324" w:name="_Toc128391236"/>
            <w:r w:rsidRPr="00D3367F">
              <w:t>Information and records concerning drugs used for lethal injections under R.C. 2949.221(B) and (C).</w:t>
            </w:r>
            <w:r w:rsidRPr="00D3367F">
              <w:rPr>
                <w:rStyle w:val="EndnoteReference"/>
                <w:rFonts w:asciiTheme="minorHAnsi" w:hAnsiTheme="minorHAnsi" w:cstheme="minorHAnsi"/>
              </w:rPr>
              <w:endnoteReference w:id="315"/>
            </w:r>
            <w:bookmarkEnd w:id="322"/>
            <w:bookmarkEnd w:id="323"/>
            <w:bookmarkEnd w:id="324"/>
          </w:p>
        </w:tc>
      </w:tr>
      <w:tr w:rsidR="00681BA7" w:rsidRPr="002B2C2E" w14:paraId="62798475" w14:textId="77777777" w:rsidTr="004B1375">
        <w:trPr>
          <w:cantSplit/>
        </w:trPr>
        <w:tc>
          <w:tcPr>
            <w:tcW w:w="2535" w:type="dxa"/>
            <w:shd w:val="clear" w:color="auto" w:fill="auto"/>
          </w:tcPr>
          <w:p w14:paraId="46F33347" w14:textId="03048F7F" w:rsidR="00681BA7" w:rsidRPr="00D3367F" w:rsidRDefault="00681BA7" w:rsidP="00D3367F">
            <w:pPr>
              <w:rPr>
                <w:b/>
                <w:bCs/>
              </w:rPr>
            </w:pPr>
            <w:bookmarkStart w:id="325" w:name="_Toc343409"/>
            <w:bookmarkStart w:id="326" w:name="_Toc97727544"/>
            <w:bookmarkStart w:id="327" w:name="_Toc128391237"/>
            <w:r w:rsidRPr="00D3367F">
              <w:rPr>
                <w:b/>
                <w:bCs/>
              </w:rPr>
              <w:t>Personal information</w:t>
            </w:r>
            <w:bookmarkEnd w:id="325"/>
            <w:bookmarkEnd w:id="326"/>
            <w:bookmarkEnd w:id="327"/>
          </w:p>
        </w:tc>
        <w:tc>
          <w:tcPr>
            <w:tcW w:w="701" w:type="dxa"/>
            <w:shd w:val="clear" w:color="auto" w:fill="auto"/>
          </w:tcPr>
          <w:p w14:paraId="7B02F2A5" w14:textId="77777777" w:rsidR="00681BA7" w:rsidRPr="00D3367F" w:rsidRDefault="00681BA7" w:rsidP="00D3367F">
            <w:bookmarkStart w:id="328" w:name="_Toc343410"/>
            <w:bookmarkStart w:id="329" w:name="_Toc97727545"/>
            <w:bookmarkStart w:id="330" w:name="_Toc128391238"/>
            <w:r w:rsidRPr="00D3367F">
              <w:t>(dd)</w:t>
            </w:r>
            <w:bookmarkEnd w:id="328"/>
            <w:bookmarkEnd w:id="329"/>
            <w:bookmarkEnd w:id="330"/>
          </w:p>
        </w:tc>
        <w:tc>
          <w:tcPr>
            <w:tcW w:w="6232" w:type="dxa"/>
            <w:shd w:val="clear" w:color="auto" w:fill="auto"/>
          </w:tcPr>
          <w:p w14:paraId="3B23AB90" w14:textId="0C013F0B" w:rsidR="00681BA7" w:rsidRPr="00D3367F" w:rsidRDefault="00681BA7" w:rsidP="00D3367F">
            <w:bookmarkStart w:id="331" w:name="_Toc343411"/>
            <w:bookmarkStart w:id="332" w:name="_Toc97727546"/>
            <w:bookmarkStart w:id="333" w:name="_Toc128391239"/>
            <w:r w:rsidRPr="00D3367F">
              <w:t xml:space="preserve">“Personal information,” </w:t>
            </w:r>
            <w:r w:rsidR="008614DE" w:rsidRPr="00D3367F">
              <w:t xml:space="preserve">as defined in R.C. 149.45, </w:t>
            </w:r>
            <w:r w:rsidRPr="00D3367F">
              <w:t>includ</w:t>
            </w:r>
            <w:r w:rsidR="008614DE" w:rsidRPr="00D3367F">
              <w:t>es</w:t>
            </w:r>
            <w:r w:rsidRPr="00D3367F">
              <w:t xml:space="preserve"> an individual’s social security number; state or federal tax identification number; driver’s license number or state identification number; checking account number, savings account number, credit card number, or debit card number; and demand deposit number, money market account number, mutual fund account number, or any other financial or medical account number.</w:t>
            </w:r>
            <w:r w:rsidRPr="00D3367F">
              <w:rPr>
                <w:rStyle w:val="EndnoteReference"/>
                <w:rFonts w:asciiTheme="minorHAnsi" w:hAnsiTheme="minorHAnsi" w:cstheme="minorHAnsi"/>
              </w:rPr>
              <w:endnoteReference w:id="316"/>
            </w:r>
            <w:bookmarkEnd w:id="331"/>
            <w:bookmarkEnd w:id="332"/>
            <w:bookmarkEnd w:id="333"/>
          </w:p>
        </w:tc>
      </w:tr>
      <w:tr w:rsidR="00681BA7" w:rsidRPr="00704A17" w14:paraId="4CDC85AE" w14:textId="77777777" w:rsidTr="004B1375">
        <w:trPr>
          <w:cantSplit/>
        </w:trPr>
        <w:tc>
          <w:tcPr>
            <w:tcW w:w="2535" w:type="dxa"/>
            <w:shd w:val="clear" w:color="auto" w:fill="auto"/>
          </w:tcPr>
          <w:p w14:paraId="6ADB71D7" w14:textId="0B715E25" w:rsidR="00681BA7" w:rsidRPr="00D3367F" w:rsidRDefault="00681BA7" w:rsidP="00D3367F">
            <w:pPr>
              <w:rPr>
                <w:b/>
                <w:bCs/>
              </w:rPr>
            </w:pPr>
            <w:bookmarkStart w:id="334" w:name="_Toc343412"/>
            <w:bookmarkStart w:id="335" w:name="_Toc97727547"/>
            <w:bookmarkStart w:id="336" w:name="_Toc128391240"/>
            <w:r w:rsidRPr="00D3367F">
              <w:rPr>
                <w:b/>
                <w:bCs/>
              </w:rPr>
              <w:lastRenderedPageBreak/>
              <w:t xml:space="preserve">Secretary of State’s </w:t>
            </w:r>
            <w:r w:rsidR="00244F01" w:rsidRPr="00D3367F">
              <w:rPr>
                <w:b/>
                <w:bCs/>
              </w:rPr>
              <w:t>a</w:t>
            </w:r>
            <w:r w:rsidRPr="00D3367F">
              <w:rPr>
                <w:b/>
                <w:bCs/>
              </w:rPr>
              <w:t xml:space="preserve">ddress </w:t>
            </w:r>
            <w:r w:rsidR="00244F01" w:rsidRPr="00D3367F">
              <w:rPr>
                <w:b/>
                <w:bCs/>
              </w:rPr>
              <w:t>co</w:t>
            </w:r>
            <w:r w:rsidRPr="00D3367F">
              <w:rPr>
                <w:b/>
                <w:bCs/>
              </w:rPr>
              <w:t xml:space="preserve">nfidentiality </w:t>
            </w:r>
            <w:r w:rsidR="00244F01" w:rsidRPr="00D3367F">
              <w:rPr>
                <w:b/>
                <w:bCs/>
              </w:rPr>
              <w:t>p</w:t>
            </w:r>
            <w:r w:rsidRPr="00D3367F">
              <w:rPr>
                <w:b/>
                <w:bCs/>
              </w:rPr>
              <w:t>rogram</w:t>
            </w:r>
            <w:bookmarkEnd w:id="334"/>
            <w:bookmarkEnd w:id="335"/>
            <w:bookmarkEnd w:id="336"/>
          </w:p>
        </w:tc>
        <w:tc>
          <w:tcPr>
            <w:tcW w:w="701" w:type="dxa"/>
            <w:shd w:val="clear" w:color="auto" w:fill="auto"/>
          </w:tcPr>
          <w:p w14:paraId="7FAB302D" w14:textId="77777777" w:rsidR="00681BA7" w:rsidRPr="00D3367F" w:rsidRDefault="00681BA7" w:rsidP="00D3367F">
            <w:bookmarkStart w:id="337" w:name="_Toc343413"/>
            <w:bookmarkStart w:id="338" w:name="_Toc97727548"/>
            <w:bookmarkStart w:id="339" w:name="_Toc128391241"/>
            <w:r w:rsidRPr="00D3367F">
              <w:t>(ee)</w:t>
            </w:r>
            <w:bookmarkEnd w:id="337"/>
            <w:bookmarkEnd w:id="338"/>
            <w:bookmarkEnd w:id="339"/>
          </w:p>
        </w:tc>
        <w:tc>
          <w:tcPr>
            <w:tcW w:w="6232" w:type="dxa"/>
            <w:shd w:val="clear" w:color="auto" w:fill="auto"/>
          </w:tcPr>
          <w:p w14:paraId="65641DEA" w14:textId="77777777" w:rsidR="00681BA7" w:rsidRPr="00D3367F" w:rsidRDefault="00681BA7" w:rsidP="00D3367F">
            <w:bookmarkStart w:id="340" w:name="_Toc343414"/>
            <w:bookmarkStart w:id="341" w:name="_Toc97727549"/>
            <w:bookmarkStart w:id="342" w:name="_Toc128391242"/>
            <w:r w:rsidRPr="00D3367F">
              <w:t>The confidential name, address, and other personally identifiable information of a program participant in the Secretary of State’s Address Confidentiality Program established under R.C. 111.41 to R.C. 111.47, including records or portions of records pertaining to that program that identify the number of program participants that reside within a precinct, ward, township, municipal corporation, county, or any other geographic area smaller than the state.</w:t>
            </w:r>
            <w:r w:rsidRPr="00D3367F">
              <w:rPr>
                <w:rStyle w:val="EndnoteReference"/>
                <w:rFonts w:asciiTheme="minorHAnsi" w:hAnsiTheme="minorHAnsi" w:cstheme="minorHAnsi"/>
              </w:rPr>
              <w:endnoteReference w:id="317"/>
            </w:r>
            <w:bookmarkEnd w:id="340"/>
            <w:bookmarkEnd w:id="341"/>
            <w:bookmarkEnd w:id="342"/>
          </w:p>
        </w:tc>
      </w:tr>
      <w:tr w:rsidR="00681BA7" w:rsidRPr="002B2C2E" w14:paraId="7C136BAD" w14:textId="77777777" w:rsidTr="004B1375">
        <w:trPr>
          <w:cantSplit/>
        </w:trPr>
        <w:tc>
          <w:tcPr>
            <w:tcW w:w="2535" w:type="dxa"/>
            <w:shd w:val="clear" w:color="auto" w:fill="auto"/>
          </w:tcPr>
          <w:p w14:paraId="43013EB9" w14:textId="654197B5" w:rsidR="00681BA7" w:rsidRPr="00D3367F" w:rsidRDefault="00681BA7" w:rsidP="00D3367F">
            <w:pPr>
              <w:rPr>
                <w:b/>
                <w:bCs/>
              </w:rPr>
            </w:pPr>
            <w:bookmarkStart w:id="343" w:name="_Toc343415"/>
            <w:bookmarkStart w:id="344" w:name="_Toc97727550"/>
            <w:bookmarkStart w:id="345" w:name="_Toc128391243"/>
            <w:r w:rsidRPr="00D3367F">
              <w:rPr>
                <w:b/>
                <w:bCs/>
              </w:rPr>
              <w:t>Military orders</w:t>
            </w:r>
            <w:bookmarkEnd w:id="343"/>
            <w:bookmarkEnd w:id="344"/>
            <w:bookmarkEnd w:id="345"/>
          </w:p>
        </w:tc>
        <w:tc>
          <w:tcPr>
            <w:tcW w:w="701" w:type="dxa"/>
            <w:shd w:val="clear" w:color="auto" w:fill="auto"/>
          </w:tcPr>
          <w:p w14:paraId="21D0293C" w14:textId="77777777" w:rsidR="00681BA7" w:rsidRPr="00D3367F" w:rsidRDefault="00681BA7" w:rsidP="00D3367F">
            <w:bookmarkStart w:id="346" w:name="_Toc343416"/>
            <w:bookmarkStart w:id="347" w:name="_Toc97727551"/>
            <w:bookmarkStart w:id="348" w:name="_Toc128391244"/>
            <w:r w:rsidRPr="00D3367F">
              <w:t>(ff)</w:t>
            </w:r>
            <w:bookmarkEnd w:id="346"/>
            <w:bookmarkEnd w:id="347"/>
            <w:bookmarkEnd w:id="348"/>
          </w:p>
        </w:tc>
        <w:tc>
          <w:tcPr>
            <w:tcW w:w="6232" w:type="dxa"/>
            <w:shd w:val="clear" w:color="auto" w:fill="auto"/>
          </w:tcPr>
          <w:p w14:paraId="49CA9719" w14:textId="58E386E1" w:rsidR="00681BA7" w:rsidRPr="00D3367F" w:rsidRDefault="00681BA7" w:rsidP="00D3367F">
            <w:bookmarkStart w:id="349" w:name="_Toc343417"/>
            <w:bookmarkStart w:id="350" w:name="_Toc97727552"/>
            <w:bookmarkStart w:id="351" w:name="_Toc128391245"/>
            <w:r w:rsidRPr="00D3367F">
              <w:t xml:space="preserve">Orders for active military service of an individual serving or with previous service in the </w:t>
            </w:r>
            <w:r w:rsidR="008614DE" w:rsidRPr="00D3367F">
              <w:t xml:space="preserve">U.S. </w:t>
            </w:r>
            <w:r w:rsidRPr="00D3367F">
              <w:t>armed forces, including a reserve component, or the Ohio organized militia.</w:t>
            </w:r>
            <w:r w:rsidRPr="00D3367F">
              <w:rPr>
                <w:rStyle w:val="EndnoteReference"/>
                <w:rFonts w:asciiTheme="minorHAnsi" w:hAnsiTheme="minorHAnsi" w:cstheme="minorHAnsi"/>
              </w:rPr>
              <w:endnoteReference w:id="318"/>
            </w:r>
            <w:bookmarkEnd w:id="349"/>
            <w:bookmarkEnd w:id="350"/>
            <w:bookmarkEnd w:id="351"/>
          </w:p>
        </w:tc>
      </w:tr>
      <w:tr w:rsidR="00681BA7" w:rsidRPr="00704A17" w14:paraId="7A3D5BC7" w14:textId="77777777" w:rsidTr="004B1375">
        <w:trPr>
          <w:cantSplit/>
        </w:trPr>
        <w:tc>
          <w:tcPr>
            <w:tcW w:w="2535" w:type="dxa"/>
            <w:shd w:val="clear" w:color="auto" w:fill="auto"/>
          </w:tcPr>
          <w:p w14:paraId="1016C4A3" w14:textId="46CFDBC2" w:rsidR="00681BA7" w:rsidRPr="00D3367F" w:rsidRDefault="00681BA7" w:rsidP="00D3367F">
            <w:pPr>
              <w:rPr>
                <w:b/>
                <w:bCs/>
              </w:rPr>
            </w:pPr>
            <w:bookmarkStart w:id="352" w:name="_Toc343418"/>
            <w:bookmarkStart w:id="353" w:name="_Toc97727553"/>
            <w:bookmarkStart w:id="354" w:name="_Toc128391246"/>
            <w:r w:rsidRPr="00D3367F">
              <w:rPr>
                <w:b/>
                <w:bCs/>
              </w:rPr>
              <w:t>Minors involved in school vehicle accidents</w:t>
            </w:r>
            <w:bookmarkEnd w:id="352"/>
            <w:bookmarkEnd w:id="353"/>
            <w:bookmarkEnd w:id="354"/>
          </w:p>
        </w:tc>
        <w:tc>
          <w:tcPr>
            <w:tcW w:w="701" w:type="dxa"/>
            <w:shd w:val="clear" w:color="auto" w:fill="auto"/>
          </w:tcPr>
          <w:p w14:paraId="54824D32" w14:textId="77777777" w:rsidR="00681BA7" w:rsidRPr="00D3367F" w:rsidRDefault="00681BA7" w:rsidP="00D3367F">
            <w:bookmarkStart w:id="355" w:name="_Toc343419"/>
            <w:bookmarkStart w:id="356" w:name="_Toc97727554"/>
            <w:bookmarkStart w:id="357" w:name="_Toc128391247"/>
            <w:r w:rsidRPr="00D3367F">
              <w:t>(gg)</w:t>
            </w:r>
            <w:bookmarkEnd w:id="355"/>
            <w:bookmarkEnd w:id="356"/>
            <w:bookmarkEnd w:id="357"/>
          </w:p>
        </w:tc>
        <w:tc>
          <w:tcPr>
            <w:tcW w:w="6232" w:type="dxa"/>
            <w:shd w:val="clear" w:color="auto" w:fill="auto"/>
          </w:tcPr>
          <w:p w14:paraId="25D868E8" w14:textId="77777777" w:rsidR="00681BA7" w:rsidRPr="00D3367F" w:rsidRDefault="00681BA7" w:rsidP="00D3367F">
            <w:bookmarkStart w:id="358" w:name="_Toc343420"/>
            <w:bookmarkStart w:id="359" w:name="_Toc97727555"/>
            <w:bookmarkStart w:id="360" w:name="_Toc128391248"/>
            <w:r w:rsidRPr="00D3367F">
              <w:t>“The name, address, contact information, or other personal information of an individual who is less than eighteen years of age that is included in any record related to a traffic accident involving a school vehicle in which the individual was an occupant at the time of the accident.”</w:t>
            </w:r>
            <w:r w:rsidRPr="00D3367F">
              <w:rPr>
                <w:rStyle w:val="EndnoteReference"/>
                <w:rFonts w:asciiTheme="minorHAnsi" w:hAnsiTheme="minorHAnsi" w:cstheme="minorHAnsi"/>
              </w:rPr>
              <w:endnoteReference w:id="319"/>
            </w:r>
            <w:bookmarkEnd w:id="358"/>
            <w:bookmarkEnd w:id="359"/>
            <w:bookmarkEnd w:id="360"/>
          </w:p>
        </w:tc>
      </w:tr>
      <w:tr w:rsidR="00681BA7" w:rsidRPr="002B2C2E" w14:paraId="49370E3C" w14:textId="77777777" w:rsidTr="004B1375">
        <w:trPr>
          <w:cantSplit/>
        </w:trPr>
        <w:tc>
          <w:tcPr>
            <w:tcW w:w="2535" w:type="dxa"/>
            <w:shd w:val="clear" w:color="auto" w:fill="auto"/>
          </w:tcPr>
          <w:p w14:paraId="1EF6D6C8" w14:textId="7FEDFA49" w:rsidR="00681BA7" w:rsidRPr="00D3367F" w:rsidRDefault="00681BA7" w:rsidP="00D3367F">
            <w:pPr>
              <w:rPr>
                <w:b/>
                <w:bCs/>
              </w:rPr>
            </w:pPr>
            <w:bookmarkStart w:id="361" w:name="_Toc343421"/>
            <w:bookmarkStart w:id="362" w:name="_Toc97727556"/>
            <w:bookmarkStart w:id="363" w:name="_Toc128391249"/>
            <w:r w:rsidRPr="00D3367F">
              <w:rPr>
                <w:b/>
                <w:bCs/>
              </w:rPr>
              <w:t>Claims for payment for health care</w:t>
            </w:r>
            <w:bookmarkEnd w:id="361"/>
            <w:bookmarkEnd w:id="362"/>
            <w:bookmarkEnd w:id="363"/>
          </w:p>
        </w:tc>
        <w:tc>
          <w:tcPr>
            <w:tcW w:w="701" w:type="dxa"/>
            <w:shd w:val="clear" w:color="auto" w:fill="auto"/>
          </w:tcPr>
          <w:p w14:paraId="7E9A894C" w14:textId="77777777" w:rsidR="00681BA7" w:rsidRPr="00D3367F" w:rsidRDefault="00681BA7" w:rsidP="00D3367F">
            <w:bookmarkStart w:id="364" w:name="_Toc343422"/>
            <w:bookmarkStart w:id="365" w:name="_Toc97727557"/>
            <w:bookmarkStart w:id="366" w:name="_Toc128391250"/>
            <w:r w:rsidRPr="00D3367F">
              <w:t>(hh)</w:t>
            </w:r>
            <w:bookmarkEnd w:id="364"/>
            <w:bookmarkEnd w:id="365"/>
            <w:bookmarkEnd w:id="366"/>
          </w:p>
        </w:tc>
        <w:tc>
          <w:tcPr>
            <w:tcW w:w="6232" w:type="dxa"/>
            <w:shd w:val="clear" w:color="auto" w:fill="auto"/>
          </w:tcPr>
          <w:p w14:paraId="0992363A" w14:textId="77777777" w:rsidR="00681BA7" w:rsidRPr="00D3367F" w:rsidRDefault="00681BA7" w:rsidP="00D3367F">
            <w:bookmarkStart w:id="367" w:name="_Toc343423"/>
            <w:bookmarkStart w:id="368" w:name="_Toc97727558"/>
            <w:bookmarkStart w:id="369" w:name="_Toc128391251"/>
            <w:r w:rsidRPr="00D3367F">
              <w:t>“Protected health information,” as defined in 45 C.F.R. 160.103, the HIPAA Privacy Rule, that is in a claim for payment for a health care product, service, or procedure, as well as any other health claims data in another document that reveals the identity of an individual who is the subject of the data or could be used to reveal that individual’s identity.</w:t>
            </w:r>
            <w:r w:rsidRPr="00D3367F">
              <w:rPr>
                <w:rStyle w:val="EndnoteReference"/>
                <w:rFonts w:asciiTheme="minorHAnsi" w:hAnsiTheme="minorHAnsi" w:cstheme="minorHAnsi"/>
              </w:rPr>
              <w:endnoteReference w:id="320"/>
            </w:r>
            <w:bookmarkEnd w:id="367"/>
            <w:bookmarkEnd w:id="368"/>
            <w:bookmarkEnd w:id="369"/>
          </w:p>
        </w:tc>
      </w:tr>
      <w:tr w:rsidR="00681BA7" w:rsidRPr="00704A17" w14:paraId="49C6F48F" w14:textId="77777777" w:rsidTr="004B1375">
        <w:trPr>
          <w:cantSplit/>
        </w:trPr>
        <w:tc>
          <w:tcPr>
            <w:tcW w:w="2535" w:type="dxa"/>
            <w:shd w:val="clear" w:color="auto" w:fill="auto"/>
          </w:tcPr>
          <w:p w14:paraId="6029F25B" w14:textId="4B2BE7E9" w:rsidR="00681BA7" w:rsidRPr="00D3367F" w:rsidRDefault="00681BA7" w:rsidP="00D3367F">
            <w:pPr>
              <w:rPr>
                <w:b/>
                <w:bCs/>
              </w:rPr>
            </w:pPr>
            <w:bookmarkStart w:id="370" w:name="_Toc97727559"/>
            <w:bookmarkStart w:id="371" w:name="_Toc128391252"/>
            <w:bookmarkStart w:id="372" w:name="_Toc343424"/>
            <w:r w:rsidRPr="00D3367F">
              <w:rPr>
                <w:b/>
                <w:bCs/>
              </w:rPr>
              <w:t>Depictions of victims</w:t>
            </w:r>
            <w:bookmarkEnd w:id="370"/>
            <w:bookmarkEnd w:id="371"/>
            <w:r w:rsidRPr="00D3367F">
              <w:rPr>
                <w:b/>
                <w:bCs/>
              </w:rPr>
              <w:t xml:space="preserve"> </w:t>
            </w:r>
            <w:bookmarkEnd w:id="372"/>
          </w:p>
        </w:tc>
        <w:tc>
          <w:tcPr>
            <w:tcW w:w="701" w:type="dxa"/>
            <w:shd w:val="clear" w:color="auto" w:fill="auto"/>
          </w:tcPr>
          <w:p w14:paraId="44436FBD" w14:textId="77777777" w:rsidR="00681BA7" w:rsidRPr="00D3367F" w:rsidRDefault="00681BA7" w:rsidP="00D3367F">
            <w:bookmarkStart w:id="373" w:name="_Toc343425"/>
            <w:bookmarkStart w:id="374" w:name="_Toc97727560"/>
            <w:bookmarkStart w:id="375" w:name="_Toc128391253"/>
            <w:r w:rsidRPr="00D3367F">
              <w:t>(ii)</w:t>
            </w:r>
            <w:bookmarkEnd w:id="373"/>
            <w:bookmarkEnd w:id="374"/>
            <w:bookmarkEnd w:id="375"/>
          </w:p>
        </w:tc>
        <w:tc>
          <w:tcPr>
            <w:tcW w:w="6232" w:type="dxa"/>
            <w:shd w:val="clear" w:color="auto" w:fill="auto"/>
          </w:tcPr>
          <w:p w14:paraId="6A2287F7" w14:textId="77777777" w:rsidR="00681BA7" w:rsidRPr="00D3367F" w:rsidRDefault="00681BA7" w:rsidP="00D3367F">
            <w:bookmarkStart w:id="376" w:name="_Toc343426"/>
            <w:bookmarkStart w:id="377" w:name="_Toc97727561"/>
            <w:bookmarkStart w:id="378" w:name="_Toc128391254"/>
            <w:r w:rsidRPr="00D3367F">
              <w:t>Depictions by photograph, film, videotape, or printed or digital image of either “a victim of an offense the release of which would be, to a reasonable person of ordinary sensibilities, an offensive and objectionable intrusion into the victim’s expectation of bodily privacy and integrity” or “captures or depicts the victim of a sexually oriented offense, as defined in section 2950.01 of the Revised Code, at the actual occurrence of that offense.”</w:t>
            </w:r>
            <w:r w:rsidRPr="00D3367F">
              <w:rPr>
                <w:rStyle w:val="EndnoteReference"/>
                <w:rFonts w:asciiTheme="minorHAnsi" w:hAnsiTheme="minorHAnsi" w:cstheme="minorHAnsi"/>
              </w:rPr>
              <w:endnoteReference w:id="321"/>
            </w:r>
            <w:bookmarkEnd w:id="376"/>
            <w:bookmarkEnd w:id="377"/>
            <w:bookmarkEnd w:id="378"/>
          </w:p>
        </w:tc>
      </w:tr>
      <w:tr w:rsidR="00EF488A" w:rsidRPr="00704A17" w14:paraId="6B98CA45" w14:textId="77777777" w:rsidTr="004B1375">
        <w:trPr>
          <w:cantSplit/>
        </w:trPr>
        <w:tc>
          <w:tcPr>
            <w:tcW w:w="2535" w:type="dxa"/>
            <w:shd w:val="clear" w:color="auto" w:fill="auto"/>
          </w:tcPr>
          <w:p w14:paraId="456723C0" w14:textId="1638CA3E" w:rsidR="00EF488A" w:rsidRPr="00D3367F" w:rsidRDefault="00EF488A" w:rsidP="00D3367F">
            <w:pPr>
              <w:rPr>
                <w:b/>
                <w:bCs/>
              </w:rPr>
            </w:pPr>
            <w:bookmarkStart w:id="379" w:name="_Toc343427"/>
            <w:bookmarkStart w:id="380" w:name="_Toc97727562"/>
            <w:bookmarkStart w:id="381" w:name="_Toc128391255"/>
            <w:r w:rsidRPr="00D3367F">
              <w:rPr>
                <w:b/>
                <w:bCs/>
              </w:rPr>
              <w:t>Restricted portions of dashboard camera and body camera</w:t>
            </w:r>
            <w:bookmarkEnd w:id="379"/>
            <w:bookmarkEnd w:id="380"/>
            <w:bookmarkEnd w:id="381"/>
          </w:p>
        </w:tc>
        <w:tc>
          <w:tcPr>
            <w:tcW w:w="701" w:type="dxa"/>
            <w:shd w:val="clear" w:color="auto" w:fill="auto"/>
          </w:tcPr>
          <w:p w14:paraId="20D34FD9" w14:textId="5E26EF56" w:rsidR="00EF488A" w:rsidRPr="00D3367F" w:rsidRDefault="00EF488A" w:rsidP="00D3367F">
            <w:bookmarkStart w:id="382" w:name="_Toc128391256"/>
            <w:r w:rsidRPr="00D3367F">
              <w:t>(jj)</w:t>
            </w:r>
            <w:bookmarkEnd w:id="382"/>
          </w:p>
        </w:tc>
        <w:tc>
          <w:tcPr>
            <w:tcW w:w="6232" w:type="dxa"/>
            <w:shd w:val="clear" w:color="auto" w:fill="auto"/>
          </w:tcPr>
          <w:p w14:paraId="689DC7CC" w14:textId="77777777" w:rsidR="00EF488A" w:rsidRPr="00D3367F" w:rsidRDefault="00EF488A" w:rsidP="00D3367F">
            <w:bookmarkStart w:id="383" w:name="_Toc128391257"/>
            <w:r w:rsidRPr="00D3367F">
              <w:t>Portions of a body-worn camera or dashboard camera recording that shows, communicates, or discloses any of the following:</w:t>
            </w:r>
            <w:bookmarkEnd w:id="383"/>
          </w:p>
          <w:p w14:paraId="0806C783" w14:textId="20AB36DD" w:rsidR="00EF488A" w:rsidRPr="00D3367F" w:rsidRDefault="00F76F10" w:rsidP="00D3367F">
            <w:r>
              <w:t xml:space="preserve">(1) </w:t>
            </w:r>
            <w:r w:rsidR="00EF488A" w:rsidRPr="00D3367F">
              <w:t>The image or identity of a child or information that could lead to the identification of a child who is the primary subject of the recording;</w:t>
            </w:r>
          </w:p>
          <w:p w14:paraId="65AAFC2A" w14:textId="5A49381C" w:rsidR="00EF488A" w:rsidRPr="00D3367F" w:rsidRDefault="00EF488A" w:rsidP="00D3367F">
            <w:bookmarkStart w:id="384" w:name="_Toc128391258"/>
            <w:r w:rsidRPr="00D3367F">
              <w:t>(continued on next page)</w:t>
            </w:r>
            <w:bookmarkEnd w:id="384"/>
          </w:p>
        </w:tc>
      </w:tr>
      <w:tr w:rsidR="00681BA7" w:rsidRPr="002B2C2E" w14:paraId="29F2A808" w14:textId="77777777" w:rsidTr="004B1375">
        <w:trPr>
          <w:cantSplit/>
          <w:trHeight w:val="12023"/>
        </w:trPr>
        <w:tc>
          <w:tcPr>
            <w:tcW w:w="2535" w:type="dxa"/>
            <w:shd w:val="clear" w:color="auto" w:fill="auto"/>
          </w:tcPr>
          <w:p w14:paraId="70A0E604" w14:textId="147163D7" w:rsidR="00681BA7" w:rsidRPr="00D3367F" w:rsidRDefault="00EF488A" w:rsidP="00D3367F">
            <w:pPr>
              <w:rPr>
                <w:b/>
                <w:bCs/>
                <w:iCs/>
              </w:rPr>
            </w:pPr>
            <w:bookmarkStart w:id="385" w:name="_Toc128391259"/>
            <w:r w:rsidRPr="00D3367F">
              <w:rPr>
                <w:b/>
                <w:bCs/>
                <w:iCs/>
              </w:rPr>
              <w:lastRenderedPageBreak/>
              <w:t>Restricted portions of dashboard camera and body camera</w:t>
            </w:r>
            <w:bookmarkEnd w:id="385"/>
          </w:p>
        </w:tc>
        <w:tc>
          <w:tcPr>
            <w:tcW w:w="701" w:type="dxa"/>
            <w:shd w:val="clear" w:color="auto" w:fill="auto"/>
          </w:tcPr>
          <w:p w14:paraId="67A52003" w14:textId="45E6D5D1" w:rsidR="00681BA7" w:rsidRPr="006A12FD" w:rsidRDefault="00681BA7" w:rsidP="00D3367F">
            <w:pPr>
              <w:rPr>
                <w:iCs/>
              </w:rPr>
            </w:pPr>
            <w:bookmarkStart w:id="386" w:name="_Toc343428"/>
            <w:bookmarkStart w:id="387" w:name="_Toc97727563"/>
            <w:bookmarkStart w:id="388" w:name="_Toc128391260"/>
            <w:r w:rsidRPr="006A12FD">
              <w:rPr>
                <w:iCs/>
              </w:rPr>
              <w:t>(</w:t>
            </w:r>
            <w:r w:rsidR="00B614EB" w:rsidRPr="006A12FD">
              <w:rPr>
                <w:iCs/>
              </w:rPr>
              <w:t>jj</w:t>
            </w:r>
            <w:r w:rsidRPr="006A12FD">
              <w:rPr>
                <w:iCs/>
              </w:rPr>
              <w:t>)</w:t>
            </w:r>
            <w:bookmarkEnd w:id="386"/>
            <w:bookmarkEnd w:id="387"/>
            <w:bookmarkEnd w:id="388"/>
          </w:p>
        </w:tc>
        <w:tc>
          <w:tcPr>
            <w:tcW w:w="6232" w:type="dxa"/>
            <w:shd w:val="clear" w:color="auto" w:fill="auto"/>
          </w:tcPr>
          <w:p w14:paraId="6ED49096" w14:textId="0671672F" w:rsidR="00EF488A" w:rsidRPr="006A12FD" w:rsidRDefault="00EF488A" w:rsidP="00D3367F">
            <w:pPr>
              <w:rPr>
                <w:iCs/>
              </w:rPr>
            </w:pPr>
            <w:r w:rsidRPr="006A12FD">
              <w:rPr>
                <w:iCs/>
              </w:rPr>
              <w:t>(continued from previous page)</w:t>
            </w:r>
          </w:p>
          <w:p w14:paraId="10B8B718" w14:textId="593937E2" w:rsidR="00681BA7" w:rsidRPr="006A12FD" w:rsidRDefault="00F76F10" w:rsidP="00D3367F">
            <w:pPr>
              <w:rPr>
                <w:iCs/>
              </w:rPr>
            </w:pPr>
            <w:r>
              <w:rPr>
                <w:iCs/>
              </w:rPr>
              <w:t xml:space="preserve">(2) </w:t>
            </w:r>
            <w:r w:rsidR="00681BA7" w:rsidRPr="006A12FD">
              <w:rPr>
                <w:iCs/>
              </w:rPr>
              <w:t xml:space="preserve">The death of a person or deceased person’s body, unless the death was caused by a </w:t>
            </w:r>
            <w:r w:rsidR="009C561E" w:rsidRPr="006A12FD">
              <w:rPr>
                <w:iCs/>
              </w:rPr>
              <w:t xml:space="preserve">correctional employee, youth services employee, or </w:t>
            </w:r>
            <w:r w:rsidR="00681BA7" w:rsidRPr="006A12FD">
              <w:rPr>
                <w:iCs/>
              </w:rPr>
              <w:t>peace officer or under certain other circumstances;</w:t>
            </w:r>
          </w:p>
          <w:p w14:paraId="1954C76C" w14:textId="06D1D955" w:rsidR="00681BA7" w:rsidRPr="006A12FD" w:rsidRDefault="00F76F10" w:rsidP="00D3367F">
            <w:pPr>
              <w:rPr>
                <w:iCs/>
              </w:rPr>
            </w:pPr>
            <w:r>
              <w:rPr>
                <w:iCs/>
              </w:rPr>
              <w:t xml:space="preserve">(3) </w:t>
            </w:r>
            <w:r w:rsidR="00681BA7" w:rsidRPr="006A12FD">
              <w:rPr>
                <w:iCs/>
              </w:rPr>
              <w:t xml:space="preserve">The death of a </w:t>
            </w:r>
            <w:r w:rsidR="009C561E" w:rsidRPr="006A12FD">
              <w:rPr>
                <w:iCs/>
              </w:rPr>
              <w:t xml:space="preserve">correctional employee, youth services employee, </w:t>
            </w:r>
            <w:r w:rsidR="00681BA7" w:rsidRPr="006A12FD">
              <w:rPr>
                <w:iCs/>
              </w:rPr>
              <w:t>peace officer or first responder that occurs when the decedent was performing official duties;</w:t>
            </w:r>
          </w:p>
          <w:p w14:paraId="64733A72" w14:textId="36BD7DCA" w:rsidR="00681BA7" w:rsidRPr="006A12FD" w:rsidRDefault="00F76F10" w:rsidP="00D3367F">
            <w:pPr>
              <w:rPr>
                <w:iCs/>
              </w:rPr>
            </w:pPr>
            <w:r>
              <w:rPr>
                <w:iCs/>
              </w:rPr>
              <w:t xml:space="preserve">(4) </w:t>
            </w:r>
            <w:r w:rsidR="00681BA7" w:rsidRPr="006A12FD">
              <w:rPr>
                <w:iCs/>
              </w:rPr>
              <w:t xml:space="preserve">Grievous bodily harm unless the injury was effected by a </w:t>
            </w:r>
            <w:r w:rsidR="009C561E" w:rsidRPr="006A12FD">
              <w:rPr>
                <w:iCs/>
              </w:rPr>
              <w:t xml:space="preserve">correctional employee, youth services employee, or a </w:t>
            </w:r>
            <w:r w:rsidR="00681BA7" w:rsidRPr="006A12FD">
              <w:rPr>
                <w:iCs/>
              </w:rPr>
              <w:t>peace officer;</w:t>
            </w:r>
          </w:p>
          <w:p w14:paraId="33961ACE" w14:textId="3FEB4907" w:rsidR="00681BA7" w:rsidRPr="006A12FD" w:rsidRDefault="00F76F10" w:rsidP="00D3367F">
            <w:pPr>
              <w:rPr>
                <w:iCs/>
              </w:rPr>
            </w:pPr>
            <w:r>
              <w:rPr>
                <w:iCs/>
              </w:rPr>
              <w:t xml:space="preserve">(5) </w:t>
            </w:r>
            <w:r w:rsidR="00681BA7" w:rsidRPr="006A12FD">
              <w:rPr>
                <w:iCs/>
              </w:rPr>
              <w:t xml:space="preserve">An act of severe violence against a person that results in serious physical harm unless the injury was effected by a </w:t>
            </w:r>
            <w:r w:rsidR="009C561E" w:rsidRPr="006A12FD">
              <w:rPr>
                <w:iCs/>
              </w:rPr>
              <w:t xml:space="preserve">correctional employee, youth services employee, or </w:t>
            </w:r>
            <w:r w:rsidR="00681BA7" w:rsidRPr="006A12FD">
              <w:rPr>
                <w:iCs/>
              </w:rPr>
              <w:t>peace officer;</w:t>
            </w:r>
          </w:p>
          <w:p w14:paraId="208F2030" w14:textId="4214FDA4" w:rsidR="00681BA7" w:rsidRPr="006A12FD" w:rsidRDefault="00F76F10" w:rsidP="00D3367F">
            <w:pPr>
              <w:rPr>
                <w:iCs/>
              </w:rPr>
            </w:pPr>
            <w:r>
              <w:rPr>
                <w:iCs/>
              </w:rPr>
              <w:t xml:space="preserve">(6) </w:t>
            </w:r>
            <w:r w:rsidR="00681BA7" w:rsidRPr="006A12FD">
              <w:rPr>
                <w:iCs/>
              </w:rPr>
              <w:t>Grievous bodily harm to, or an act of severe violence resulting in serious physical harm, against a</w:t>
            </w:r>
            <w:r w:rsidR="009C561E" w:rsidRPr="006A12FD">
              <w:rPr>
                <w:iCs/>
              </w:rPr>
              <w:t xml:space="preserve"> correctional employee, youth services employee, or</w:t>
            </w:r>
            <w:r w:rsidR="00681BA7" w:rsidRPr="006A12FD">
              <w:rPr>
                <w:iCs/>
              </w:rPr>
              <w:t xml:space="preserve"> peace officer or first responder while the injured person was performing official duties;</w:t>
            </w:r>
          </w:p>
          <w:p w14:paraId="2DD292A0" w14:textId="0A7E9FFD" w:rsidR="00681BA7" w:rsidRPr="006A12FD" w:rsidRDefault="00F76F10" w:rsidP="00D3367F">
            <w:pPr>
              <w:rPr>
                <w:iCs/>
              </w:rPr>
            </w:pPr>
            <w:r>
              <w:rPr>
                <w:iCs/>
              </w:rPr>
              <w:t xml:space="preserve">(7) </w:t>
            </w:r>
            <w:r w:rsidR="00681BA7" w:rsidRPr="006A12FD">
              <w:rPr>
                <w:iCs/>
              </w:rPr>
              <w:t>A person’s nude body;</w:t>
            </w:r>
          </w:p>
          <w:p w14:paraId="024FDF04" w14:textId="6E5409CA" w:rsidR="00681BA7" w:rsidRPr="006A12FD" w:rsidRDefault="00F76F10" w:rsidP="00D3367F">
            <w:pPr>
              <w:rPr>
                <w:iCs/>
              </w:rPr>
            </w:pPr>
            <w:r>
              <w:rPr>
                <w:iCs/>
              </w:rPr>
              <w:t xml:space="preserve">(8) </w:t>
            </w:r>
            <w:r w:rsidR="00681BA7" w:rsidRPr="006A12FD">
              <w:rPr>
                <w:iCs/>
              </w:rPr>
              <w:t>Protected health information, the identity of a person in a health care facility who is not the subject of a law enforcement encounter, or any other information in a health care facility that could identify a person who is not the subject of a law enforcement encounter;</w:t>
            </w:r>
          </w:p>
          <w:p w14:paraId="4D2B5C97" w14:textId="1F3BD1EA" w:rsidR="00681BA7" w:rsidRPr="006A12FD" w:rsidRDefault="00F76F10" w:rsidP="00D3367F">
            <w:pPr>
              <w:rPr>
                <w:iCs/>
              </w:rPr>
            </w:pPr>
            <w:r>
              <w:rPr>
                <w:iCs/>
              </w:rPr>
              <w:t xml:space="preserve">(9) </w:t>
            </w:r>
            <w:r w:rsidR="00681BA7" w:rsidRPr="006A12FD">
              <w:rPr>
                <w:iCs/>
              </w:rPr>
              <w:t>Information that could identify the alleged victim of a sex offense, menacing by stalking, or domestic violence;</w:t>
            </w:r>
          </w:p>
          <w:p w14:paraId="138BF948" w14:textId="6AB2F149" w:rsidR="00681BA7" w:rsidRPr="006A12FD" w:rsidRDefault="00F76F10" w:rsidP="00D3367F">
            <w:pPr>
              <w:rPr>
                <w:iCs/>
              </w:rPr>
            </w:pPr>
            <w:r>
              <w:rPr>
                <w:iCs/>
              </w:rPr>
              <w:t xml:space="preserve">(10) </w:t>
            </w:r>
            <w:r w:rsidR="00681BA7" w:rsidRPr="006A12FD">
              <w:rPr>
                <w:iCs/>
              </w:rPr>
              <w:t>Information that does not qualify as a confidential law enforcement investigatory record that could identify a confidential source if disclosure of the source or the information provided could reasonably be expected to threaten or endanger a person’s safety or property;</w:t>
            </w:r>
          </w:p>
          <w:p w14:paraId="7BE70343" w14:textId="37208649" w:rsidR="00681BA7" w:rsidRPr="006A12FD" w:rsidRDefault="00F76F10" w:rsidP="00D3367F">
            <w:pPr>
              <w:rPr>
                <w:iCs/>
              </w:rPr>
            </w:pPr>
            <w:r>
              <w:rPr>
                <w:iCs/>
              </w:rPr>
              <w:t xml:space="preserve">(11) </w:t>
            </w:r>
            <w:r w:rsidR="00681BA7" w:rsidRPr="006A12FD">
              <w:rPr>
                <w:iCs/>
              </w:rPr>
              <w:t>A person’s personal information who is not arrested, charged, or issued a written warning;</w:t>
            </w:r>
          </w:p>
          <w:p w14:paraId="687525D0" w14:textId="7F75D1AB" w:rsidR="00681BA7" w:rsidRPr="006A12FD" w:rsidRDefault="00F76F10" w:rsidP="00D3367F">
            <w:pPr>
              <w:rPr>
                <w:iCs/>
              </w:rPr>
            </w:pPr>
            <w:r>
              <w:rPr>
                <w:iCs/>
              </w:rPr>
              <w:t xml:space="preserve">(12) </w:t>
            </w:r>
            <w:r w:rsidR="00681BA7" w:rsidRPr="006A12FD">
              <w:rPr>
                <w:iCs/>
              </w:rPr>
              <w:t>Proprietary police contingency plans or tactics that are intended to prevent crime and maintain public order and safety;</w:t>
            </w:r>
          </w:p>
          <w:p w14:paraId="71387BCB" w14:textId="55E1B980" w:rsidR="00681BA7" w:rsidRPr="006A12FD" w:rsidRDefault="00F76F10" w:rsidP="00D3367F">
            <w:pPr>
              <w:rPr>
                <w:iCs/>
              </w:rPr>
            </w:pPr>
            <w:r>
              <w:rPr>
                <w:iCs/>
              </w:rPr>
              <w:t xml:space="preserve">(13) </w:t>
            </w:r>
            <w:r w:rsidR="00681BA7" w:rsidRPr="006A12FD">
              <w:rPr>
                <w:iCs/>
              </w:rPr>
              <w:t xml:space="preserve">Personal conversations </w:t>
            </w:r>
            <w:r w:rsidR="000B5F29" w:rsidRPr="006A12FD">
              <w:rPr>
                <w:iCs/>
              </w:rPr>
              <w:t xml:space="preserve">between peace officers </w:t>
            </w:r>
            <w:r w:rsidR="00681BA7" w:rsidRPr="006A12FD">
              <w:rPr>
                <w:iCs/>
              </w:rPr>
              <w:t>unrelated to work;</w:t>
            </w:r>
          </w:p>
          <w:p w14:paraId="1EF215C8" w14:textId="0608C4F3" w:rsidR="00681BA7" w:rsidRPr="006A12FD" w:rsidRDefault="00F76F10" w:rsidP="00D3367F">
            <w:pPr>
              <w:rPr>
                <w:iCs/>
              </w:rPr>
            </w:pPr>
            <w:r>
              <w:rPr>
                <w:iCs/>
              </w:rPr>
              <w:t xml:space="preserve">(14) </w:t>
            </w:r>
            <w:r w:rsidR="00681BA7" w:rsidRPr="006A12FD">
              <w:rPr>
                <w:iCs/>
              </w:rPr>
              <w:t>Conversations between peace officers and members of the public that do not concern law enforcement activities;</w:t>
            </w:r>
          </w:p>
          <w:p w14:paraId="2939D023" w14:textId="1E06F900" w:rsidR="00244F01" w:rsidRPr="006A12FD" w:rsidRDefault="00EF488A" w:rsidP="00D3367F">
            <w:pPr>
              <w:rPr>
                <w:iCs/>
              </w:rPr>
            </w:pPr>
            <w:r w:rsidRPr="006A12FD">
              <w:rPr>
                <w:iCs/>
              </w:rPr>
              <w:t>(continued on next page)</w:t>
            </w:r>
          </w:p>
        </w:tc>
      </w:tr>
      <w:tr w:rsidR="007904D3" w:rsidRPr="002B2C2E" w14:paraId="4DE566DA" w14:textId="77777777" w:rsidTr="004B1375">
        <w:trPr>
          <w:cantSplit/>
        </w:trPr>
        <w:tc>
          <w:tcPr>
            <w:tcW w:w="2535" w:type="dxa"/>
            <w:shd w:val="clear" w:color="auto" w:fill="auto"/>
          </w:tcPr>
          <w:p w14:paraId="5D250DAA" w14:textId="77777777" w:rsidR="007904D3" w:rsidRPr="00D3367F" w:rsidRDefault="007904D3" w:rsidP="00D3367F">
            <w:pPr>
              <w:rPr>
                <w:b/>
                <w:bCs/>
                <w:iCs/>
              </w:rPr>
            </w:pPr>
            <w:bookmarkStart w:id="389" w:name="_Toc97727565"/>
            <w:bookmarkStart w:id="390" w:name="_Toc128391261"/>
            <w:r w:rsidRPr="00D3367F">
              <w:rPr>
                <w:b/>
                <w:bCs/>
                <w:iCs/>
              </w:rPr>
              <w:lastRenderedPageBreak/>
              <w:t>Restricted portions of dashboard camera and body camera</w:t>
            </w:r>
            <w:bookmarkEnd w:id="389"/>
            <w:bookmarkEnd w:id="390"/>
          </w:p>
        </w:tc>
        <w:tc>
          <w:tcPr>
            <w:tcW w:w="701" w:type="dxa"/>
            <w:shd w:val="clear" w:color="auto" w:fill="auto"/>
          </w:tcPr>
          <w:p w14:paraId="718A1147" w14:textId="2C947237" w:rsidR="007904D3" w:rsidRPr="006A12FD" w:rsidRDefault="007904D3" w:rsidP="00D3367F">
            <w:pPr>
              <w:rPr>
                <w:iCs/>
              </w:rPr>
            </w:pPr>
            <w:bookmarkStart w:id="391" w:name="_Toc97727566"/>
            <w:bookmarkStart w:id="392" w:name="_Toc128391262"/>
            <w:r w:rsidRPr="006A12FD">
              <w:rPr>
                <w:iCs/>
              </w:rPr>
              <w:t>(</w:t>
            </w:r>
            <w:r w:rsidR="00B614EB" w:rsidRPr="006A12FD">
              <w:rPr>
                <w:iCs/>
              </w:rPr>
              <w:t>jj</w:t>
            </w:r>
            <w:r w:rsidRPr="006A12FD">
              <w:rPr>
                <w:iCs/>
              </w:rPr>
              <w:t>)</w:t>
            </w:r>
            <w:bookmarkEnd w:id="391"/>
            <w:bookmarkEnd w:id="392"/>
          </w:p>
        </w:tc>
        <w:tc>
          <w:tcPr>
            <w:tcW w:w="6232" w:type="dxa"/>
            <w:shd w:val="clear" w:color="auto" w:fill="auto"/>
          </w:tcPr>
          <w:p w14:paraId="58C5C322" w14:textId="66A9CB43" w:rsidR="007904D3" w:rsidRPr="006A12FD" w:rsidRDefault="007904D3" w:rsidP="00D3367F">
            <w:pPr>
              <w:rPr>
                <w:iCs/>
              </w:rPr>
            </w:pPr>
            <w:r w:rsidRPr="006A12FD">
              <w:rPr>
                <w:iCs/>
              </w:rPr>
              <w:t>(continued</w:t>
            </w:r>
            <w:r w:rsidR="00D8463C" w:rsidRPr="006A12FD">
              <w:rPr>
                <w:iCs/>
              </w:rPr>
              <w:t xml:space="preserve"> from previous page</w:t>
            </w:r>
            <w:r w:rsidRPr="006A12FD">
              <w:rPr>
                <w:iCs/>
              </w:rPr>
              <w:t>)</w:t>
            </w:r>
          </w:p>
          <w:p w14:paraId="280072DA" w14:textId="54EAA326" w:rsidR="009C561E" w:rsidRPr="006A12FD" w:rsidRDefault="00F76F10" w:rsidP="00D3367F">
            <w:pPr>
              <w:rPr>
                <w:iCs/>
              </w:rPr>
            </w:pPr>
            <w:r>
              <w:rPr>
                <w:iCs/>
              </w:rPr>
              <w:t xml:space="preserve">(15) </w:t>
            </w:r>
            <w:r w:rsidR="009C561E" w:rsidRPr="006A12FD">
              <w:rPr>
                <w:iCs/>
              </w:rPr>
              <w:t>The interior of a residence unless it is the location of an adversarial encounter with, or use of force by, a peace officer; or</w:t>
            </w:r>
          </w:p>
          <w:p w14:paraId="1AE7B923" w14:textId="29A63533" w:rsidR="00244F01" w:rsidRPr="006A12FD" w:rsidRDefault="00F76F10" w:rsidP="00D3367F">
            <w:pPr>
              <w:rPr>
                <w:iCs/>
              </w:rPr>
            </w:pPr>
            <w:r>
              <w:rPr>
                <w:iCs/>
              </w:rPr>
              <w:t xml:space="preserve">(16) </w:t>
            </w:r>
            <w:r w:rsidR="00244F01" w:rsidRPr="006A12FD">
              <w:rPr>
                <w:iCs/>
              </w:rPr>
              <w:t>The interior of a private business not open to the public unless it is the location of an adversarial encounter with, or use of force by, a peace officer.</w:t>
            </w:r>
            <w:r w:rsidR="00244F01" w:rsidRPr="006A12FD">
              <w:rPr>
                <w:rStyle w:val="EndnoteReference"/>
                <w:rFonts w:asciiTheme="minorHAnsi" w:hAnsiTheme="minorHAnsi" w:cstheme="minorHAnsi"/>
                <w:iCs/>
              </w:rPr>
              <w:endnoteReference w:id="322"/>
            </w:r>
          </w:p>
          <w:p w14:paraId="35DBD062" w14:textId="4D2EB13A" w:rsidR="007904D3" w:rsidRDefault="00F76F10" w:rsidP="00D3367F">
            <w:pPr>
              <w:rPr>
                <w:iCs/>
              </w:rPr>
            </w:pPr>
            <w:r>
              <w:rPr>
                <w:iCs/>
              </w:rPr>
              <w:t xml:space="preserve">(17) </w:t>
            </w:r>
            <w:r w:rsidR="007904D3" w:rsidRPr="006A12FD">
              <w:rPr>
                <w:iCs/>
              </w:rPr>
              <w:t xml:space="preserve">Restricted portions of camera recordings depicting death, grievous bodily harm, acts of severe violence resulting in serious physical harm, and nudity may be released with the consent of </w:t>
            </w:r>
            <w:r w:rsidR="00B614EB" w:rsidRPr="006A12FD">
              <w:rPr>
                <w:iCs/>
              </w:rPr>
              <w:t xml:space="preserve">the injured person, </w:t>
            </w:r>
            <w:r w:rsidR="007904D3" w:rsidRPr="006A12FD">
              <w:rPr>
                <w:iCs/>
              </w:rPr>
              <w:t>the decedent’s executor or administrator or the person/person’s guardian if the recording will not be used in connection with any probably or pending criminal proceeding or the recording has been used in connection with a criminal proceeding that was dismissed or for which a judgment has been entered pursuant to Rule 32 of the Rules of Criminal Procedure, and will not be used again in connection with any probably or pending criminal proceedings.</w:t>
            </w:r>
            <w:r w:rsidR="007904D3" w:rsidRPr="006A12FD">
              <w:rPr>
                <w:rStyle w:val="EndnoteReference"/>
                <w:rFonts w:asciiTheme="minorHAnsi" w:hAnsiTheme="minorHAnsi" w:cstheme="minorHAnsi"/>
                <w:iCs/>
              </w:rPr>
              <w:endnoteReference w:id="323"/>
            </w:r>
          </w:p>
          <w:p w14:paraId="477E442D" w14:textId="77777777" w:rsidR="00F76F10" w:rsidRPr="006A12FD" w:rsidRDefault="00F76F10" w:rsidP="00D3367F">
            <w:pPr>
              <w:rPr>
                <w:iCs/>
              </w:rPr>
            </w:pPr>
          </w:p>
          <w:p w14:paraId="72A0D587" w14:textId="77777777" w:rsidR="007904D3" w:rsidRDefault="007904D3" w:rsidP="00D3367F">
            <w:pPr>
              <w:rPr>
                <w:iCs/>
              </w:rPr>
            </w:pPr>
            <w:bookmarkStart w:id="393" w:name="_Toc97727567"/>
            <w:bookmarkStart w:id="394" w:name="_Toc128391263"/>
            <w:r w:rsidRPr="006A12FD">
              <w:rPr>
                <w:iCs/>
              </w:rPr>
              <w:t>If a person has been denied access to a restricted portion of a body-worn camera or dashboard camera recording, that person may file a mandamus action or a complaint with the clerk of the Court of Claims, seeking an order to release the recording.  The court shall order the release of the recording if it determines that the public interest in the recording substantially outweighs privacy and other interests asserted to deny release.</w:t>
            </w:r>
            <w:r w:rsidRPr="006A12FD">
              <w:rPr>
                <w:rStyle w:val="EndnoteReference"/>
                <w:rFonts w:asciiTheme="minorHAnsi" w:hAnsiTheme="minorHAnsi" w:cstheme="minorHAnsi"/>
                <w:iCs/>
              </w:rPr>
              <w:endnoteReference w:id="324"/>
            </w:r>
            <w:bookmarkEnd w:id="393"/>
            <w:bookmarkEnd w:id="394"/>
          </w:p>
          <w:p w14:paraId="11097762" w14:textId="77777777" w:rsidR="00F76F10" w:rsidRDefault="00F76F10" w:rsidP="00D3367F">
            <w:pPr>
              <w:rPr>
                <w:iCs/>
              </w:rPr>
            </w:pPr>
          </w:p>
          <w:p w14:paraId="4CD6220F" w14:textId="3AAD825F" w:rsidR="00F76F10" w:rsidRPr="006A12FD" w:rsidRDefault="00F76F10" w:rsidP="00D3367F">
            <w:pPr>
              <w:rPr>
                <w:iCs/>
              </w:rPr>
            </w:pPr>
            <w:r w:rsidRPr="00D3367F">
              <w:t xml:space="preserve">Refer to Chapter Four: </w:t>
            </w:r>
            <w:r>
              <w:t>B</w:t>
            </w:r>
            <w:r w:rsidRPr="00D3367F">
              <w:t>.</w:t>
            </w:r>
            <w:r>
              <w:t>1</w:t>
            </w:r>
            <w:r w:rsidRPr="00D3367F">
              <w:t>. “</w:t>
            </w:r>
            <w:r>
              <w:t>Body-worn and dashboard camera recordings,</w:t>
            </w:r>
            <w:r w:rsidRPr="00D3367F">
              <w:t>” for additional discussion of this exemption.</w:t>
            </w:r>
          </w:p>
        </w:tc>
      </w:tr>
      <w:tr w:rsidR="000B5F29" w:rsidRPr="002B2C2E" w14:paraId="3C016CBB" w14:textId="77777777" w:rsidTr="004B1375">
        <w:trPr>
          <w:cantSplit/>
        </w:trPr>
        <w:tc>
          <w:tcPr>
            <w:tcW w:w="2535" w:type="dxa"/>
            <w:shd w:val="clear" w:color="auto" w:fill="auto"/>
          </w:tcPr>
          <w:p w14:paraId="74A78505" w14:textId="3FF5E466" w:rsidR="000B5F29" w:rsidRPr="00D3367F" w:rsidRDefault="000B5F29" w:rsidP="00D3367F">
            <w:pPr>
              <w:rPr>
                <w:b/>
                <w:bCs/>
                <w:iCs/>
              </w:rPr>
            </w:pPr>
            <w:bookmarkStart w:id="395" w:name="_Toc97727568"/>
            <w:bookmarkStart w:id="396" w:name="_Toc128391264"/>
            <w:r w:rsidRPr="00D3367F">
              <w:rPr>
                <w:b/>
                <w:bCs/>
                <w:iCs/>
              </w:rPr>
              <w:t>Fetal-infant</w:t>
            </w:r>
            <w:r w:rsidR="00244F01" w:rsidRPr="00D3367F">
              <w:rPr>
                <w:b/>
                <w:bCs/>
                <w:iCs/>
              </w:rPr>
              <w:t xml:space="preserve"> </w:t>
            </w:r>
            <w:r w:rsidRPr="00D3367F">
              <w:rPr>
                <w:b/>
                <w:bCs/>
                <w:iCs/>
              </w:rPr>
              <w:t>mortality review board</w:t>
            </w:r>
            <w:bookmarkEnd w:id="395"/>
            <w:bookmarkEnd w:id="396"/>
          </w:p>
        </w:tc>
        <w:tc>
          <w:tcPr>
            <w:tcW w:w="701" w:type="dxa"/>
            <w:shd w:val="clear" w:color="auto" w:fill="auto"/>
          </w:tcPr>
          <w:p w14:paraId="59A70A20" w14:textId="77777777" w:rsidR="000B5F29" w:rsidRPr="006A12FD" w:rsidRDefault="000B5F29" w:rsidP="00D3367F">
            <w:pPr>
              <w:rPr>
                <w:iCs/>
              </w:rPr>
            </w:pPr>
            <w:bookmarkStart w:id="397" w:name="_Toc97727569"/>
            <w:bookmarkStart w:id="398" w:name="_Toc128391265"/>
            <w:r w:rsidRPr="006A12FD">
              <w:rPr>
                <w:iCs/>
              </w:rPr>
              <w:t>(kk)</w:t>
            </w:r>
            <w:bookmarkEnd w:id="397"/>
            <w:bookmarkEnd w:id="398"/>
          </w:p>
        </w:tc>
        <w:tc>
          <w:tcPr>
            <w:tcW w:w="6232" w:type="dxa"/>
            <w:shd w:val="clear" w:color="auto" w:fill="auto"/>
          </w:tcPr>
          <w:p w14:paraId="783C4A75" w14:textId="6D803C4B" w:rsidR="000B5F29" w:rsidRPr="006A12FD" w:rsidRDefault="000B5F29" w:rsidP="00D3367F">
            <w:pPr>
              <w:rPr>
                <w:iCs/>
              </w:rPr>
            </w:pPr>
            <w:r w:rsidRPr="006A12FD">
              <w:rPr>
                <w:iCs/>
              </w:rPr>
              <w:t>Records and information submitted to a fetal-mortality review board, as well as the board’s statements and work product.</w:t>
            </w:r>
            <w:r w:rsidR="00B614EB" w:rsidRPr="006A12FD">
              <w:rPr>
                <w:rStyle w:val="EndnoteReference"/>
                <w:rFonts w:asciiTheme="minorHAnsi" w:hAnsiTheme="minorHAnsi" w:cstheme="minorHAnsi"/>
                <w:iCs/>
              </w:rPr>
              <w:endnoteReference w:id="325"/>
            </w:r>
          </w:p>
        </w:tc>
      </w:tr>
      <w:tr w:rsidR="000B5F29" w:rsidRPr="002B2C2E" w14:paraId="121A96D7" w14:textId="77777777" w:rsidTr="004B1375">
        <w:trPr>
          <w:cantSplit/>
        </w:trPr>
        <w:tc>
          <w:tcPr>
            <w:tcW w:w="2535" w:type="dxa"/>
            <w:shd w:val="clear" w:color="auto" w:fill="auto"/>
          </w:tcPr>
          <w:p w14:paraId="1DB51016" w14:textId="77777777" w:rsidR="000B5F29" w:rsidRPr="00D3367F" w:rsidRDefault="000B5F29" w:rsidP="00D3367F">
            <w:pPr>
              <w:rPr>
                <w:b/>
                <w:bCs/>
                <w:iCs/>
              </w:rPr>
            </w:pPr>
            <w:bookmarkStart w:id="399" w:name="_Toc97727570"/>
            <w:bookmarkStart w:id="400" w:name="_Toc128391266"/>
            <w:r w:rsidRPr="00D3367F">
              <w:rPr>
                <w:b/>
                <w:bCs/>
                <w:iCs/>
              </w:rPr>
              <w:t>Pregnancy-associated mortality review board</w:t>
            </w:r>
            <w:bookmarkEnd w:id="399"/>
            <w:bookmarkEnd w:id="400"/>
          </w:p>
        </w:tc>
        <w:tc>
          <w:tcPr>
            <w:tcW w:w="701" w:type="dxa"/>
            <w:shd w:val="clear" w:color="auto" w:fill="auto"/>
          </w:tcPr>
          <w:p w14:paraId="4636E0C7" w14:textId="77777777" w:rsidR="000B5F29" w:rsidRPr="006A12FD" w:rsidRDefault="000B5F29" w:rsidP="00D3367F">
            <w:pPr>
              <w:rPr>
                <w:iCs/>
              </w:rPr>
            </w:pPr>
            <w:bookmarkStart w:id="401" w:name="_Toc97727571"/>
            <w:bookmarkStart w:id="402" w:name="_Toc128391267"/>
            <w:r w:rsidRPr="006A12FD">
              <w:rPr>
                <w:iCs/>
              </w:rPr>
              <w:t>(ll)</w:t>
            </w:r>
            <w:bookmarkEnd w:id="401"/>
            <w:bookmarkEnd w:id="402"/>
          </w:p>
        </w:tc>
        <w:tc>
          <w:tcPr>
            <w:tcW w:w="6232" w:type="dxa"/>
            <w:shd w:val="clear" w:color="auto" w:fill="auto"/>
          </w:tcPr>
          <w:p w14:paraId="425A0264" w14:textId="5A7A5793" w:rsidR="000B5F29" w:rsidRPr="006A12FD" w:rsidRDefault="000B5F29" w:rsidP="00D3367F">
            <w:pPr>
              <w:rPr>
                <w:iCs/>
              </w:rPr>
            </w:pPr>
            <w:r w:rsidRPr="006A12FD">
              <w:rPr>
                <w:iCs/>
              </w:rPr>
              <w:t>Records and information submitted to a pregnancy-associated mortality review board, as well as the board’s statements and work product.</w:t>
            </w:r>
            <w:r w:rsidR="00AD7E1C" w:rsidRPr="006A12FD">
              <w:rPr>
                <w:rStyle w:val="EndnoteReference"/>
                <w:rFonts w:asciiTheme="minorHAnsi" w:hAnsiTheme="minorHAnsi" w:cstheme="minorHAnsi"/>
                <w:iCs/>
              </w:rPr>
              <w:endnoteReference w:id="326"/>
            </w:r>
          </w:p>
        </w:tc>
      </w:tr>
      <w:tr w:rsidR="000B5F29" w:rsidRPr="002B2C2E" w14:paraId="08D02EA6" w14:textId="77777777" w:rsidTr="004B1375">
        <w:trPr>
          <w:cantSplit/>
        </w:trPr>
        <w:tc>
          <w:tcPr>
            <w:tcW w:w="2535" w:type="dxa"/>
            <w:shd w:val="clear" w:color="auto" w:fill="auto"/>
          </w:tcPr>
          <w:p w14:paraId="211967C9" w14:textId="39AC001E" w:rsidR="000B5F29" w:rsidRPr="00D3367F" w:rsidRDefault="00244F01" w:rsidP="00D3367F">
            <w:pPr>
              <w:rPr>
                <w:b/>
                <w:bCs/>
                <w:iCs/>
              </w:rPr>
            </w:pPr>
            <w:bookmarkStart w:id="403" w:name="_Toc97727572"/>
            <w:bookmarkStart w:id="404" w:name="_Toc128391268"/>
            <w:r w:rsidRPr="00D3367F">
              <w:rPr>
                <w:b/>
                <w:bCs/>
                <w:iCs/>
              </w:rPr>
              <w:t>Crime victim telephone numbers</w:t>
            </w:r>
            <w:bookmarkEnd w:id="403"/>
            <w:bookmarkEnd w:id="404"/>
          </w:p>
        </w:tc>
        <w:tc>
          <w:tcPr>
            <w:tcW w:w="701" w:type="dxa"/>
            <w:shd w:val="clear" w:color="auto" w:fill="auto"/>
          </w:tcPr>
          <w:p w14:paraId="66AF4DE7" w14:textId="77777777" w:rsidR="000B5F29" w:rsidRPr="006A12FD" w:rsidRDefault="000B5F29" w:rsidP="00D3367F">
            <w:pPr>
              <w:rPr>
                <w:iCs/>
              </w:rPr>
            </w:pPr>
            <w:bookmarkStart w:id="405" w:name="_Toc97727573"/>
            <w:bookmarkStart w:id="406" w:name="_Toc128391269"/>
            <w:r w:rsidRPr="006A12FD">
              <w:rPr>
                <w:iCs/>
              </w:rPr>
              <w:t>(mm)</w:t>
            </w:r>
            <w:bookmarkEnd w:id="405"/>
            <w:bookmarkEnd w:id="406"/>
          </w:p>
        </w:tc>
        <w:tc>
          <w:tcPr>
            <w:tcW w:w="6232" w:type="dxa"/>
            <w:shd w:val="clear" w:color="auto" w:fill="auto"/>
          </w:tcPr>
          <w:p w14:paraId="6E4C867C" w14:textId="265BE09E" w:rsidR="000B5F29" w:rsidRPr="006A12FD" w:rsidRDefault="000B5F29" w:rsidP="00D3367F">
            <w:pPr>
              <w:rPr>
                <w:iCs/>
              </w:rPr>
            </w:pPr>
            <w:r w:rsidRPr="006A12FD">
              <w:rPr>
                <w:iCs/>
              </w:rPr>
              <w:t>Telephone numbers of victims</w:t>
            </w:r>
            <w:r w:rsidR="00244F01" w:rsidRPr="006A12FD">
              <w:rPr>
                <w:iCs/>
              </w:rPr>
              <w:t xml:space="preserve"> and </w:t>
            </w:r>
            <w:r w:rsidRPr="006A12FD">
              <w:rPr>
                <w:iCs/>
              </w:rPr>
              <w:t xml:space="preserve">witnesses to a crime listed on a law enforcement record or </w:t>
            </w:r>
            <w:r w:rsidR="00244F01" w:rsidRPr="006A12FD">
              <w:rPr>
                <w:iCs/>
              </w:rPr>
              <w:t>report</w:t>
            </w:r>
            <w:r w:rsidR="00AD7E1C" w:rsidRPr="006A12FD">
              <w:rPr>
                <w:iCs/>
              </w:rPr>
              <w:t>.</w:t>
            </w:r>
            <w:r w:rsidR="00AD7E1C" w:rsidRPr="006A12FD">
              <w:rPr>
                <w:rStyle w:val="EndnoteReference"/>
                <w:rFonts w:asciiTheme="minorHAnsi" w:hAnsiTheme="minorHAnsi" w:cstheme="minorHAnsi"/>
                <w:iCs/>
              </w:rPr>
              <w:endnoteReference w:id="327"/>
            </w:r>
          </w:p>
        </w:tc>
      </w:tr>
      <w:tr w:rsidR="00244F01" w:rsidRPr="002B2C2E" w14:paraId="565DBD76" w14:textId="77777777" w:rsidTr="004B1375">
        <w:trPr>
          <w:cantSplit/>
        </w:trPr>
        <w:tc>
          <w:tcPr>
            <w:tcW w:w="2535" w:type="dxa"/>
            <w:shd w:val="clear" w:color="auto" w:fill="auto"/>
          </w:tcPr>
          <w:p w14:paraId="2D8AB3EC" w14:textId="18FAB889" w:rsidR="00244F01" w:rsidRPr="00D3367F" w:rsidRDefault="00244F01" w:rsidP="00D3367F">
            <w:pPr>
              <w:rPr>
                <w:b/>
                <w:bCs/>
                <w:iCs/>
              </w:rPr>
            </w:pPr>
            <w:bookmarkStart w:id="407" w:name="_Toc97727574"/>
            <w:bookmarkStart w:id="408" w:name="_Toc128391270"/>
            <w:r w:rsidRPr="00D3367F">
              <w:rPr>
                <w:b/>
                <w:bCs/>
                <w:iCs/>
              </w:rPr>
              <w:t>Preneed funeral contracts</w:t>
            </w:r>
            <w:bookmarkEnd w:id="407"/>
            <w:bookmarkEnd w:id="408"/>
          </w:p>
        </w:tc>
        <w:tc>
          <w:tcPr>
            <w:tcW w:w="701" w:type="dxa"/>
            <w:shd w:val="clear" w:color="auto" w:fill="auto"/>
          </w:tcPr>
          <w:p w14:paraId="3D25379B" w14:textId="780C94AD" w:rsidR="00244F01" w:rsidRPr="006A12FD" w:rsidRDefault="00244F01" w:rsidP="00D3367F">
            <w:pPr>
              <w:rPr>
                <w:iCs/>
              </w:rPr>
            </w:pPr>
            <w:bookmarkStart w:id="409" w:name="_Toc97727575"/>
            <w:bookmarkStart w:id="410" w:name="_Toc128391271"/>
            <w:r w:rsidRPr="006A12FD">
              <w:rPr>
                <w:iCs/>
              </w:rPr>
              <w:t>(nn)</w:t>
            </w:r>
            <w:bookmarkEnd w:id="409"/>
            <w:bookmarkEnd w:id="410"/>
          </w:p>
        </w:tc>
        <w:tc>
          <w:tcPr>
            <w:tcW w:w="6232" w:type="dxa"/>
            <w:shd w:val="clear" w:color="auto" w:fill="auto"/>
          </w:tcPr>
          <w:p w14:paraId="57D30B1A" w14:textId="7F777B14" w:rsidR="00244F01" w:rsidRPr="006A12FD" w:rsidRDefault="00244F01" w:rsidP="00D3367F">
            <w:pPr>
              <w:rPr>
                <w:iCs/>
              </w:rPr>
            </w:pPr>
            <w:r w:rsidRPr="006A12FD">
              <w:rPr>
                <w:iCs/>
              </w:rPr>
              <w:t>Information and records contained in a report submitted to the board of embalmers and funeral directors.</w:t>
            </w:r>
            <w:r w:rsidRPr="006A12FD">
              <w:rPr>
                <w:rStyle w:val="EndnoteReference"/>
                <w:rFonts w:asciiTheme="minorHAnsi" w:hAnsiTheme="minorHAnsi" w:cstheme="minorHAnsi"/>
                <w:iCs/>
              </w:rPr>
              <w:endnoteReference w:id="328"/>
            </w:r>
          </w:p>
        </w:tc>
      </w:tr>
      <w:tr w:rsidR="00244F01" w:rsidRPr="002B2C2E" w14:paraId="1F8E1645" w14:textId="77777777" w:rsidTr="004B1375">
        <w:trPr>
          <w:cantSplit/>
        </w:trPr>
        <w:tc>
          <w:tcPr>
            <w:tcW w:w="2535" w:type="dxa"/>
            <w:shd w:val="clear" w:color="auto" w:fill="auto"/>
          </w:tcPr>
          <w:p w14:paraId="707853F6" w14:textId="45E77AD4" w:rsidR="00244F01" w:rsidRPr="00D3367F" w:rsidRDefault="00395FE5" w:rsidP="00D3367F">
            <w:pPr>
              <w:rPr>
                <w:b/>
                <w:bCs/>
                <w:iCs/>
              </w:rPr>
            </w:pPr>
            <w:bookmarkStart w:id="411" w:name="_Toc97727576"/>
            <w:bookmarkStart w:id="412" w:name="_Toc128391272"/>
            <w:r w:rsidRPr="00D3367F">
              <w:rPr>
                <w:b/>
                <w:bCs/>
                <w:iCs/>
              </w:rPr>
              <w:t>Motor vehicle accident telephone numbers</w:t>
            </w:r>
            <w:bookmarkEnd w:id="411"/>
            <w:bookmarkEnd w:id="412"/>
          </w:p>
        </w:tc>
        <w:tc>
          <w:tcPr>
            <w:tcW w:w="701" w:type="dxa"/>
            <w:shd w:val="clear" w:color="auto" w:fill="auto"/>
          </w:tcPr>
          <w:p w14:paraId="5339FA74" w14:textId="0D04C2FF" w:rsidR="00244F01" w:rsidRPr="006A12FD" w:rsidRDefault="00395FE5" w:rsidP="00D3367F">
            <w:pPr>
              <w:rPr>
                <w:iCs/>
              </w:rPr>
            </w:pPr>
            <w:bookmarkStart w:id="413" w:name="_Toc128391273"/>
            <w:r w:rsidRPr="006A12FD">
              <w:rPr>
                <w:iCs/>
              </w:rPr>
              <w:t>(oo)</w:t>
            </w:r>
            <w:bookmarkEnd w:id="413"/>
          </w:p>
        </w:tc>
        <w:tc>
          <w:tcPr>
            <w:tcW w:w="6232" w:type="dxa"/>
            <w:shd w:val="clear" w:color="auto" w:fill="auto"/>
          </w:tcPr>
          <w:p w14:paraId="724A182B" w14:textId="7BA21BC4" w:rsidR="00244F01" w:rsidRPr="006A12FD" w:rsidRDefault="00395FE5" w:rsidP="00D3367F">
            <w:pPr>
              <w:rPr>
                <w:iCs/>
              </w:rPr>
            </w:pPr>
            <w:r w:rsidRPr="006A12FD">
              <w:rPr>
                <w:iCs/>
              </w:rPr>
              <w:t>Telephone numbers of parties to a motor vehicle accident listed on a law enforcement record or report within 30 days of the accident.</w:t>
            </w:r>
            <w:r w:rsidRPr="006A12FD">
              <w:rPr>
                <w:rStyle w:val="EndnoteReference"/>
                <w:rFonts w:asciiTheme="minorHAnsi" w:hAnsiTheme="minorHAnsi" w:cstheme="minorHAnsi"/>
                <w:iCs/>
              </w:rPr>
              <w:endnoteReference w:id="329"/>
            </w:r>
          </w:p>
        </w:tc>
      </w:tr>
      <w:tr w:rsidR="009C561E" w:rsidRPr="002B2C2E" w14:paraId="30633452" w14:textId="77777777" w:rsidTr="004B1375">
        <w:trPr>
          <w:cantSplit/>
        </w:trPr>
        <w:tc>
          <w:tcPr>
            <w:tcW w:w="2535" w:type="dxa"/>
            <w:shd w:val="clear" w:color="auto" w:fill="auto"/>
          </w:tcPr>
          <w:p w14:paraId="6801C7E0" w14:textId="79631FFD" w:rsidR="009C561E" w:rsidRPr="00D3367F" w:rsidRDefault="009C561E" w:rsidP="00D3367F">
            <w:pPr>
              <w:rPr>
                <w:b/>
                <w:bCs/>
                <w:iCs/>
              </w:rPr>
            </w:pPr>
            <w:bookmarkStart w:id="414" w:name="_Toc128391274"/>
            <w:r w:rsidRPr="00D3367F">
              <w:rPr>
                <w:b/>
                <w:bCs/>
                <w:iCs/>
              </w:rPr>
              <w:t>Ohio school safety and crisis center records</w:t>
            </w:r>
            <w:bookmarkEnd w:id="414"/>
          </w:p>
        </w:tc>
        <w:tc>
          <w:tcPr>
            <w:tcW w:w="701" w:type="dxa"/>
            <w:shd w:val="clear" w:color="auto" w:fill="auto"/>
          </w:tcPr>
          <w:p w14:paraId="275DCF64" w14:textId="057A0EAA" w:rsidR="009C561E" w:rsidRPr="006A12FD" w:rsidRDefault="009C561E" w:rsidP="00D3367F">
            <w:pPr>
              <w:rPr>
                <w:iCs/>
              </w:rPr>
            </w:pPr>
            <w:bookmarkStart w:id="415" w:name="_Toc128391275"/>
            <w:r w:rsidRPr="006A12FD">
              <w:rPr>
                <w:iCs/>
              </w:rPr>
              <w:t>(pp)</w:t>
            </w:r>
            <w:bookmarkEnd w:id="415"/>
          </w:p>
        </w:tc>
        <w:tc>
          <w:tcPr>
            <w:tcW w:w="6232" w:type="dxa"/>
            <w:shd w:val="clear" w:color="auto" w:fill="auto"/>
          </w:tcPr>
          <w:p w14:paraId="54EA0233" w14:textId="4C98050F" w:rsidR="009C561E" w:rsidRPr="006A12FD" w:rsidRDefault="009C561E" w:rsidP="00D3367F">
            <w:pPr>
              <w:rPr>
                <w:iCs/>
              </w:rPr>
            </w:pPr>
            <w:r w:rsidRPr="006A12FD">
              <w:rPr>
                <w:iCs/>
              </w:rPr>
              <w:t>Records of individuals who have completed training offered by the Ohio school safety and crisis center.</w:t>
            </w:r>
            <w:r w:rsidRPr="006A12FD">
              <w:rPr>
                <w:rStyle w:val="EndnoteReference"/>
                <w:rFonts w:asciiTheme="minorHAnsi" w:hAnsiTheme="minorHAnsi" w:cstheme="minorHAnsi"/>
                <w:iCs/>
              </w:rPr>
              <w:endnoteReference w:id="330"/>
            </w:r>
          </w:p>
        </w:tc>
      </w:tr>
      <w:tr w:rsidR="008F7A72" w:rsidRPr="002B2C2E" w14:paraId="6DD14BAC" w14:textId="77777777" w:rsidTr="004B1375">
        <w:trPr>
          <w:cantSplit/>
        </w:trPr>
        <w:tc>
          <w:tcPr>
            <w:tcW w:w="2535" w:type="dxa"/>
            <w:shd w:val="clear" w:color="auto" w:fill="auto"/>
          </w:tcPr>
          <w:p w14:paraId="44E37B10" w14:textId="30A4A616" w:rsidR="008F7A72" w:rsidRPr="00D3367F" w:rsidRDefault="008F7A72" w:rsidP="00D3367F">
            <w:pPr>
              <w:rPr>
                <w:b/>
                <w:bCs/>
                <w:iCs/>
              </w:rPr>
            </w:pPr>
            <w:bookmarkStart w:id="416" w:name="_Toc128391276"/>
            <w:r w:rsidRPr="00D3367F">
              <w:rPr>
                <w:b/>
                <w:bCs/>
                <w:iCs/>
              </w:rPr>
              <w:lastRenderedPageBreak/>
              <w:t>Domestic violence fatality review board</w:t>
            </w:r>
            <w:bookmarkEnd w:id="416"/>
          </w:p>
        </w:tc>
        <w:tc>
          <w:tcPr>
            <w:tcW w:w="701" w:type="dxa"/>
            <w:shd w:val="clear" w:color="auto" w:fill="auto"/>
          </w:tcPr>
          <w:p w14:paraId="65F4DC5E" w14:textId="50C61129" w:rsidR="008F7A72" w:rsidRPr="006A12FD" w:rsidRDefault="008614DE" w:rsidP="00D3367F">
            <w:pPr>
              <w:rPr>
                <w:iCs/>
              </w:rPr>
            </w:pPr>
            <w:r w:rsidRPr="006A12FD">
              <w:rPr>
                <w:iCs/>
              </w:rPr>
              <w:t>(qq)</w:t>
            </w:r>
          </w:p>
        </w:tc>
        <w:tc>
          <w:tcPr>
            <w:tcW w:w="6232" w:type="dxa"/>
            <w:shd w:val="clear" w:color="auto" w:fill="auto"/>
          </w:tcPr>
          <w:p w14:paraId="7DB6EDE4" w14:textId="05D58042" w:rsidR="008F7A72" w:rsidRPr="006A12FD" w:rsidRDefault="008F7A72" w:rsidP="00D3367F">
            <w:pPr>
              <w:rPr>
                <w:iCs/>
              </w:rPr>
            </w:pPr>
            <w:r w:rsidRPr="006A12FD">
              <w:rPr>
                <w:iCs/>
              </w:rPr>
              <w:t>Records presented to a domestic violence fatality review board, as well as the board’s statements and work product.</w:t>
            </w:r>
            <w:r w:rsidRPr="006A12FD">
              <w:rPr>
                <w:rStyle w:val="EndnoteReference"/>
                <w:rFonts w:asciiTheme="minorHAnsi" w:hAnsiTheme="minorHAnsi" w:cstheme="minorHAnsi"/>
                <w:iCs/>
              </w:rPr>
              <w:endnoteReference w:id="331"/>
            </w:r>
          </w:p>
        </w:tc>
      </w:tr>
      <w:tr w:rsidR="008614DE" w:rsidRPr="002B2C2E" w14:paraId="5D0E0FA9" w14:textId="77777777" w:rsidTr="004B1375">
        <w:trPr>
          <w:cantSplit/>
        </w:trPr>
        <w:tc>
          <w:tcPr>
            <w:tcW w:w="2535" w:type="dxa"/>
            <w:shd w:val="clear" w:color="auto" w:fill="auto"/>
          </w:tcPr>
          <w:p w14:paraId="6D86A950" w14:textId="031119CB" w:rsidR="008614DE" w:rsidRPr="00D3367F" w:rsidRDefault="008614DE" w:rsidP="00D3367F">
            <w:pPr>
              <w:rPr>
                <w:b/>
                <w:bCs/>
                <w:iCs/>
              </w:rPr>
            </w:pPr>
            <w:r w:rsidRPr="00D3367F">
              <w:rPr>
                <w:b/>
                <w:bCs/>
                <w:iCs/>
              </w:rPr>
              <w:t>Victim’s rights request form under Marsy’s Law</w:t>
            </w:r>
          </w:p>
        </w:tc>
        <w:tc>
          <w:tcPr>
            <w:tcW w:w="701" w:type="dxa"/>
            <w:shd w:val="clear" w:color="auto" w:fill="auto"/>
          </w:tcPr>
          <w:p w14:paraId="621A45B7" w14:textId="541C45EA" w:rsidR="008614DE" w:rsidRPr="006A12FD" w:rsidRDefault="008614DE" w:rsidP="00D3367F">
            <w:pPr>
              <w:rPr>
                <w:iCs/>
              </w:rPr>
            </w:pPr>
            <w:r w:rsidRPr="006A12FD">
              <w:rPr>
                <w:iCs/>
              </w:rPr>
              <w:t>(rr)</w:t>
            </w:r>
          </w:p>
        </w:tc>
        <w:tc>
          <w:tcPr>
            <w:tcW w:w="6232" w:type="dxa"/>
            <w:shd w:val="clear" w:color="auto" w:fill="auto"/>
          </w:tcPr>
          <w:p w14:paraId="24F16DCD" w14:textId="38B4A620" w:rsidR="008614DE" w:rsidRPr="006A12FD" w:rsidRDefault="008614DE" w:rsidP="00D3367F">
            <w:pPr>
              <w:rPr>
                <w:iCs/>
              </w:rPr>
            </w:pPr>
            <w:r w:rsidRPr="006A12FD">
              <w:rPr>
                <w:iCs/>
              </w:rPr>
              <w:t>The victim’s rights request form as provided in Marsy’s Law under R.C. 2930.04.</w:t>
            </w:r>
          </w:p>
        </w:tc>
      </w:tr>
      <w:tr w:rsidR="008614DE" w:rsidRPr="002B2C2E" w14:paraId="1C84D48C" w14:textId="77777777" w:rsidTr="004B1375">
        <w:trPr>
          <w:cantSplit/>
        </w:trPr>
        <w:tc>
          <w:tcPr>
            <w:tcW w:w="2535" w:type="dxa"/>
            <w:shd w:val="clear" w:color="auto" w:fill="auto"/>
          </w:tcPr>
          <w:p w14:paraId="7C78478A" w14:textId="386E2A3F" w:rsidR="008614DE" w:rsidRPr="00D3367F" w:rsidRDefault="008614DE" w:rsidP="00D3367F">
            <w:pPr>
              <w:rPr>
                <w:b/>
                <w:bCs/>
                <w:iCs/>
              </w:rPr>
            </w:pPr>
            <w:r w:rsidRPr="00D3367F">
              <w:rPr>
                <w:b/>
                <w:bCs/>
                <w:iCs/>
              </w:rPr>
              <w:t>Information in “case documents” under Marsy’s Law</w:t>
            </w:r>
          </w:p>
        </w:tc>
        <w:tc>
          <w:tcPr>
            <w:tcW w:w="701" w:type="dxa"/>
            <w:shd w:val="clear" w:color="auto" w:fill="auto"/>
          </w:tcPr>
          <w:p w14:paraId="2D5D6D7F" w14:textId="784E3F52" w:rsidR="008614DE" w:rsidRPr="006A12FD" w:rsidRDefault="008614DE" w:rsidP="00D3367F">
            <w:pPr>
              <w:rPr>
                <w:iCs/>
              </w:rPr>
            </w:pPr>
            <w:r w:rsidRPr="006A12FD">
              <w:rPr>
                <w:iCs/>
              </w:rPr>
              <w:t>(rr)</w:t>
            </w:r>
          </w:p>
        </w:tc>
        <w:tc>
          <w:tcPr>
            <w:tcW w:w="6232" w:type="dxa"/>
            <w:shd w:val="clear" w:color="auto" w:fill="auto"/>
          </w:tcPr>
          <w:p w14:paraId="743E7E6B" w14:textId="5435FD46" w:rsidR="008614DE" w:rsidRPr="006A12FD" w:rsidRDefault="008D0CC6" w:rsidP="00D3367F">
            <w:pPr>
              <w:rPr>
                <w:iCs/>
              </w:rPr>
            </w:pPr>
            <w:r w:rsidRPr="006A12FD">
              <w:rPr>
                <w:iCs/>
              </w:rPr>
              <w:t>Identifying information of a victim or victim’s representative contained in “case documents” pursuant to R.C. 2930.07.</w:t>
            </w:r>
            <w:r w:rsidRPr="006A12FD">
              <w:rPr>
                <w:rStyle w:val="EndnoteReference"/>
                <w:rFonts w:asciiTheme="minorHAnsi" w:hAnsiTheme="minorHAnsi" w:cstheme="minorHAnsi"/>
                <w:iCs/>
              </w:rPr>
              <w:endnoteReference w:id="332"/>
            </w:r>
          </w:p>
        </w:tc>
      </w:tr>
      <w:tr w:rsidR="008F7A72" w:rsidRPr="002B2C2E" w14:paraId="26EA1744" w14:textId="77777777" w:rsidTr="004B1375">
        <w:trPr>
          <w:cantSplit/>
        </w:trPr>
        <w:tc>
          <w:tcPr>
            <w:tcW w:w="2535" w:type="dxa"/>
            <w:shd w:val="clear" w:color="auto" w:fill="auto"/>
          </w:tcPr>
          <w:p w14:paraId="197050E7" w14:textId="3BA62ACA" w:rsidR="008F7A72" w:rsidRPr="00D3367F" w:rsidRDefault="008F7A72" w:rsidP="00D3367F">
            <w:pPr>
              <w:rPr>
                <w:b/>
                <w:bCs/>
                <w:iCs/>
              </w:rPr>
            </w:pPr>
            <w:bookmarkStart w:id="417" w:name="_Toc128391278"/>
            <w:r w:rsidRPr="00D3367F">
              <w:rPr>
                <w:b/>
                <w:bCs/>
                <w:iCs/>
              </w:rPr>
              <w:t>Special improvement districts</w:t>
            </w:r>
            <w:bookmarkEnd w:id="417"/>
          </w:p>
        </w:tc>
        <w:tc>
          <w:tcPr>
            <w:tcW w:w="701" w:type="dxa"/>
            <w:shd w:val="clear" w:color="auto" w:fill="auto"/>
          </w:tcPr>
          <w:p w14:paraId="04DC77F3" w14:textId="17344BE8" w:rsidR="008F7A72" w:rsidRPr="006A12FD" w:rsidRDefault="008D0CC6" w:rsidP="00D3367F">
            <w:pPr>
              <w:rPr>
                <w:iCs/>
              </w:rPr>
            </w:pPr>
            <w:r w:rsidRPr="006A12FD">
              <w:rPr>
                <w:iCs/>
              </w:rPr>
              <w:t>(ss)</w:t>
            </w:r>
          </w:p>
        </w:tc>
        <w:tc>
          <w:tcPr>
            <w:tcW w:w="6232" w:type="dxa"/>
            <w:shd w:val="clear" w:color="auto" w:fill="auto"/>
          </w:tcPr>
          <w:p w14:paraId="18F26A70" w14:textId="327BEBC9" w:rsidR="008F7A72" w:rsidRPr="006A12FD" w:rsidRDefault="008F7A72" w:rsidP="00D3367F">
            <w:pPr>
              <w:rPr>
                <w:iCs/>
              </w:rPr>
            </w:pPr>
            <w:r w:rsidRPr="006A12FD">
              <w:rPr>
                <w:iCs/>
              </w:rPr>
              <w:t>Certain records of nonprofit corporation that creates a special improvement district under Chapter 1710 of the Revised Code.</w:t>
            </w:r>
            <w:r w:rsidRPr="006A12FD">
              <w:rPr>
                <w:rStyle w:val="EndnoteReference"/>
                <w:rFonts w:asciiTheme="minorHAnsi" w:hAnsiTheme="minorHAnsi" w:cstheme="minorHAnsi"/>
                <w:iCs/>
              </w:rPr>
              <w:endnoteReference w:id="333"/>
            </w:r>
          </w:p>
        </w:tc>
      </w:tr>
    </w:tbl>
    <w:p w14:paraId="359A437D" w14:textId="77777777" w:rsidR="00195135" w:rsidRDefault="00195135" w:rsidP="009D560F">
      <w:pPr>
        <w:spacing w:line="220" w:lineRule="exact"/>
        <w:jc w:val="both"/>
      </w:pPr>
    </w:p>
    <w:p w14:paraId="7A1BDA30" w14:textId="4B29053E" w:rsidR="00681BA7" w:rsidRDefault="000B5F29" w:rsidP="00BE5E2A">
      <w:pPr>
        <w:spacing w:line="220" w:lineRule="exact"/>
        <w:ind w:left="360"/>
        <w:jc w:val="both"/>
      </w:pPr>
      <w:r>
        <w:t>Records</w:t>
      </w:r>
      <w:r w:rsidR="00681BA7">
        <w:t xml:space="preserve"> excluded from the definition of a public record under R.C. 149.43(A)(1) that are, under law, permanently retained, become public records seventy-five years after the date they were created, except for attorney-client privileged records, trial preparation records, records protected by statements prohibiting the release of identifying information in adoption files signed under R.C. 3107.083, records protected by a denial of release form filed by the birth parent of an adopted child pursuant to R.C. 3107.46, or security and infrastructure records exempt from release by R.C. 149.433.  Birth certificates where the biological parent’s name has been redacted pursuant to R.C. 3107.391 </w:t>
      </w:r>
      <w:r w:rsidR="00395FE5">
        <w:t>must</w:t>
      </w:r>
      <w:r w:rsidR="00681BA7">
        <w:t xml:space="preserve"> still be redacted before release.  If any other section of the Revised Code establishes a conflicting time period for disclosure, the other section controls.</w:t>
      </w:r>
    </w:p>
    <w:p w14:paraId="198E6418" w14:textId="0F7A8409" w:rsidR="00681BA7" w:rsidRPr="00345637" w:rsidRDefault="002007FF" w:rsidP="00322085">
      <w:pPr>
        <w:pStyle w:val="Heading2"/>
      </w:pPr>
      <w:bookmarkStart w:id="418" w:name="_Toc159851495"/>
      <w:r>
        <w:t>F</w:t>
      </w:r>
      <w:r w:rsidR="00681BA7" w:rsidRPr="00345637">
        <w:t>.</w:t>
      </w:r>
      <w:r w:rsidR="00681BA7" w:rsidRPr="00345637">
        <w:tab/>
      </w:r>
      <w:r w:rsidR="001D2AA7">
        <w:t>Categories of E</w:t>
      </w:r>
      <w:r w:rsidR="00681BA7" w:rsidRPr="00345637">
        <w:t xml:space="preserve">xemptions Created </w:t>
      </w:r>
      <w:r w:rsidR="0075207E" w:rsidRPr="00345637">
        <w:t>by</w:t>
      </w:r>
      <w:r w:rsidR="00681BA7" w:rsidRPr="00345637">
        <w:t xml:space="preserve"> Other Laws</w:t>
      </w:r>
      <w:bookmarkEnd w:id="418"/>
    </w:p>
    <w:p w14:paraId="6F0F1C48" w14:textId="34862295" w:rsidR="00424776" w:rsidRDefault="00424776" w:rsidP="00BE5E2A">
      <w:pPr>
        <w:spacing w:line="220" w:lineRule="exact"/>
        <w:ind w:left="360"/>
        <w:jc w:val="both"/>
      </w:pPr>
      <w:r>
        <w:t xml:space="preserve">Below are examples of </w:t>
      </w:r>
      <w:r w:rsidR="00681BA7">
        <w:t>exemptions t</w:t>
      </w:r>
      <w:r>
        <w:t>hat are created by laws other than the Public Records Act</w:t>
      </w:r>
      <w:r w:rsidR="00681BA7">
        <w:t>.  Some will require expert case</w:t>
      </w:r>
      <w:r w:rsidR="000B5F29">
        <w:t>-</w:t>
      </w:r>
      <w:r w:rsidR="00681BA7">
        <w:t>by</w:t>
      </w:r>
      <w:r w:rsidR="000B5F29">
        <w:t>-</w:t>
      </w:r>
      <w:r w:rsidR="00681BA7">
        <w:t xml:space="preserve">case analysis by the public office’s legal counsel before </w:t>
      </w:r>
      <w:r w:rsidR="00395FE5">
        <w:t>application</w:t>
      </w:r>
      <w:r w:rsidR="00681BA7">
        <w:t xml:space="preserve"> to a public records request. </w:t>
      </w:r>
    </w:p>
    <w:p w14:paraId="35A942C2" w14:textId="77777777" w:rsidR="00424776" w:rsidRDefault="00424776" w:rsidP="00BE5E2A">
      <w:pPr>
        <w:spacing w:line="220" w:lineRule="exact"/>
        <w:ind w:left="360"/>
        <w:jc w:val="both"/>
      </w:pPr>
    </w:p>
    <w:p w14:paraId="34112F03" w14:textId="754D64BF" w:rsidR="0075207E" w:rsidRDefault="00633746" w:rsidP="00BE5E2A">
      <w:pPr>
        <w:spacing w:line="220" w:lineRule="exact"/>
        <w:ind w:left="360"/>
        <w:jc w:val="both"/>
      </w:pPr>
      <w:r w:rsidRPr="00633746">
        <w:t>Refer to Chapter Four, “Law</w:t>
      </w:r>
      <w:r w:rsidRPr="00031CB6">
        <w:t xml:space="preserve"> Enforcement Records</w:t>
      </w:r>
      <w:r>
        <w:t>,</w:t>
      </w:r>
      <w:r w:rsidRPr="00031CB6">
        <w:t>”</w:t>
      </w:r>
      <w:r>
        <w:t xml:space="preserve"> f</w:t>
      </w:r>
      <w:r w:rsidR="00424776">
        <w:t>or discussion of additional exemptions applicable to law enforcement and victims and witnesses</w:t>
      </w:r>
      <w:r>
        <w:t>.</w:t>
      </w:r>
      <w:r w:rsidR="00424776" w:rsidRPr="00031CB6">
        <w:t xml:space="preserve"> </w:t>
      </w:r>
      <w:r w:rsidR="00424776">
        <w:t xml:space="preserve">A full list of exemptions that are created by Ohio statutes beyond those mentioned in these chapters can be found in </w:t>
      </w:r>
      <w:hyperlink r:id="rId43" w:history="1">
        <w:r w:rsidR="00424776" w:rsidRPr="00BE50A6">
          <w:rPr>
            <w:rStyle w:val="Hyperlink"/>
          </w:rPr>
          <w:t>Appendix A</w:t>
        </w:r>
      </w:hyperlink>
      <w:r w:rsidR="00424776">
        <w:t xml:space="preserve"> of this Manual</w:t>
      </w:r>
      <w:r w:rsidR="00424776" w:rsidRPr="00D81A09">
        <w:t>.</w:t>
      </w:r>
      <w:r w:rsidR="00424776">
        <w:t xml:space="preserve"> </w:t>
      </w:r>
    </w:p>
    <w:p w14:paraId="2CDD913E" w14:textId="77777777" w:rsidR="000220B5" w:rsidRDefault="000220B5" w:rsidP="00BE5E2A">
      <w:pPr>
        <w:spacing w:line="220" w:lineRule="exact"/>
        <w:ind w:left="360"/>
        <w:jc w:val="both"/>
      </w:pPr>
    </w:p>
    <w:p w14:paraId="273637DB" w14:textId="72A5F641" w:rsidR="00681BA7" w:rsidRDefault="00681BA7" w:rsidP="00322085">
      <w:pPr>
        <w:pStyle w:val="Heading3"/>
      </w:pPr>
      <w:bookmarkStart w:id="419" w:name="_Toc159851496"/>
      <w:r>
        <w:t>1.</w:t>
      </w:r>
      <w:r>
        <w:tab/>
        <w:t>Exemptions affecting personal privacy</w:t>
      </w:r>
      <w:bookmarkEnd w:id="419"/>
    </w:p>
    <w:p w14:paraId="660998E9" w14:textId="7F840A30" w:rsidR="00681BA7" w:rsidRDefault="00681BA7">
      <w:pPr>
        <w:spacing w:line="220" w:lineRule="exact"/>
        <w:ind w:left="360"/>
        <w:jc w:val="both"/>
      </w:pPr>
      <w:r>
        <w:t>There is no general “privacy exemption” to the Public Records Act.  Ohio has no general privacy law comparable to the federal Privacy Act.</w:t>
      </w:r>
      <w:r>
        <w:rPr>
          <w:rStyle w:val="EndnoteReference"/>
        </w:rPr>
        <w:endnoteReference w:id="334"/>
      </w:r>
      <w:r>
        <w:t xml:space="preserve">  However, a public office is obligated to protect certain </w:t>
      </w:r>
      <w:r>
        <w:rPr>
          <w:i/>
        </w:rPr>
        <w:t xml:space="preserve">non-public record </w:t>
      </w:r>
      <w:r>
        <w:t>personal information from unauthorized dissemination.</w:t>
      </w:r>
      <w:r>
        <w:rPr>
          <w:rStyle w:val="EndnoteReference"/>
        </w:rPr>
        <w:endnoteReference w:id="335"/>
      </w:r>
      <w:r>
        <w:t xml:space="preserve">  Though many of the exemptions to the Public Records Act apply to information people would consider “private,” this section focuses specifically on records and information that are protected by:  (1) the right to privacy found in the United States Constitution; and (2) R.C. 149.45 and R.C. 319.28(B), which are statutes designed to protect personal information on the internet.</w:t>
      </w:r>
    </w:p>
    <w:p w14:paraId="17D9C6C9" w14:textId="77777777" w:rsidR="000220B5" w:rsidRDefault="000220B5">
      <w:pPr>
        <w:spacing w:line="220" w:lineRule="exact"/>
        <w:ind w:left="360"/>
        <w:jc w:val="both"/>
      </w:pPr>
    </w:p>
    <w:p w14:paraId="193C0002" w14:textId="6EBBA407" w:rsidR="00681BA7" w:rsidRDefault="00C100EF" w:rsidP="00C100EF">
      <w:pPr>
        <w:pStyle w:val="Heading4"/>
        <w:numPr>
          <w:ilvl w:val="0"/>
          <w:numId w:val="77"/>
        </w:numPr>
      </w:pPr>
      <w:r>
        <w:tab/>
      </w:r>
      <w:bookmarkStart w:id="420" w:name="_Toc159851497"/>
      <w:r w:rsidR="00681BA7">
        <w:t>Constitutional right to privacy</w:t>
      </w:r>
      <w:bookmarkEnd w:id="420"/>
    </w:p>
    <w:p w14:paraId="2DD90CA4" w14:textId="77777777" w:rsidR="00681BA7" w:rsidRDefault="00681BA7">
      <w:pPr>
        <w:spacing w:line="220" w:lineRule="exact"/>
        <w:ind w:left="360"/>
        <w:jc w:val="both"/>
      </w:pPr>
      <w:r>
        <w:t>The U.S. Supreme Court recognizes a constitutional right to informational privacy under the Fourteenth Amendment’s Due Process Clause.  This right protects people’s “interest in avoiding divulgence of highly personal information,”</w:t>
      </w:r>
      <w:r>
        <w:rPr>
          <w:rStyle w:val="EndnoteReference"/>
        </w:rPr>
        <w:endnoteReference w:id="336"/>
      </w:r>
      <w:r>
        <w:t xml:space="preserve"> but must be balanced against the public interest in the information.</w:t>
      </w:r>
      <w:r>
        <w:rPr>
          <w:rStyle w:val="EndnoteReference"/>
        </w:rPr>
        <w:endnoteReference w:id="337"/>
      </w:r>
      <w:r>
        <w:t xml:space="preserve">  Such information cannot be disclosed unless disclosure “narrowly serves a compelling state interest.”</w:t>
      </w:r>
      <w:r>
        <w:rPr>
          <w:rStyle w:val="EndnoteReference"/>
        </w:rPr>
        <w:endnoteReference w:id="338"/>
      </w:r>
    </w:p>
    <w:p w14:paraId="7AC6C717" w14:textId="77777777" w:rsidR="00681BA7" w:rsidRDefault="00681BA7">
      <w:pPr>
        <w:spacing w:line="220" w:lineRule="exact"/>
        <w:ind w:left="360"/>
        <w:jc w:val="both"/>
      </w:pPr>
    </w:p>
    <w:p w14:paraId="36D0C38E" w14:textId="019DDDA1" w:rsidR="00681BA7" w:rsidRDefault="00681BA7">
      <w:pPr>
        <w:spacing w:line="220" w:lineRule="exact"/>
        <w:ind w:left="360"/>
        <w:jc w:val="both"/>
      </w:pPr>
      <w:r>
        <w:t>In Ohio, the U.S. Court of Appeals for the Sixth Circuit has limited this right to informational privacy to interests that rise to the level of “constitutional dimension” and implicate “fundamental”</w:t>
      </w:r>
      <w:r w:rsidR="008F7A72">
        <w:t xml:space="preserve"> rights</w:t>
      </w:r>
      <w:r>
        <w:t xml:space="preserve"> or rights </w:t>
      </w:r>
      <w:r w:rsidR="008F7A72">
        <w:t>“</w:t>
      </w:r>
      <w:r>
        <w:t>implicit in the concept of ordered liberty.”</w:t>
      </w:r>
      <w:r>
        <w:rPr>
          <w:rStyle w:val="EndnoteReference"/>
        </w:rPr>
        <w:endnoteReference w:id="339"/>
      </w:r>
    </w:p>
    <w:p w14:paraId="01EADE5B" w14:textId="77777777" w:rsidR="00681BA7" w:rsidRDefault="00681BA7">
      <w:pPr>
        <w:spacing w:line="220" w:lineRule="exact"/>
        <w:ind w:left="360"/>
        <w:jc w:val="both"/>
      </w:pPr>
    </w:p>
    <w:p w14:paraId="2A60EC47" w14:textId="10DE36A3" w:rsidR="00681BA7" w:rsidRDefault="00681BA7">
      <w:pPr>
        <w:spacing w:line="220" w:lineRule="exact"/>
        <w:ind w:left="360"/>
        <w:jc w:val="both"/>
      </w:pPr>
      <w:r>
        <w:t xml:space="preserve">The Supreme Court </w:t>
      </w:r>
      <w:r w:rsidR="0040318D">
        <w:t xml:space="preserve">of Ohio </w:t>
      </w:r>
      <w:r>
        <w:t>has “not authorized courts or other records custodians to create new exceptions to R.C. 149.43 based on a balancing of interests or generalized privacy concerns.”</w:t>
      </w:r>
      <w:r>
        <w:rPr>
          <w:rStyle w:val="EndnoteReference"/>
        </w:rPr>
        <w:endnoteReference w:id="340"/>
      </w:r>
      <w:r>
        <w:t xml:space="preserve">  In matters that do not rise to fundamental constitutional levels, state statutes address privacy rights, and the Court defers to “the role of the General Assembly to balance the competing concerns of the public’s right to know and individual citizens’ right to keep private certain information that becomes part of the records of public offices.”</w:t>
      </w:r>
      <w:r>
        <w:rPr>
          <w:rStyle w:val="EndnoteReference"/>
        </w:rPr>
        <w:endnoteReference w:id="341"/>
      </w:r>
      <w:r>
        <w:t xml:space="preserve">  Cases finding a new or expanded constitutional right of privacy affecting public records are infrequent.</w:t>
      </w:r>
    </w:p>
    <w:p w14:paraId="63552181" w14:textId="77777777" w:rsidR="00681BA7" w:rsidRDefault="00681BA7">
      <w:pPr>
        <w:spacing w:line="220" w:lineRule="exact"/>
        <w:ind w:left="360"/>
        <w:jc w:val="both"/>
      </w:pPr>
    </w:p>
    <w:p w14:paraId="53F34E2B" w14:textId="247D3FC3" w:rsidR="00681BA7" w:rsidRDefault="00681BA7">
      <w:pPr>
        <w:spacing w:line="220" w:lineRule="exact"/>
        <w:ind w:left="360"/>
        <w:jc w:val="both"/>
      </w:pPr>
      <w:r>
        <w:t xml:space="preserve">In the Sixth Circuit case of </w:t>
      </w:r>
      <w:r>
        <w:rPr>
          <w:i/>
        </w:rPr>
        <w:t>Kallstrom v. Columbus</w:t>
      </w:r>
      <w:r>
        <w:t>, police officers sued the city for releasing their unredacted personnel files to an attorney representing members of a criminal gang</w:t>
      </w:r>
      <w:r w:rsidR="00395FE5">
        <w:t xml:space="preserve"> against whom the</w:t>
      </w:r>
      <w:r>
        <w:t xml:space="preserve"> officers were testifying in a major drug case.  The personnel files contained the addresses and phone numbers of the officers and their family members, as well as banking information, social security numbers, and photo IDs.</w:t>
      </w:r>
      <w:r>
        <w:rPr>
          <w:rStyle w:val="EndnoteReference"/>
        </w:rPr>
        <w:endnoteReference w:id="342"/>
      </w:r>
      <w:r>
        <w:t xml:space="preserve">  The Court held that, because release of the information could lead to the gang members causing the officers bodily harm, the officers’ fundamental constitutional rights to personal security and bodily integrity were at stake.</w:t>
      </w:r>
      <w:r>
        <w:rPr>
          <w:rStyle w:val="EndnoteReference"/>
        </w:rPr>
        <w:endnoteReference w:id="343"/>
      </w:r>
      <w:r>
        <w:t xml:space="preserve">  The Court</w:t>
      </w:r>
      <w:r w:rsidR="00395FE5">
        <w:t xml:space="preserve"> </w:t>
      </w:r>
      <w:r>
        <w:t>described this constitutional right as a person’s “‘interest in preserving [one’s] life.’”</w:t>
      </w:r>
      <w:r>
        <w:rPr>
          <w:rStyle w:val="EndnoteReference"/>
        </w:rPr>
        <w:endnoteReference w:id="344"/>
      </w:r>
      <w:r>
        <w:t xml:space="preserve">  The Court found that the Public Records Act did not require release of the </w:t>
      </w:r>
      <w:r w:rsidR="00395FE5">
        <w:t>files</w:t>
      </w:r>
      <w:r>
        <w:t xml:space="preserve"> because the disclosure did not “narrowly serve[] the state’s interest in ensuring accountable governance.”</w:t>
      </w:r>
      <w:r>
        <w:rPr>
          <w:rStyle w:val="EndnoteReference"/>
        </w:rPr>
        <w:endnoteReference w:id="345"/>
      </w:r>
      <w:r>
        <w:t xml:space="preserve">  The Sixth Circuit has similarly held that names, addresses, and dates of birth of adult cabaret license applicants are exempted from the Public Records Act because their release to the public poses serious risk to their personal security.</w:t>
      </w:r>
      <w:r>
        <w:rPr>
          <w:rStyle w:val="EndnoteReference"/>
        </w:rPr>
        <w:endnoteReference w:id="346"/>
      </w:r>
    </w:p>
    <w:p w14:paraId="380AAE93" w14:textId="77777777" w:rsidR="00681BA7" w:rsidRDefault="00681BA7">
      <w:pPr>
        <w:spacing w:line="220" w:lineRule="exact"/>
        <w:ind w:left="360"/>
        <w:jc w:val="both"/>
      </w:pPr>
    </w:p>
    <w:p w14:paraId="0CD806E9" w14:textId="35F6EFAF" w:rsidR="00681BA7" w:rsidRDefault="00681BA7">
      <w:pPr>
        <w:spacing w:line="220" w:lineRule="exact"/>
        <w:ind w:left="360"/>
        <w:jc w:val="both"/>
      </w:pPr>
      <w:r>
        <w:t xml:space="preserve">Based on </w:t>
      </w:r>
      <w:r>
        <w:rPr>
          <w:i/>
        </w:rPr>
        <w:t>Kallstrom</w:t>
      </w:r>
      <w:r>
        <w:t xml:space="preserve">, the Supreme Court </w:t>
      </w:r>
      <w:r w:rsidR="0040318D">
        <w:t xml:space="preserve">of Ohio </w:t>
      </w:r>
      <w:r>
        <w:t>subsequently held that police officers have a constitutional right to privacy in their personal information that could be used by defendants in a criminal case to achieve nefarious ends.</w:t>
      </w:r>
      <w:r>
        <w:rPr>
          <w:rStyle w:val="EndnoteReference"/>
        </w:rPr>
        <w:endnoteReference w:id="347"/>
      </w:r>
      <w:r>
        <w:t xml:space="preserve">  The Supreme Court has also suggested that the constitutional right to privacy of minors would come into play when “release of personal information … creates an unacceptable risk that a child could be victimized.”</w:t>
      </w:r>
      <w:r>
        <w:rPr>
          <w:rStyle w:val="EndnoteReference"/>
        </w:rPr>
        <w:endnoteReference w:id="348"/>
      </w:r>
      <w:r w:rsidR="00395FE5">
        <w:t xml:space="preserve"> The Court of Claims has also applied the constitutional right to privacy to permit the redaction of an inmate’s nude body and underwear from video taken by officers’ body-worn cameras.</w:t>
      </w:r>
      <w:r w:rsidR="00395FE5">
        <w:rPr>
          <w:rStyle w:val="EndnoteReference"/>
        </w:rPr>
        <w:endnoteReference w:id="349"/>
      </w:r>
    </w:p>
    <w:p w14:paraId="568DD363" w14:textId="77777777" w:rsidR="00681BA7" w:rsidRDefault="00681BA7">
      <w:pPr>
        <w:spacing w:line="220" w:lineRule="exact"/>
        <w:ind w:left="360"/>
        <w:jc w:val="both"/>
      </w:pPr>
    </w:p>
    <w:p w14:paraId="2B5A0BA1" w14:textId="01D3C73F" w:rsidR="00681BA7" w:rsidRDefault="00395FE5" w:rsidP="00E60C5A">
      <w:pPr>
        <w:spacing w:line="220" w:lineRule="exact"/>
        <w:ind w:left="360"/>
        <w:jc w:val="both"/>
      </w:pPr>
      <w:r>
        <w:t xml:space="preserve">However, neither the Supreme Court </w:t>
      </w:r>
      <w:r w:rsidR="0040318D">
        <w:t xml:space="preserve">of Ohio </w:t>
      </w:r>
      <w:r>
        <w:t xml:space="preserve">nor the Sixth Circuit has applied broadly the constitutional right to privacy to the Public Records Act. </w:t>
      </w:r>
      <w:r w:rsidR="00681BA7">
        <w:t xml:space="preserve">Public offices and individuals should be aware of this potential </w:t>
      </w:r>
      <w:r w:rsidR="006A47ED">
        <w:t>protection but</w:t>
      </w:r>
      <w:r w:rsidR="00681BA7">
        <w:t xml:space="preserve"> know that it is limited to circumstances involving fundamental rights and that most personal information is not protected by it.</w:t>
      </w:r>
      <w:r w:rsidR="00681BA7">
        <w:rPr>
          <w:rStyle w:val="EndnoteReference"/>
        </w:rPr>
        <w:endnoteReference w:id="350"/>
      </w:r>
    </w:p>
    <w:p w14:paraId="705DB0EC" w14:textId="77777777" w:rsidR="000220B5" w:rsidRDefault="000220B5" w:rsidP="00E60C5A">
      <w:pPr>
        <w:spacing w:line="220" w:lineRule="exact"/>
        <w:ind w:left="360"/>
        <w:jc w:val="both"/>
      </w:pPr>
    </w:p>
    <w:p w14:paraId="387CF642" w14:textId="586868AB" w:rsidR="00681BA7" w:rsidRDefault="00681BA7" w:rsidP="00BD2AE1">
      <w:pPr>
        <w:pStyle w:val="Heading4"/>
      </w:pPr>
      <w:bookmarkStart w:id="421" w:name="_Toc159851498"/>
      <w:r>
        <w:t>b.</w:t>
      </w:r>
      <w:r>
        <w:tab/>
      </w:r>
      <w:r w:rsidR="00C100EF">
        <w:tab/>
      </w:r>
      <w:r>
        <w:t>Personal information listed online</w:t>
      </w:r>
      <w:bookmarkEnd w:id="421"/>
    </w:p>
    <w:p w14:paraId="2D00027E" w14:textId="77777777" w:rsidR="00681BA7" w:rsidRDefault="00681BA7">
      <w:pPr>
        <w:spacing w:line="220" w:lineRule="exact"/>
        <w:ind w:left="360"/>
        <w:jc w:val="both"/>
      </w:pPr>
      <w:r>
        <w:t>R.C. 149.45 requires public offices to redact, and permits certain individuals to request redaction of, specific personal information</w:t>
      </w:r>
      <w:r>
        <w:rPr>
          <w:rStyle w:val="EndnoteReference"/>
        </w:rPr>
        <w:endnoteReference w:id="351"/>
      </w:r>
      <w:r>
        <w:t xml:space="preserve"> from any records made available to the general public on the internet.</w:t>
      </w:r>
      <w:r>
        <w:rPr>
          <w:rStyle w:val="EndnoteReference"/>
        </w:rPr>
        <w:endnoteReference w:id="352"/>
      </w:r>
      <w:r>
        <w:t xml:space="preserve">  A person must make this request in writing on a form developed by the Attorney General, specifying the information to be redacted and providing any information that identifies the location of that personal information.</w:t>
      </w:r>
      <w:r>
        <w:rPr>
          <w:rStyle w:val="EndnoteReference"/>
        </w:rPr>
        <w:endnoteReference w:id="353"/>
      </w:r>
      <w:r>
        <w:t xml:space="preserve">  </w:t>
      </w:r>
      <w:r w:rsidRPr="00641397">
        <w:t>In addition, certain designated public service workers can also request the redaction of their actual residential address from any records made available by public offices to the general public on the internet.</w:t>
      </w:r>
      <w:r w:rsidRPr="00641397">
        <w:rPr>
          <w:rStyle w:val="EndnoteReference"/>
        </w:rPr>
        <w:endnoteReference w:id="354"/>
      </w:r>
      <w:r w:rsidRPr="00641397">
        <w:t xml:space="preserve">  When</w:t>
      </w:r>
      <w:r>
        <w:t xml:space="preserve"> a public office receives a request for redaction, it must act in accordance with the request within five business days, if practicable.</w:t>
      </w:r>
      <w:r>
        <w:rPr>
          <w:rStyle w:val="EndnoteReference"/>
        </w:rPr>
        <w:endnoteReference w:id="355"/>
      </w:r>
      <w:r>
        <w:t xml:space="preserve">  If the public office determines that redaction is not practicable, it must explain to the individual why the redaction is impracticable within five business days.</w:t>
      </w:r>
      <w:r>
        <w:rPr>
          <w:rStyle w:val="EndnoteReference"/>
        </w:rPr>
        <w:endnoteReference w:id="356"/>
      </w:r>
    </w:p>
    <w:p w14:paraId="746C5E4F" w14:textId="77777777" w:rsidR="00681BA7" w:rsidRDefault="00681BA7">
      <w:pPr>
        <w:spacing w:line="220" w:lineRule="exact"/>
        <w:ind w:left="360"/>
        <w:jc w:val="both"/>
      </w:pPr>
    </w:p>
    <w:p w14:paraId="7C6AE1ED" w14:textId="36494F51" w:rsidR="00681BA7" w:rsidRDefault="00681BA7">
      <w:pPr>
        <w:spacing w:line="220" w:lineRule="exact"/>
        <w:ind w:left="360"/>
        <w:jc w:val="both"/>
      </w:pPr>
      <w:r>
        <w:t>R.C. 149.45 separately requires all public offices to redact, encrypt, or truncate the social security numbers of individuals from any documents made available to the public on the internet.</w:t>
      </w:r>
      <w:r>
        <w:rPr>
          <w:rStyle w:val="EndnoteReference"/>
        </w:rPr>
        <w:endnoteReference w:id="357"/>
      </w:r>
      <w:r>
        <w:t xml:space="preserve">  If a public office becomes aware that an individual’s social security number was not redacted, the office must redact the social security number within a reasonable period of time.</w:t>
      </w:r>
      <w:r>
        <w:rPr>
          <w:rStyle w:val="EndnoteReference"/>
        </w:rPr>
        <w:endnoteReference w:id="358"/>
      </w:r>
    </w:p>
    <w:p w14:paraId="2B6A2A39" w14:textId="77777777" w:rsidR="00681BA7" w:rsidRDefault="00681BA7">
      <w:pPr>
        <w:spacing w:line="220" w:lineRule="exact"/>
        <w:ind w:left="360"/>
        <w:jc w:val="both"/>
      </w:pPr>
    </w:p>
    <w:p w14:paraId="22E2A08E" w14:textId="59546339" w:rsidR="00681BA7" w:rsidRDefault="00681BA7">
      <w:pPr>
        <w:spacing w:line="220" w:lineRule="exact"/>
        <w:ind w:left="360"/>
        <w:jc w:val="both"/>
      </w:pPr>
      <w:r>
        <w:t>The statute provides that a public office is not liable in a civil action for any alleged harm</w:t>
      </w:r>
      <w:r w:rsidR="001B7DEE">
        <w:t xml:space="preserve"> that results from</w:t>
      </w:r>
      <w:r>
        <w:t xml:space="preserve"> the failure to redact personal information or addresses on records made available on the </w:t>
      </w:r>
      <w:r>
        <w:lastRenderedPageBreak/>
        <w:t>internet to the</w:t>
      </w:r>
      <w:r w:rsidR="008D0CC6">
        <w:t xml:space="preserve"> </w:t>
      </w:r>
      <w:r>
        <w:t>public, unless the office acted with a malicious purpose, in bad faith, or in a wanton or reckless manner.</w:t>
      </w:r>
      <w:r>
        <w:rPr>
          <w:rStyle w:val="EndnoteReference"/>
        </w:rPr>
        <w:endnoteReference w:id="359"/>
      </w:r>
    </w:p>
    <w:p w14:paraId="6B3624E0" w14:textId="77777777" w:rsidR="00681BA7" w:rsidRDefault="00681BA7">
      <w:pPr>
        <w:spacing w:line="220" w:lineRule="exact"/>
        <w:ind w:left="360"/>
        <w:jc w:val="both"/>
      </w:pPr>
    </w:p>
    <w:p w14:paraId="1731958C" w14:textId="6D284667" w:rsidR="00681BA7" w:rsidRDefault="00681BA7">
      <w:pPr>
        <w:spacing w:line="220" w:lineRule="exact"/>
        <w:ind w:left="360"/>
        <w:jc w:val="both"/>
      </w:pPr>
      <w:r>
        <w:t xml:space="preserve">In addition to the protections listed above, R.C. 319.28 allows a </w:t>
      </w:r>
      <w:r w:rsidR="00AD7E1C">
        <w:t>“designated public service worker”</w:t>
      </w:r>
      <w:r>
        <w:rPr>
          <w:rStyle w:val="EndnoteReference"/>
        </w:rPr>
        <w:endnoteReference w:id="360"/>
      </w:r>
      <w:r>
        <w:t xml:space="preserve"> to submit a request, by affidavit, to remove his or her name from the general tax list of real and public utility property and insert initials instead.</w:t>
      </w:r>
      <w:r>
        <w:rPr>
          <w:rStyle w:val="EndnoteReference"/>
        </w:rPr>
        <w:endnoteReference w:id="361"/>
      </w:r>
      <w:r>
        <w:t xml:space="preserve">  Upon receiving such a request, the county auditor </w:t>
      </w:r>
      <w:r w:rsidR="00AA37A7">
        <w:t xml:space="preserve">must </w:t>
      </w:r>
      <w:r>
        <w:t>act within five days in accordance with the request.</w:t>
      </w:r>
      <w:r>
        <w:rPr>
          <w:rStyle w:val="EndnoteReference"/>
        </w:rPr>
        <w:endnoteReference w:id="362"/>
      </w:r>
      <w:r>
        <w:t xml:space="preserve">  If removal is not practicable, the auditor’s office must explain </w:t>
      </w:r>
      <w:r w:rsidR="00AA37A7">
        <w:t xml:space="preserve">to the individual </w:t>
      </w:r>
      <w:r>
        <w:t>why the removal and insertion is impracticable</w:t>
      </w:r>
      <w:r w:rsidR="00AA37A7">
        <w:t xml:space="preserve"> within five business days</w:t>
      </w:r>
      <w:r>
        <w:t>.</w:t>
      </w:r>
      <w:r>
        <w:rPr>
          <w:rStyle w:val="EndnoteReference"/>
        </w:rPr>
        <w:endnoteReference w:id="363"/>
      </w:r>
    </w:p>
    <w:p w14:paraId="35F58E5D" w14:textId="77777777" w:rsidR="000220B5" w:rsidRDefault="000220B5">
      <w:pPr>
        <w:spacing w:line="220" w:lineRule="exact"/>
        <w:ind w:left="360"/>
        <w:jc w:val="both"/>
      </w:pPr>
    </w:p>
    <w:p w14:paraId="6442CC30" w14:textId="4907FC51" w:rsidR="00681BA7" w:rsidRDefault="00681BA7" w:rsidP="00BD2AE1">
      <w:pPr>
        <w:pStyle w:val="Heading4"/>
      </w:pPr>
      <w:bookmarkStart w:id="422" w:name="_Toc159851499"/>
      <w:r>
        <w:t>c.</w:t>
      </w:r>
      <w:r>
        <w:tab/>
      </w:r>
      <w:r w:rsidR="00C100EF">
        <w:tab/>
      </w:r>
      <w:r>
        <w:t>Social security numbers</w:t>
      </w:r>
      <w:bookmarkEnd w:id="422"/>
    </w:p>
    <w:p w14:paraId="71A02D58" w14:textId="25D0EE96" w:rsidR="00681BA7" w:rsidRDefault="00681BA7">
      <w:pPr>
        <w:spacing w:line="220" w:lineRule="exact"/>
        <w:ind w:left="360"/>
        <w:jc w:val="both"/>
      </w:pPr>
      <w:r>
        <w:t xml:space="preserve">Social security numbers (SSNs) </w:t>
      </w:r>
      <w:r w:rsidR="00D65B63">
        <w:t>must</w:t>
      </w:r>
      <w:r>
        <w:t xml:space="preserve"> be redacted before the disclosure of public records, including court records.</w:t>
      </w:r>
      <w:r>
        <w:rPr>
          <w:rStyle w:val="EndnoteReference"/>
        </w:rPr>
        <w:endnoteReference w:id="364"/>
      </w:r>
    </w:p>
    <w:p w14:paraId="28F875FE" w14:textId="77777777" w:rsidR="00681BA7" w:rsidRDefault="00681BA7">
      <w:pPr>
        <w:spacing w:line="220" w:lineRule="exact"/>
        <w:ind w:left="360"/>
        <w:jc w:val="both"/>
      </w:pPr>
    </w:p>
    <w:p w14:paraId="5ED34FD6" w14:textId="5537A5FE" w:rsidR="00681BA7" w:rsidRDefault="00681BA7">
      <w:pPr>
        <w:spacing w:line="220" w:lineRule="exact"/>
        <w:ind w:left="360"/>
        <w:jc w:val="both"/>
      </w:pPr>
      <w:r>
        <w:t>Under the federal Privacy Act, any federal, state, or local government agency that asks individuals to disclose their SSNs must advise the person:  (1) whether that disclosure is mandatory or voluntary and, if mandatory, under what authority the SSN is solicited; and (2) what use will be made of it.</w:t>
      </w:r>
      <w:r>
        <w:rPr>
          <w:rStyle w:val="EndnoteReference"/>
        </w:rPr>
        <w:endnoteReference w:id="365"/>
      </w:r>
      <w:r>
        <w:t xml:space="preserve">  In short, a SSN can only be disclosed if an individual has been given prior notice that the</w:t>
      </w:r>
      <w:r w:rsidR="00AA37A7">
        <w:t>ir</w:t>
      </w:r>
      <w:r>
        <w:t xml:space="preserve"> SSN will be publicly available.</w:t>
      </w:r>
    </w:p>
    <w:p w14:paraId="6BAAB847" w14:textId="77777777" w:rsidR="00681BA7" w:rsidRDefault="00681BA7">
      <w:pPr>
        <w:spacing w:line="220" w:lineRule="exact"/>
        <w:ind w:left="360"/>
        <w:jc w:val="both"/>
      </w:pPr>
    </w:p>
    <w:p w14:paraId="0089DD72" w14:textId="7A378F15" w:rsidR="00AD7E1C" w:rsidRDefault="00681BA7" w:rsidP="00BE5E2A">
      <w:pPr>
        <w:spacing w:line="220" w:lineRule="exact"/>
        <w:ind w:left="360"/>
        <w:jc w:val="both"/>
      </w:pPr>
      <w:r>
        <w:t xml:space="preserve">However, the Supreme Court </w:t>
      </w:r>
      <w:r w:rsidR="0040318D">
        <w:t xml:space="preserve">of Ohio </w:t>
      </w:r>
      <w:r>
        <w:t>has</w:t>
      </w:r>
      <w:r w:rsidR="00895DF5">
        <w:t xml:space="preserve"> hel</w:t>
      </w:r>
      <w:r>
        <w:t>d that 911 tapes must be made immediately available for public disclosure without redaction, even if the tapes contain SSNs.</w:t>
      </w:r>
      <w:r>
        <w:rPr>
          <w:rStyle w:val="EndnoteReference"/>
        </w:rPr>
        <w:endnoteReference w:id="366"/>
      </w:r>
      <w:r>
        <w:t xml:space="preserve">  The Court explained that there is no expectation of privacy when a person makes a 911 call.  Instead, there is an expectation that the information will be recorded and disclosed to the public.</w:t>
      </w:r>
      <w:r>
        <w:rPr>
          <w:rStyle w:val="EndnoteReference"/>
        </w:rPr>
        <w:endnoteReference w:id="367"/>
      </w:r>
      <w:r>
        <w:t xml:space="preserve">  </w:t>
      </w:r>
    </w:p>
    <w:p w14:paraId="0A15A56C" w14:textId="77777777" w:rsidR="000220B5" w:rsidRDefault="000220B5" w:rsidP="00BE5E2A">
      <w:pPr>
        <w:spacing w:line="220" w:lineRule="exact"/>
        <w:ind w:left="360"/>
        <w:jc w:val="both"/>
      </w:pPr>
    </w:p>
    <w:p w14:paraId="5061F16F" w14:textId="5FBCC15C" w:rsidR="00681BA7" w:rsidRDefault="00681BA7" w:rsidP="00BD2AE1">
      <w:pPr>
        <w:pStyle w:val="Heading4"/>
      </w:pPr>
      <w:bookmarkStart w:id="423" w:name="_Toc159851500"/>
      <w:r>
        <w:t>d.</w:t>
      </w:r>
      <w:r>
        <w:tab/>
      </w:r>
      <w:r w:rsidR="00C100EF">
        <w:tab/>
      </w:r>
      <w:r>
        <w:t>Driver’s privacy protection</w:t>
      </w:r>
      <w:bookmarkEnd w:id="423"/>
    </w:p>
    <w:p w14:paraId="6B65911F" w14:textId="407919F5" w:rsidR="00AA37A7" w:rsidRDefault="00681BA7" w:rsidP="00BE5E2A">
      <w:pPr>
        <w:spacing w:line="220" w:lineRule="exact"/>
        <w:ind w:left="360"/>
        <w:jc w:val="both"/>
      </w:pPr>
      <w:r>
        <w:t>An authorized recipient of personal information about an individual that the Bureau of Motor Vehicles obtained in connection with a motor vehicle record may re-disclose the personal information only for certain purposes.</w:t>
      </w:r>
      <w:r>
        <w:rPr>
          <w:rStyle w:val="EndnoteReference"/>
        </w:rPr>
        <w:endnoteReference w:id="368"/>
      </w:r>
    </w:p>
    <w:p w14:paraId="5A66CA55" w14:textId="77777777" w:rsidR="000220B5" w:rsidRDefault="000220B5" w:rsidP="00BE5E2A">
      <w:pPr>
        <w:spacing w:line="220" w:lineRule="exact"/>
        <w:ind w:left="360"/>
        <w:jc w:val="both"/>
      </w:pPr>
    </w:p>
    <w:p w14:paraId="1154B2CD" w14:textId="6E4D2900" w:rsidR="00681BA7" w:rsidRDefault="00681BA7" w:rsidP="00BD2AE1">
      <w:pPr>
        <w:pStyle w:val="Heading4"/>
      </w:pPr>
      <w:bookmarkStart w:id="424" w:name="_Toc159851501"/>
      <w:r>
        <w:t>e.</w:t>
      </w:r>
      <w:r>
        <w:tab/>
      </w:r>
      <w:r w:rsidR="00C100EF">
        <w:tab/>
      </w:r>
      <w:r>
        <w:t>Income tax returns</w:t>
      </w:r>
      <w:bookmarkEnd w:id="424"/>
    </w:p>
    <w:p w14:paraId="795C260E" w14:textId="3FDBD0CB" w:rsidR="000B5F29" w:rsidRDefault="00681BA7">
      <w:pPr>
        <w:spacing w:line="220" w:lineRule="exact"/>
        <w:ind w:left="360"/>
        <w:jc w:val="both"/>
      </w:pPr>
      <w:r>
        <w:t xml:space="preserve">Generally, any information gained as a result of municipal and state income tax returns, investigations, hearings, or verifications </w:t>
      </w:r>
      <w:r w:rsidR="00AA37A7">
        <w:t>is</w:t>
      </w:r>
      <w:r>
        <w:t xml:space="preserve"> confidential and may only be disclosed as permitted by law.</w:t>
      </w:r>
      <w:r>
        <w:rPr>
          <w:rStyle w:val="EndnoteReference"/>
        </w:rPr>
        <w:endnoteReference w:id="369"/>
      </w:r>
      <w:r>
        <w:t xml:space="preserve">  Ohio’s municipal tax code provides that tax information may be disclosed</w:t>
      </w:r>
      <w:r w:rsidR="00AA37A7">
        <w:t xml:space="preserve"> only</w:t>
      </w:r>
      <w:r>
        <w:t xml:space="preserve"> (1) in accordance with a judicial order; (2) in connection with the performance of official duties; or (3) in connection with authorized official business of the municipal corporation.</w:t>
      </w:r>
      <w:r>
        <w:rPr>
          <w:rStyle w:val="EndnoteReference"/>
        </w:rPr>
        <w:endnoteReference w:id="370"/>
      </w:r>
      <w:r>
        <w:t xml:space="preserve">  </w:t>
      </w:r>
    </w:p>
    <w:p w14:paraId="5F2CE124" w14:textId="77777777" w:rsidR="000B5F29" w:rsidRDefault="000B5F29">
      <w:pPr>
        <w:spacing w:line="220" w:lineRule="exact"/>
        <w:ind w:left="360"/>
        <w:jc w:val="both"/>
      </w:pPr>
    </w:p>
    <w:p w14:paraId="6682BCCF" w14:textId="00E59344" w:rsidR="000B5F29" w:rsidRDefault="00681BA7" w:rsidP="00BE5E2A">
      <w:pPr>
        <w:spacing w:line="220" w:lineRule="exact"/>
        <w:ind w:left="360"/>
        <w:jc w:val="both"/>
      </w:pPr>
      <w:r>
        <w:t xml:space="preserve">One Attorney General Opinion </w:t>
      </w:r>
      <w:r w:rsidR="00AA37A7">
        <w:t>concluded</w:t>
      </w:r>
      <w:r>
        <w:t xml:space="preserve"> that W-2 federal tax forms prepared and maintained by a township as an employer are public records, but that W-2 forms filed as part of a municipal income tax return are confidential.</w:t>
      </w:r>
      <w:r>
        <w:rPr>
          <w:rStyle w:val="EndnoteReference"/>
        </w:rPr>
        <w:endnoteReference w:id="371"/>
      </w:r>
      <w:r>
        <w:t xml:space="preserve">  Release of municipal income tax information to the Auditor of State is permissible for purposes of facilitation of an audit.</w:t>
      </w:r>
      <w:r>
        <w:rPr>
          <w:rStyle w:val="EndnoteReference"/>
        </w:rPr>
        <w:endnoteReference w:id="372"/>
      </w:r>
      <w:r>
        <w:t xml:space="preserve">  Federal tax returns and “return information” are also confidential.</w:t>
      </w:r>
      <w:r>
        <w:rPr>
          <w:rStyle w:val="EndnoteReference"/>
        </w:rPr>
        <w:endnoteReference w:id="373"/>
      </w:r>
    </w:p>
    <w:p w14:paraId="52153F89" w14:textId="77777777" w:rsidR="00DE4763" w:rsidRDefault="00DE4763">
      <w:pPr>
        <w:spacing w:line="220" w:lineRule="exact"/>
        <w:ind w:left="360"/>
        <w:jc w:val="both"/>
      </w:pPr>
    </w:p>
    <w:p w14:paraId="3AF3A4D2" w14:textId="1B263023" w:rsidR="00127A0A" w:rsidRPr="00AD4D0E" w:rsidRDefault="008D0CC6" w:rsidP="00AD4D0E">
      <w:pPr>
        <w:pStyle w:val="Heading4"/>
      </w:pPr>
      <w:r>
        <w:t>f</w:t>
      </w:r>
      <w:r w:rsidR="008F7A72" w:rsidRPr="00F94AB9">
        <w:t>.</w:t>
      </w:r>
      <w:r w:rsidR="008F7A72" w:rsidRPr="00F94AB9">
        <w:tab/>
      </w:r>
      <w:r w:rsidR="00AB6AEB">
        <w:tab/>
      </w:r>
      <w:r w:rsidR="008F7A72" w:rsidRPr="00F94AB9">
        <w:t>Protected health in</w:t>
      </w:r>
      <w:r w:rsidR="00DE4763">
        <w:t>f</w:t>
      </w:r>
      <w:r w:rsidR="008F7A72" w:rsidRPr="00F94AB9">
        <w:t>ormation</w:t>
      </w:r>
    </w:p>
    <w:p w14:paraId="6C817382" w14:textId="49E1EE53" w:rsidR="00F769B7" w:rsidRDefault="00127A0A" w:rsidP="00BE5E2A">
      <w:pPr>
        <w:spacing w:line="220" w:lineRule="exact"/>
        <w:ind w:left="360"/>
        <w:jc w:val="both"/>
        <w:rPr>
          <w:i/>
        </w:rPr>
      </w:pPr>
      <w:r>
        <w:t>State law makes “protected health information” confidential.</w:t>
      </w:r>
      <w:r>
        <w:rPr>
          <w:rStyle w:val="EndnoteReference"/>
        </w:rPr>
        <w:endnoteReference w:id="374"/>
      </w:r>
      <w:r>
        <w:t xml:space="preserve"> </w:t>
      </w:r>
      <w:r w:rsidR="00B47979">
        <w:t xml:space="preserve"> </w:t>
      </w:r>
      <w:r>
        <w:t>This includes information that “describes an individual’s past, present, or future physical or mental status or condition, receipt of treatment or care, or purchase of health products” when the information either does reveal or could reveal the identity of the individual.</w:t>
      </w:r>
      <w:r>
        <w:rPr>
          <w:rStyle w:val="EndnoteReference"/>
        </w:rPr>
        <w:endnoteReference w:id="375"/>
      </w:r>
      <w:r>
        <w:t xml:space="preserve"> </w:t>
      </w:r>
      <w:r w:rsidR="00CF1A2C">
        <w:t xml:space="preserve"> </w:t>
      </w:r>
      <w:r>
        <w:t>Courts have concluded that cause-of-death determinations on death certificates are, “protected health information” that need not be disclosed in response to a public records request.</w:t>
      </w:r>
      <w:r>
        <w:rPr>
          <w:rStyle w:val="EndnoteReference"/>
        </w:rPr>
        <w:endnoteReference w:id="376"/>
      </w:r>
      <w:r>
        <w:t xml:space="preserve"> </w:t>
      </w:r>
      <w:r w:rsidR="00CF1A2C">
        <w:t xml:space="preserve"> </w:t>
      </w:r>
      <w:r w:rsidR="00DE4763">
        <w:t>Note</w:t>
      </w:r>
      <w:r w:rsidR="00E60C5A">
        <w:t>:</w:t>
      </w:r>
      <w:r w:rsidR="00DE4763">
        <w:t xml:space="preserve"> the Supreme Court of Ohio has taken this issue up for review in </w:t>
      </w:r>
      <w:r w:rsidR="00DE4763">
        <w:rPr>
          <w:i/>
        </w:rPr>
        <w:t>Ludlow v. Ohio Department of Health.</w:t>
      </w:r>
      <w:r w:rsidR="00DE4763" w:rsidRPr="00CF1A2C">
        <w:rPr>
          <w:rStyle w:val="EndnoteReference"/>
        </w:rPr>
        <w:endnoteReference w:id="377"/>
      </w:r>
    </w:p>
    <w:p w14:paraId="568988F4" w14:textId="77777777" w:rsidR="00AD4D0E" w:rsidRPr="000220B5" w:rsidRDefault="00AD4D0E" w:rsidP="00BE5E2A">
      <w:pPr>
        <w:spacing w:line="220" w:lineRule="exact"/>
        <w:ind w:left="360"/>
        <w:jc w:val="both"/>
        <w:rPr>
          <w:i/>
        </w:rPr>
      </w:pPr>
    </w:p>
    <w:p w14:paraId="47F3D58E" w14:textId="4DB31860" w:rsidR="00681BA7" w:rsidRDefault="00681BA7" w:rsidP="00322085">
      <w:pPr>
        <w:pStyle w:val="Heading3"/>
      </w:pPr>
      <w:bookmarkStart w:id="425" w:name="_Toc159851502"/>
      <w:r>
        <w:t>2.</w:t>
      </w:r>
      <w:r>
        <w:tab/>
        <w:t>Juvenile records</w:t>
      </w:r>
      <w:bookmarkEnd w:id="425"/>
    </w:p>
    <w:p w14:paraId="730E58EF" w14:textId="6C384412" w:rsidR="00681BA7" w:rsidRDefault="00681BA7" w:rsidP="008D0CC6">
      <w:pPr>
        <w:spacing w:line="220" w:lineRule="exact"/>
        <w:ind w:left="360"/>
        <w:jc w:val="both"/>
      </w:pPr>
      <w:r>
        <w:t>Although it is a common misconception</w:t>
      </w:r>
      <w:r w:rsidR="008D3D3A">
        <w:t xml:space="preserve"> that such a law exists</w:t>
      </w:r>
      <w:r>
        <w:t xml:space="preserve">, there is no Ohio law </w:t>
      </w:r>
      <w:r w:rsidR="00AA37A7">
        <w:t xml:space="preserve">that </w:t>
      </w:r>
      <w:r>
        <w:t>categorically excludes all juvenile records from public records disclosure.</w:t>
      </w:r>
      <w:r>
        <w:rPr>
          <w:rStyle w:val="EndnoteReference"/>
        </w:rPr>
        <w:endnoteReference w:id="378"/>
      </w:r>
      <w:r>
        <w:t xml:space="preserve">  As with any other record, a public office must identify a specific law that requires or permits a record regarding a juvenile to be withheld</w:t>
      </w:r>
      <w:r w:rsidR="00AA37A7">
        <w:t>; otherwise,</w:t>
      </w:r>
      <w:r>
        <w:t xml:space="preserve"> it must be released.</w:t>
      </w:r>
      <w:r>
        <w:rPr>
          <w:rStyle w:val="EndnoteReference"/>
        </w:rPr>
        <w:endnoteReference w:id="379"/>
      </w:r>
      <w:r>
        <w:t xml:space="preserve">  </w:t>
      </w:r>
    </w:p>
    <w:p w14:paraId="53F53268" w14:textId="77777777" w:rsidR="008D0CC6" w:rsidRDefault="008D0CC6" w:rsidP="008D0CC6">
      <w:pPr>
        <w:spacing w:line="220" w:lineRule="exact"/>
        <w:ind w:left="360"/>
        <w:jc w:val="both"/>
      </w:pPr>
    </w:p>
    <w:p w14:paraId="0876BB8B" w14:textId="240CE7C4" w:rsidR="00681BA7" w:rsidRDefault="00681BA7">
      <w:pPr>
        <w:spacing w:line="220" w:lineRule="exact"/>
        <w:ind w:left="360"/>
        <w:jc w:val="both"/>
      </w:pPr>
      <w:r>
        <w:t>Records maintained by the juvenile court and parties for certain proceedings are not available for public inspection and copying.</w:t>
      </w:r>
      <w:r>
        <w:rPr>
          <w:rStyle w:val="EndnoteReference"/>
        </w:rPr>
        <w:endnoteReference w:id="380"/>
      </w:r>
      <w:r>
        <w:t xml:space="preserve">  Although the juvenile court may exclude the public from most hearings, serious youthful offender proceedings and their transcripts are open to the public unless the court orders a hearing closed.</w:t>
      </w:r>
      <w:r>
        <w:rPr>
          <w:rStyle w:val="EndnoteReference"/>
        </w:rPr>
        <w:endnoteReference w:id="381"/>
      </w:r>
      <w:r>
        <w:t xml:space="preserve">  The closure hearing notice, proceedings, and decision must themselves be public.</w:t>
      </w:r>
      <w:r>
        <w:rPr>
          <w:rStyle w:val="EndnoteReference"/>
        </w:rPr>
        <w:endnoteReference w:id="382"/>
      </w:r>
      <w:r>
        <w:t xml:space="preserve">  Records of social, mental, and physical examinations conducted pursuant to a juvenile court order,</w:t>
      </w:r>
      <w:r>
        <w:rPr>
          <w:rStyle w:val="EndnoteReference"/>
        </w:rPr>
        <w:endnoteReference w:id="383"/>
      </w:r>
      <w:r>
        <w:t xml:space="preserve"> records of juvenile probation,</w:t>
      </w:r>
      <w:r>
        <w:rPr>
          <w:rStyle w:val="EndnoteReference"/>
        </w:rPr>
        <w:endnoteReference w:id="384"/>
      </w:r>
      <w:r>
        <w:t xml:space="preserve"> and records of juveniles held in custody by the Department of Youth Services are not public records.</w:t>
      </w:r>
      <w:r>
        <w:rPr>
          <w:rStyle w:val="EndnoteReference"/>
        </w:rPr>
        <w:endnoteReference w:id="385"/>
      </w:r>
      <w:r>
        <w:t xml:space="preserve">  Sealed or expunged juvenile adjudication records must be withheld.</w:t>
      </w:r>
      <w:r>
        <w:rPr>
          <w:rStyle w:val="EndnoteReference"/>
        </w:rPr>
        <w:endnoteReference w:id="386"/>
      </w:r>
    </w:p>
    <w:p w14:paraId="67C1B71F" w14:textId="77777777" w:rsidR="008D0CC6" w:rsidRDefault="008D0CC6">
      <w:pPr>
        <w:spacing w:line="220" w:lineRule="exact"/>
        <w:ind w:left="360"/>
        <w:jc w:val="both"/>
        <w:rPr>
          <w:szCs w:val="28"/>
        </w:rPr>
      </w:pPr>
    </w:p>
    <w:p w14:paraId="4534811C" w14:textId="1E240ADE" w:rsidR="00681BA7" w:rsidRDefault="00681BA7">
      <w:pPr>
        <w:spacing w:line="220" w:lineRule="exact"/>
        <w:ind w:left="360"/>
        <w:jc w:val="both"/>
        <w:rPr>
          <w:szCs w:val="28"/>
        </w:rPr>
      </w:pPr>
      <w:r>
        <w:rPr>
          <w:szCs w:val="28"/>
        </w:rPr>
        <w:t>Records prepared and kept by a public children services agency of investigations of families, children, and foster homes, and of the care of and treatment afforded children, and of other records required by the department of job and family services, are required to be kept confidential by the agency.</w:t>
      </w:r>
      <w:r>
        <w:rPr>
          <w:rStyle w:val="EndnoteReference"/>
        </w:rPr>
        <w:endnoteReference w:id="387"/>
      </w:r>
      <w:r>
        <w:rPr>
          <w:szCs w:val="28"/>
        </w:rPr>
        <w:t xml:space="preserve">  These records shall be open to inspection by the agency and certain listed officials and to other persons upon the written permission of the executive director when it is determined that “good cause” exists to access the records (except as otherwise limited by R.C. 3107.17).</w:t>
      </w:r>
      <w:r>
        <w:rPr>
          <w:rStyle w:val="EndnoteReference"/>
        </w:rPr>
        <w:endnoteReference w:id="388"/>
      </w:r>
    </w:p>
    <w:p w14:paraId="1FC241C6" w14:textId="77777777" w:rsidR="00AA37A7" w:rsidRDefault="00AA37A7">
      <w:pPr>
        <w:spacing w:line="220" w:lineRule="exact"/>
        <w:ind w:left="360"/>
        <w:jc w:val="both"/>
        <w:rPr>
          <w:szCs w:val="28"/>
        </w:rPr>
      </w:pPr>
    </w:p>
    <w:p w14:paraId="4ED37CE7" w14:textId="6A28128A" w:rsidR="00681BA7" w:rsidRDefault="00681BA7">
      <w:pPr>
        <w:spacing w:line="220" w:lineRule="exact"/>
        <w:ind w:left="360"/>
        <w:jc w:val="both"/>
      </w:pPr>
      <w:r>
        <w:t xml:space="preserve">Other exemptions that relate to juvenile records include: </w:t>
      </w:r>
      <w:r w:rsidR="00AA37A7">
        <w:t>(</w:t>
      </w:r>
      <w:r>
        <w:t>1) reports regarding allegations of child abuse;</w:t>
      </w:r>
      <w:r>
        <w:rPr>
          <w:rStyle w:val="EndnoteReference"/>
        </w:rPr>
        <w:endnoteReference w:id="389"/>
      </w:r>
      <w:r>
        <w:t xml:space="preserve"> </w:t>
      </w:r>
      <w:r w:rsidR="00AA37A7">
        <w:t>(</w:t>
      </w:r>
      <w:r>
        <w:t>2) individually identifiable student records;</w:t>
      </w:r>
      <w:r>
        <w:rPr>
          <w:rStyle w:val="EndnoteReference"/>
        </w:rPr>
        <w:endnoteReference w:id="390"/>
      </w:r>
      <w:r>
        <w:t xml:space="preserve"> </w:t>
      </w:r>
      <w:r w:rsidR="00AA37A7">
        <w:t>(</w:t>
      </w:r>
      <w:r>
        <w:t>3) certain foster care and day care information;</w:t>
      </w:r>
      <w:r>
        <w:rPr>
          <w:rStyle w:val="EndnoteReference"/>
        </w:rPr>
        <w:endnoteReference w:id="391"/>
      </w:r>
      <w:r>
        <w:t xml:space="preserve"> and </w:t>
      </w:r>
      <w:r w:rsidR="00AA37A7">
        <w:t>(</w:t>
      </w:r>
      <w:r>
        <w:t xml:space="preserve">4) information pertaining to the recreational activities of </w:t>
      </w:r>
      <w:r w:rsidR="00AA37A7">
        <w:t>juveniles</w:t>
      </w:r>
      <w:r>
        <w:t>.</w:t>
      </w:r>
      <w:r>
        <w:rPr>
          <w:rStyle w:val="EndnoteReference"/>
        </w:rPr>
        <w:endnoteReference w:id="392"/>
      </w:r>
    </w:p>
    <w:p w14:paraId="0DF243B0" w14:textId="77777777" w:rsidR="008D0CC6" w:rsidRDefault="008D0CC6">
      <w:pPr>
        <w:spacing w:line="220" w:lineRule="exact"/>
        <w:ind w:left="360"/>
        <w:jc w:val="both"/>
      </w:pPr>
    </w:p>
    <w:p w14:paraId="138B96A1" w14:textId="312B0636" w:rsidR="008D0CC6" w:rsidRDefault="008D0CC6">
      <w:pPr>
        <w:spacing w:line="220" w:lineRule="exact"/>
        <w:ind w:left="360"/>
        <w:jc w:val="both"/>
      </w:pPr>
      <w:r w:rsidRPr="00633746">
        <w:t>For discussion of juvenile law enforcement records, see Chapter</w:t>
      </w:r>
      <w:r w:rsidR="00031CB6" w:rsidRPr="00633746">
        <w:t xml:space="preserve"> Four</w:t>
      </w:r>
      <w:r w:rsidR="00633746" w:rsidRPr="00633746">
        <w:t>: B.3.</w:t>
      </w:r>
      <w:r w:rsidRPr="00633746">
        <w:t xml:space="preserve"> “</w:t>
      </w:r>
      <w:r w:rsidR="00633746" w:rsidRPr="00633746">
        <w:t>Juvenile l</w:t>
      </w:r>
      <w:r w:rsidRPr="00633746">
        <w:t xml:space="preserve">aw </w:t>
      </w:r>
      <w:r w:rsidR="00633746" w:rsidRPr="00633746">
        <w:t>e</w:t>
      </w:r>
      <w:r w:rsidRPr="00633746">
        <w:t xml:space="preserve">nforcement </w:t>
      </w:r>
      <w:r w:rsidR="00633746" w:rsidRPr="00633746">
        <w:t>r</w:t>
      </w:r>
      <w:r w:rsidRPr="00633746">
        <w:t>ecords.”</w:t>
      </w:r>
    </w:p>
    <w:p w14:paraId="167A57A1" w14:textId="77777777" w:rsidR="000220B5" w:rsidRDefault="000220B5">
      <w:pPr>
        <w:spacing w:line="220" w:lineRule="exact"/>
        <w:ind w:left="360"/>
        <w:jc w:val="both"/>
      </w:pPr>
    </w:p>
    <w:p w14:paraId="226B7F6A" w14:textId="01E714A4" w:rsidR="00681BA7" w:rsidRDefault="00681BA7" w:rsidP="00322085">
      <w:pPr>
        <w:pStyle w:val="Heading3"/>
      </w:pPr>
      <w:bookmarkStart w:id="426" w:name="_Toc159851503"/>
      <w:r w:rsidRPr="00B430FA">
        <w:t>3.</w:t>
      </w:r>
      <w:r w:rsidRPr="00B430FA">
        <w:tab/>
        <w:t>Student records</w:t>
      </w:r>
      <w:r>
        <w:rPr>
          <w:rStyle w:val="EndnoteReference"/>
        </w:rPr>
        <w:endnoteReference w:id="393"/>
      </w:r>
      <w:bookmarkEnd w:id="426"/>
    </w:p>
    <w:p w14:paraId="1103C2A7" w14:textId="60180391" w:rsidR="00681BA7" w:rsidRDefault="00681BA7">
      <w:pPr>
        <w:spacing w:line="220" w:lineRule="exact"/>
        <w:ind w:left="360"/>
        <w:jc w:val="both"/>
      </w:pPr>
      <w:r>
        <w:t>The federal Family Education Rights and Privacy Act of 1974 (FERPA)</w:t>
      </w:r>
      <w:r>
        <w:rPr>
          <w:rStyle w:val="EndnoteReference"/>
        </w:rPr>
        <w:endnoteReference w:id="394"/>
      </w:r>
      <w:r>
        <w:t xml:space="preserve"> prohibits educational institutions from releasing a student’s “education records” without the written consent of the eligible student</w:t>
      </w:r>
      <w:r>
        <w:rPr>
          <w:rStyle w:val="EndnoteReference"/>
        </w:rPr>
        <w:endnoteReference w:id="395"/>
      </w:r>
      <w:r>
        <w:t xml:space="preserve"> or his or her parents, except as permitted by the Act.</w:t>
      </w:r>
      <w:r>
        <w:rPr>
          <w:rStyle w:val="EndnoteReference"/>
        </w:rPr>
        <w:endnoteReference w:id="396"/>
      </w:r>
      <w:r>
        <w:t xml:space="preserve">  “Education records” are records directly related to a student that are maintained by an education</w:t>
      </w:r>
      <w:r w:rsidR="00AA37A7">
        <w:t>al</w:t>
      </w:r>
      <w:r>
        <w:t xml:space="preserve"> agency</w:t>
      </w:r>
      <w:r w:rsidR="00EC1D52">
        <w:t>,</w:t>
      </w:r>
      <w:r>
        <w:t xml:space="preserve"> or institution or by a party acting for the agency or institution.</w:t>
      </w:r>
      <w:r>
        <w:rPr>
          <w:rStyle w:val="EndnoteReference"/>
        </w:rPr>
        <w:endnoteReference w:id="397"/>
      </w:r>
      <w:r>
        <w:t xml:space="preserve">  The term encompasses records such as school transcripts, attendance records, and student disciplinary records.</w:t>
      </w:r>
      <w:r>
        <w:rPr>
          <w:rStyle w:val="EndnoteReference"/>
        </w:rPr>
        <w:endnoteReference w:id="398"/>
      </w:r>
      <w:r>
        <w:t xml:space="preserve">  “Education records” covered by FERPA are not limited to “academic performance, financial aid, or scholastic performance.”</w:t>
      </w:r>
      <w:r>
        <w:rPr>
          <w:rStyle w:val="EndnoteReference"/>
        </w:rPr>
        <w:endnoteReference w:id="399"/>
      </w:r>
      <w:r w:rsidR="00AD7E1C">
        <w:t xml:space="preserve"> </w:t>
      </w:r>
      <w:r w:rsidR="00EC1D52">
        <w:t xml:space="preserve"> </w:t>
      </w:r>
      <w:r w:rsidR="00AD7E1C">
        <w:t xml:space="preserve">Note, however, that “education records” do not include records of an </w:t>
      </w:r>
      <w:r w:rsidR="00AA37A7">
        <w:t xml:space="preserve">agency or </w:t>
      </w:r>
      <w:r w:rsidR="00AD7E1C">
        <w:t>institution’s law enforcement unit.</w:t>
      </w:r>
      <w:r w:rsidR="00AD7E1C">
        <w:rPr>
          <w:rStyle w:val="EndnoteReference"/>
        </w:rPr>
        <w:endnoteReference w:id="400"/>
      </w:r>
    </w:p>
    <w:p w14:paraId="584F3C89" w14:textId="77777777" w:rsidR="00681BA7" w:rsidRDefault="00681BA7">
      <w:pPr>
        <w:spacing w:line="220" w:lineRule="exact"/>
        <w:ind w:left="360"/>
        <w:jc w:val="both"/>
      </w:pPr>
    </w:p>
    <w:p w14:paraId="72D232A0" w14:textId="457762E2" w:rsidR="00681BA7" w:rsidRDefault="00681BA7">
      <w:pPr>
        <w:spacing w:line="220" w:lineRule="exact"/>
        <w:ind w:left="360"/>
        <w:jc w:val="both"/>
      </w:pPr>
      <w:r>
        <w:t>A record is “directly related” to a student if it contains “personally identifiable information.”  The latter term is defined broadly and covers not only obvious identifiers</w:t>
      </w:r>
      <w:r w:rsidR="00AA37A7">
        <w:t>,</w:t>
      </w:r>
      <w:r>
        <w:t xml:space="preserve"> such as student and family member names, addresses, and social security numbers, but also personal characteristics or other information that would make the student’s identity easily linkable.</w:t>
      </w:r>
      <w:r>
        <w:rPr>
          <w:rStyle w:val="EndnoteReference"/>
        </w:rPr>
        <w:endnoteReference w:id="401"/>
      </w:r>
      <w:r>
        <w:t xml:space="preserve">  In evaluating records for release, an </w:t>
      </w:r>
      <w:r w:rsidR="00AA37A7">
        <w:t xml:space="preserve">agency or </w:t>
      </w:r>
      <w:r>
        <w:t>institution must consider what the records requester already knows about the student to determine if that knowledge, together with the information to be disclosed, would allow the requester to ascertain the student’s identity.</w:t>
      </w:r>
    </w:p>
    <w:p w14:paraId="04ED22AF" w14:textId="77777777" w:rsidR="00681BA7" w:rsidRDefault="00681BA7">
      <w:pPr>
        <w:spacing w:line="220" w:lineRule="exact"/>
        <w:ind w:left="360"/>
        <w:jc w:val="both"/>
      </w:pPr>
    </w:p>
    <w:p w14:paraId="18583F1C" w14:textId="53CD42F2" w:rsidR="00681BA7" w:rsidRDefault="00681BA7">
      <w:pPr>
        <w:spacing w:line="220" w:lineRule="exact"/>
        <w:ind w:left="360"/>
        <w:jc w:val="both"/>
      </w:pPr>
      <w:r>
        <w:t xml:space="preserve">FERPA applies to all students, regardless of grade level.  In addition, Ohio has adopted laws specifically applicable to public school students in grades </w:t>
      </w:r>
      <w:r w:rsidR="00AA37A7">
        <w:t xml:space="preserve">kindergarten through </w:t>
      </w:r>
      <w:r w:rsidR="00EC1D52">
        <w:t>12</w:t>
      </w:r>
      <w:r>
        <w:t>.</w:t>
      </w:r>
      <w:r>
        <w:rPr>
          <w:rStyle w:val="EndnoteReference"/>
        </w:rPr>
        <w:endnoteReference w:id="402"/>
      </w:r>
      <w:r>
        <w:t xml:space="preserve">  Those laws provide that, unless otherwise authorized by law, no public school employee is permitted to release or permit access to personally identifiable information – other than directory information – concerning a public </w:t>
      </w:r>
      <w:r>
        <w:lastRenderedPageBreak/>
        <w:t>school student without written consent of the student’s parent, guardian, or custodian if the student is under 18, or the consent of the student if the student is 18 or older.</w:t>
      </w:r>
      <w:r>
        <w:rPr>
          <w:rStyle w:val="EndnoteReference"/>
        </w:rPr>
        <w:endnoteReference w:id="403"/>
      </w:r>
    </w:p>
    <w:p w14:paraId="0C79DD1B" w14:textId="77777777" w:rsidR="00681BA7" w:rsidRDefault="00681BA7">
      <w:pPr>
        <w:spacing w:line="220" w:lineRule="exact"/>
        <w:ind w:left="360"/>
        <w:jc w:val="both"/>
      </w:pPr>
    </w:p>
    <w:p w14:paraId="3A2416AC" w14:textId="71455DA9" w:rsidR="00681BA7" w:rsidRDefault="00681BA7">
      <w:pPr>
        <w:spacing w:line="220" w:lineRule="exact"/>
        <w:ind w:left="360"/>
        <w:jc w:val="both"/>
      </w:pPr>
      <w:r>
        <w:t>“Directory information” is one of several exemptions to the requirement that an institution obtain written consent prior to disclosure.  “Directory information” is “</w:t>
      </w:r>
      <w:r w:rsidR="00EC1D52">
        <w:t>‘</w:t>
      </w:r>
      <w:r>
        <w:t>information</w:t>
      </w:r>
      <w:r>
        <w:sym w:font="Symbol" w:char="F0BC"/>
      </w:r>
      <w:r w:rsidR="00AA37A7">
        <w:t xml:space="preserve">’ </w:t>
      </w:r>
      <w:r>
        <w:t>that would not generally be considered harmful or an invasion of privacy if disclosed.”</w:t>
      </w:r>
      <w:r>
        <w:rPr>
          <w:rStyle w:val="EndnoteReference"/>
        </w:rPr>
        <w:endnoteReference w:id="404"/>
      </w:r>
      <w:r>
        <w:t xml:space="preserve">  It includes a student’s name, address, telephone listing, date and place of birth, major field of study, participation in officially recognized activities and sports, weight and height of members of athletic teams, dates of attendance, date of graduation, and awards received.</w:t>
      </w:r>
      <w:r>
        <w:rPr>
          <w:rStyle w:val="EndnoteReference"/>
        </w:rPr>
        <w:endnoteReference w:id="405"/>
      </w:r>
      <w:r>
        <w:t xml:space="preserve">  Pursuant to federal law, post-secondary institutions designate what they will unilaterally release as directory information.  For </w:t>
      </w:r>
      <w:r w:rsidR="00AA37A7">
        <w:t xml:space="preserve">grades kindergarten through </w:t>
      </w:r>
      <w:r w:rsidR="00EC1D52">
        <w:t>12</w:t>
      </w:r>
      <w:r>
        <w:t>, Ohio law leaves that designation to each school district board of education.  Institutions at all levels must notify parents and eligible students and give them an opportunity to opt out of disclosure of their directory information.</w:t>
      </w:r>
      <w:r>
        <w:rPr>
          <w:rStyle w:val="EndnoteReference"/>
        </w:rPr>
        <w:endnoteReference w:id="406"/>
      </w:r>
    </w:p>
    <w:p w14:paraId="1586915D" w14:textId="77777777" w:rsidR="00681BA7" w:rsidRDefault="00681BA7">
      <w:pPr>
        <w:spacing w:line="220" w:lineRule="exact"/>
        <w:ind w:left="360"/>
        <w:jc w:val="both"/>
      </w:pPr>
    </w:p>
    <w:p w14:paraId="66835E32" w14:textId="00B7097F" w:rsidR="00681BA7" w:rsidRDefault="00681BA7">
      <w:pPr>
        <w:spacing w:line="220" w:lineRule="exact"/>
        <w:ind w:left="360"/>
        <w:jc w:val="both"/>
      </w:pPr>
      <w:r>
        <w:t>Ohio law prohibits release of directory information to any person or group for use in a profit-making plan or activity.</w:t>
      </w:r>
      <w:r>
        <w:rPr>
          <w:rStyle w:val="EndnoteReference"/>
        </w:rPr>
        <w:endnoteReference w:id="407"/>
      </w:r>
      <w:r>
        <w:t xml:space="preserve">  A public office may require disclosure of the requester’s identity or the intended use of directory information to ascertain </w:t>
      </w:r>
      <w:r w:rsidR="00AA37A7">
        <w:t xml:space="preserve">whatever </w:t>
      </w:r>
      <w:r>
        <w:t>it will be used in a profit-making plan or activity.</w:t>
      </w:r>
      <w:r>
        <w:rPr>
          <w:rStyle w:val="EndnoteReference"/>
        </w:rPr>
        <w:endnoteReference w:id="408"/>
      </w:r>
    </w:p>
    <w:p w14:paraId="58C193F5" w14:textId="77777777" w:rsidR="00195135" w:rsidRDefault="00195135">
      <w:pPr>
        <w:spacing w:line="220" w:lineRule="exact"/>
        <w:ind w:left="360"/>
        <w:jc w:val="both"/>
      </w:pPr>
    </w:p>
    <w:p w14:paraId="1E1D6AA0" w14:textId="3585A696" w:rsidR="005C3880" w:rsidRDefault="00681BA7" w:rsidP="00BE5E2A">
      <w:pPr>
        <w:spacing w:line="220" w:lineRule="exact"/>
        <w:ind w:left="360"/>
        <w:jc w:val="both"/>
      </w:pPr>
      <w:r>
        <w:t xml:space="preserve">Although the release of FERPA-protected records is prohibited by law, a public office or school should redact </w:t>
      </w:r>
      <w:r w:rsidR="00AA37A7">
        <w:t>a</w:t>
      </w:r>
      <w:r>
        <w:t xml:space="preserve"> student’s personal identifying information instead of withholding </w:t>
      </w:r>
      <w:r w:rsidR="00AA37A7">
        <w:t xml:space="preserve">an </w:t>
      </w:r>
      <w:r>
        <w:t>entire record, when possible.</w:t>
      </w:r>
      <w:r>
        <w:rPr>
          <w:rStyle w:val="EndnoteReference"/>
        </w:rPr>
        <w:endnoteReference w:id="409"/>
      </w:r>
    </w:p>
    <w:p w14:paraId="792AD453" w14:textId="77777777" w:rsidR="000220B5" w:rsidRPr="00BE5E2A" w:rsidRDefault="000220B5" w:rsidP="00BE5E2A">
      <w:pPr>
        <w:spacing w:line="220" w:lineRule="exact"/>
        <w:ind w:left="360"/>
        <w:jc w:val="both"/>
      </w:pPr>
    </w:p>
    <w:p w14:paraId="5E651BBD" w14:textId="30251AEC" w:rsidR="003763D3" w:rsidRPr="003763D3" w:rsidRDefault="00DD79AB" w:rsidP="00322085">
      <w:pPr>
        <w:pStyle w:val="Heading3"/>
      </w:pPr>
      <w:bookmarkStart w:id="427" w:name="_Toc159851504"/>
      <w:r w:rsidRPr="003763D3">
        <w:t>4</w:t>
      </w:r>
      <w:r w:rsidR="00681BA7" w:rsidRPr="003763D3">
        <w:t>.</w:t>
      </w:r>
      <w:r w:rsidR="00681BA7" w:rsidRPr="003763D3">
        <w:tab/>
      </w:r>
      <w:r w:rsidR="002A248B" w:rsidRPr="003763D3">
        <w:t>Public safety and public office security</w:t>
      </w:r>
      <w:bookmarkEnd w:id="427"/>
    </w:p>
    <w:p w14:paraId="30D71B9A" w14:textId="0679E5A5" w:rsidR="003763D3" w:rsidRPr="003763D3" w:rsidRDefault="002A248B" w:rsidP="00BD2AE1">
      <w:pPr>
        <w:pStyle w:val="Heading4"/>
      </w:pPr>
      <w:bookmarkStart w:id="428" w:name="_Toc159851505"/>
      <w:r w:rsidRPr="003763D3">
        <w:t>a.</w:t>
      </w:r>
      <w:r w:rsidRPr="003763D3">
        <w:tab/>
      </w:r>
      <w:r w:rsidR="00C100EF">
        <w:tab/>
      </w:r>
      <w:r w:rsidR="003763D3" w:rsidRPr="003763D3">
        <w:t>Security records</w:t>
      </w:r>
      <w:bookmarkEnd w:id="428"/>
    </w:p>
    <w:p w14:paraId="1217D3C8" w14:textId="7F105699" w:rsidR="003763D3" w:rsidRDefault="003763D3" w:rsidP="00DB3E6E">
      <w:pPr>
        <w:spacing w:line="220" w:lineRule="exact"/>
        <w:ind w:left="360"/>
        <w:jc w:val="both"/>
      </w:pPr>
      <w:r>
        <w:t>The security records and infrastructure records exemptions are defined in the same statute but are two separate exemptions that apply differently.</w:t>
      </w:r>
      <w:r w:rsidRPr="008F0761">
        <w:t xml:space="preserve"> </w:t>
      </w:r>
    </w:p>
    <w:p w14:paraId="7AD190C8" w14:textId="77777777" w:rsidR="003763D3" w:rsidRDefault="003763D3" w:rsidP="00DB3E6E">
      <w:pPr>
        <w:spacing w:line="220" w:lineRule="exact"/>
        <w:ind w:left="360"/>
        <w:jc w:val="both"/>
      </w:pPr>
    </w:p>
    <w:p w14:paraId="372461AC" w14:textId="38A05B0B" w:rsidR="003763D3" w:rsidRDefault="003763D3" w:rsidP="00DB3E6E">
      <w:pPr>
        <w:spacing w:line="220" w:lineRule="exact"/>
        <w:ind w:left="360"/>
        <w:jc w:val="both"/>
      </w:pPr>
      <w:r>
        <w:t>A “security record” is any record that “contains information directly used for protecting or maintaining the security of a public office against attack, interference, or sabotage . . . [or] to prevent, mitigate, or respond to acts of terrorism.”</w:t>
      </w:r>
      <w:r>
        <w:rPr>
          <w:rStyle w:val="EndnoteReference"/>
        </w:rPr>
        <w:endnoteReference w:id="410"/>
      </w:r>
      <w:r>
        <w:t xml:space="preserve"> Protecting a public office includes protecting the employees, officers, and agents who work in that office.</w:t>
      </w:r>
      <w:r>
        <w:rPr>
          <w:rStyle w:val="EndnoteReference"/>
        </w:rPr>
        <w:endnoteReference w:id="411"/>
      </w:r>
      <w:r w:rsidRPr="000D6A03">
        <w:t xml:space="preserve"> </w:t>
      </w:r>
      <w:r>
        <w:t>For example, a prison’s shift-assignment duty rosters that showed where guards are posted, which guards are assigned to a particular post, and how many will be there at a given time, were exempt as security records. The court said that knowing where and when guards would be posted could be used to plan an escape or attack, or to smuggle contraband into the prison.</w:t>
      </w:r>
      <w:r>
        <w:rPr>
          <w:rStyle w:val="EndnoteReference"/>
        </w:rPr>
        <w:endnoteReference w:id="412"/>
      </w:r>
    </w:p>
    <w:p w14:paraId="09C3CEF1" w14:textId="77777777" w:rsidR="003763D3" w:rsidRDefault="003763D3" w:rsidP="00DB3E6E">
      <w:pPr>
        <w:spacing w:line="220" w:lineRule="exact"/>
        <w:ind w:left="360"/>
        <w:jc w:val="both"/>
      </w:pPr>
    </w:p>
    <w:p w14:paraId="37E6A3A8" w14:textId="77777777" w:rsidR="003763D3" w:rsidRDefault="003763D3" w:rsidP="00DB3E6E">
      <w:pPr>
        <w:spacing w:line="220" w:lineRule="exact"/>
        <w:ind w:left="360"/>
        <w:jc w:val="both"/>
      </w:pPr>
      <w:r>
        <w:t>The office invoking the security record exemption “must provide evidence establishing that the record clearly contains information directly used for protecting or maintaining the security of a public office against attack, interference, or sabotage,” u</w:t>
      </w:r>
      <w:r w:rsidRPr="00A67B18">
        <w:t>nless it is otherwise obvious from the content of the record</w:t>
      </w:r>
      <w:r>
        <w:t>.</w:t>
      </w:r>
      <w:r>
        <w:rPr>
          <w:rStyle w:val="EndnoteReference"/>
        </w:rPr>
        <w:endnoteReference w:id="413"/>
      </w:r>
      <w:r>
        <w:t xml:space="preserve"> For example, the Supreme Court of Ohio held that the public office failed to show that video depicting the shooting of a judge was a security record because there was no evidence that the footage contained information that was directly used for protecting or maintaining the security of the office against attack, interference, or sabotage.</w:t>
      </w:r>
      <w:r>
        <w:rPr>
          <w:rStyle w:val="EndnoteReference"/>
        </w:rPr>
        <w:endnoteReference w:id="414"/>
      </w:r>
      <w:r>
        <w:t xml:space="preserve"> In another case, the Supreme Court held that records regarding the travel and expenses for State Highway Patrol troopers attending the Super Bowl with the Governor fell within the security records exemption.</w:t>
      </w:r>
      <w:r w:rsidRPr="003C7FCC">
        <w:t xml:space="preserve"> </w:t>
      </w:r>
      <w:r>
        <w:t>The public office submitted extensive evidence showing how “releasing records containing information about the Governor’s security detail would reveal patterns, techniques, or information relevant to the size, scope, or nature of the security and protection provided to the Governor . . . [and] could be used to attack, interfere, or sabotage the Governor or his security detail.”</w:t>
      </w:r>
      <w:r>
        <w:rPr>
          <w:rStyle w:val="EndnoteReference"/>
        </w:rPr>
        <w:endnoteReference w:id="415"/>
      </w:r>
    </w:p>
    <w:p w14:paraId="26212F09" w14:textId="77777777" w:rsidR="003763D3" w:rsidRDefault="003763D3" w:rsidP="00DB3E6E">
      <w:pPr>
        <w:spacing w:line="220" w:lineRule="exact"/>
        <w:ind w:left="360"/>
        <w:jc w:val="both"/>
      </w:pPr>
    </w:p>
    <w:p w14:paraId="7FE5039A" w14:textId="679BD203" w:rsidR="003763D3" w:rsidRDefault="003763D3" w:rsidP="00E365B5">
      <w:pPr>
        <w:spacing w:line="220" w:lineRule="exact"/>
        <w:ind w:left="360"/>
        <w:jc w:val="both"/>
      </w:pPr>
      <w:r>
        <w:t>Security records may be disclosed for purposes of construction, renovation, or remodeling of a public office without waiving the exempt status of that record.</w:t>
      </w:r>
      <w:r>
        <w:rPr>
          <w:rStyle w:val="EndnoteReference"/>
        </w:rPr>
        <w:endnoteReference w:id="416"/>
      </w:r>
    </w:p>
    <w:p w14:paraId="238F91AB" w14:textId="77777777" w:rsidR="000220B5" w:rsidRDefault="000220B5" w:rsidP="00E365B5">
      <w:pPr>
        <w:spacing w:line="220" w:lineRule="exact"/>
        <w:ind w:left="360"/>
        <w:jc w:val="both"/>
      </w:pPr>
    </w:p>
    <w:p w14:paraId="416CBC26" w14:textId="77777777" w:rsidR="000220B5" w:rsidRPr="003763D3" w:rsidRDefault="000220B5" w:rsidP="00E365B5">
      <w:pPr>
        <w:spacing w:line="220" w:lineRule="exact"/>
        <w:ind w:left="360"/>
        <w:jc w:val="both"/>
      </w:pPr>
    </w:p>
    <w:p w14:paraId="6FC873CC" w14:textId="45457073" w:rsidR="003763D3" w:rsidRDefault="00C100EF" w:rsidP="00C100EF">
      <w:pPr>
        <w:pStyle w:val="Heading4"/>
        <w:numPr>
          <w:ilvl w:val="0"/>
          <w:numId w:val="77"/>
        </w:numPr>
      </w:pPr>
      <w:r>
        <w:tab/>
      </w:r>
      <w:bookmarkStart w:id="429" w:name="_Toc159851506"/>
      <w:r w:rsidR="003763D3" w:rsidRPr="003763D3">
        <w:t>Infrastructure records</w:t>
      </w:r>
      <w:bookmarkEnd w:id="429"/>
    </w:p>
    <w:p w14:paraId="459F50C1" w14:textId="3AAF3D1E" w:rsidR="003763D3" w:rsidRDefault="003763D3" w:rsidP="00DB3E6E">
      <w:pPr>
        <w:spacing w:line="220" w:lineRule="exact"/>
        <w:ind w:left="360"/>
        <w:jc w:val="both"/>
      </w:pPr>
      <w:r>
        <w:t>An “infrastructure record” is any record that discloses the configuration of a public office’s “critical systems,” such as its communications, computer, electrical, mechanical, ventilation, water, plumbing, or security systems.</w:t>
      </w:r>
      <w:r>
        <w:rPr>
          <w:rStyle w:val="EndnoteReference"/>
        </w:rPr>
        <w:endnoteReference w:id="417"/>
      </w:r>
      <w:r>
        <w:t xml:space="preserve"> In the case regarding a prison’s shift-assignment duty rosters the court held that the rosters were not infrastructure records because guard assignments and locations are not “systems” like a mechanical or electrical system, and the assignment of guards in the prison does not relate to the structural configuration of a building.</w:t>
      </w:r>
      <w:r>
        <w:rPr>
          <w:rStyle w:val="EndnoteReference"/>
        </w:rPr>
        <w:endnoteReference w:id="418"/>
      </w:r>
    </w:p>
    <w:p w14:paraId="0BE9E671" w14:textId="77777777" w:rsidR="003763D3" w:rsidRDefault="003763D3" w:rsidP="003763D3">
      <w:pPr>
        <w:spacing w:line="220" w:lineRule="exact"/>
        <w:jc w:val="both"/>
      </w:pPr>
    </w:p>
    <w:p w14:paraId="273A26DD" w14:textId="77777777" w:rsidR="003763D3" w:rsidRDefault="003763D3" w:rsidP="00DB3E6E">
      <w:pPr>
        <w:spacing w:line="220" w:lineRule="exact"/>
        <w:ind w:left="360"/>
        <w:jc w:val="both"/>
      </w:pPr>
      <w:r>
        <w:t>Floor plans or records showing the spatial relationship of the public office are not infrastructure records.</w:t>
      </w:r>
      <w:r>
        <w:rPr>
          <w:rStyle w:val="EndnoteReference"/>
        </w:rPr>
        <w:endnoteReference w:id="419"/>
      </w:r>
      <w:r>
        <w:t xml:space="preserve"> The Supreme Court of Ohio held that security camera footage that documented a use-of-force incident at the prison was not an infrastructure record because the video showed no more than what could be learned from a floor plan.</w:t>
      </w:r>
      <w:r>
        <w:rPr>
          <w:rStyle w:val="EndnoteReference"/>
        </w:rPr>
        <w:endnoteReference w:id="420"/>
      </w:r>
      <w:r>
        <w:t xml:space="preserve"> The footage did not show the location of fire or other alarms, where officers are posted, or the configuration of any other critical system. </w:t>
      </w:r>
    </w:p>
    <w:p w14:paraId="7CF1AD65" w14:textId="77777777" w:rsidR="003763D3" w:rsidRDefault="003763D3" w:rsidP="00DB3E6E">
      <w:pPr>
        <w:spacing w:line="220" w:lineRule="exact"/>
        <w:ind w:left="360"/>
        <w:jc w:val="both"/>
      </w:pPr>
    </w:p>
    <w:p w14:paraId="121625B2" w14:textId="710603BD" w:rsidR="003763D3" w:rsidRDefault="003763D3" w:rsidP="00B9343B">
      <w:pPr>
        <w:spacing w:line="220" w:lineRule="exact"/>
        <w:ind w:left="360"/>
        <w:jc w:val="both"/>
      </w:pPr>
      <w:r>
        <w:t>Like security records, infrastructure records may be disclosed for purposes of construction, renovation, or remodeling of a public office without waiving the exempt status of that record.</w:t>
      </w:r>
      <w:r>
        <w:rPr>
          <w:rStyle w:val="EndnoteReference"/>
        </w:rPr>
        <w:endnoteReference w:id="421"/>
      </w:r>
    </w:p>
    <w:p w14:paraId="06C1EFA9" w14:textId="77777777" w:rsidR="00B9343B" w:rsidRPr="003763D3" w:rsidRDefault="00B9343B" w:rsidP="00B9343B">
      <w:pPr>
        <w:spacing w:line="220" w:lineRule="exact"/>
        <w:ind w:left="360"/>
        <w:jc w:val="both"/>
      </w:pPr>
    </w:p>
    <w:p w14:paraId="0EA2A7D3" w14:textId="4F3F66BB" w:rsidR="003763D3" w:rsidRDefault="00C100EF" w:rsidP="00C100EF">
      <w:pPr>
        <w:pStyle w:val="Heading4"/>
        <w:numPr>
          <w:ilvl w:val="0"/>
          <w:numId w:val="77"/>
        </w:numPr>
      </w:pPr>
      <w:r>
        <w:tab/>
      </w:r>
      <w:bookmarkStart w:id="430" w:name="_Toc159851507"/>
      <w:r w:rsidR="002A248B" w:rsidRPr="003763D3">
        <w:t xml:space="preserve">Records that would jeopardize the security of public office </w:t>
      </w:r>
      <w:r>
        <w:tab/>
      </w:r>
      <w:r w:rsidR="002A248B" w:rsidRPr="003763D3">
        <w:t>electronic records</w:t>
      </w:r>
      <w:bookmarkEnd w:id="430"/>
    </w:p>
    <w:p w14:paraId="4E5CDA2C" w14:textId="27A20B92" w:rsidR="002A248B" w:rsidRDefault="002A248B" w:rsidP="00DB3E6E">
      <w:pPr>
        <w:spacing w:line="220" w:lineRule="exact"/>
        <w:ind w:left="360"/>
        <w:jc w:val="both"/>
      </w:pPr>
      <w:r>
        <w:t>Records that would disclose or may lead to the disclosure of records or information that would jeopardize the state’s continued use or security of any computer or telecommunications devices or services associated with electronic signatures, electronic records, or electronic transactions are not public records under the Public Records Act.</w:t>
      </w:r>
      <w:r w:rsidR="003763D3">
        <w:rPr>
          <w:rStyle w:val="EndnoteReference"/>
        </w:rPr>
        <w:endnoteReference w:id="422"/>
      </w:r>
    </w:p>
    <w:p w14:paraId="1D53F81F" w14:textId="77777777" w:rsidR="000220B5" w:rsidRPr="002A248B" w:rsidRDefault="000220B5" w:rsidP="00DB3E6E">
      <w:pPr>
        <w:spacing w:line="220" w:lineRule="exact"/>
        <w:ind w:left="360"/>
        <w:jc w:val="both"/>
      </w:pPr>
    </w:p>
    <w:p w14:paraId="6E7572D6" w14:textId="1F564139" w:rsidR="00681BA7" w:rsidRDefault="002A248B" w:rsidP="00322085">
      <w:pPr>
        <w:pStyle w:val="Heading3"/>
      </w:pPr>
      <w:bookmarkStart w:id="431" w:name="_Toc159851508"/>
      <w:r>
        <w:t>5.</w:t>
      </w:r>
      <w:r>
        <w:tab/>
      </w:r>
      <w:r w:rsidR="00681BA7">
        <w:t>Exemptions related to litigation</w:t>
      </w:r>
      <w:bookmarkEnd w:id="431"/>
    </w:p>
    <w:p w14:paraId="2AC36EC2" w14:textId="2B0D3849" w:rsidR="00681BA7" w:rsidRDefault="00681BA7" w:rsidP="00BD2AE1">
      <w:pPr>
        <w:pStyle w:val="Heading4"/>
      </w:pPr>
      <w:bookmarkStart w:id="432" w:name="_Toc159851509"/>
      <w:r>
        <w:t>a.</w:t>
      </w:r>
      <w:r>
        <w:tab/>
      </w:r>
      <w:r w:rsidR="00C100EF">
        <w:tab/>
      </w:r>
      <w:r>
        <w:t>Attorney-client privilege</w:t>
      </w:r>
      <w:r w:rsidR="00AA37A7">
        <w:t xml:space="preserve"> and attorney work product</w:t>
      </w:r>
      <w:bookmarkEnd w:id="432"/>
    </w:p>
    <w:p w14:paraId="267CDB6D" w14:textId="77777777" w:rsidR="00681BA7" w:rsidRDefault="00681BA7">
      <w:pPr>
        <w:spacing w:line="220" w:lineRule="exact"/>
        <w:ind w:left="360"/>
        <w:jc w:val="both"/>
      </w:pPr>
      <w:r>
        <w:t>“‘The attorney-client privilege is one of the oldest recognized privileges for confidential communications.’”</w:t>
      </w:r>
      <w:r>
        <w:rPr>
          <w:rStyle w:val="EndnoteReference"/>
        </w:rPr>
        <w:endnoteReference w:id="423"/>
      </w:r>
      <w:r>
        <w:t xml:space="preserve">  Attorney-client privileged records and information must not be revealed without the client’s waiver.</w:t>
      </w:r>
      <w:r>
        <w:rPr>
          <w:rStyle w:val="EndnoteReference"/>
        </w:rPr>
        <w:endnoteReference w:id="424"/>
      </w:r>
      <w:r>
        <w:t xml:space="preserve">  Such records are prohibited from release by the “catch-all” exemption to the Public Records Act.</w:t>
      </w:r>
      <w:r>
        <w:rPr>
          <w:rStyle w:val="EndnoteReference"/>
        </w:rPr>
        <w:endnoteReference w:id="425"/>
      </w:r>
    </w:p>
    <w:p w14:paraId="1EFA9AFF" w14:textId="77777777" w:rsidR="00681BA7" w:rsidRDefault="00681BA7">
      <w:pPr>
        <w:spacing w:line="220" w:lineRule="exact"/>
        <w:ind w:left="360"/>
        <w:jc w:val="both"/>
      </w:pPr>
    </w:p>
    <w:p w14:paraId="0F18FD89" w14:textId="7D4EC465" w:rsidR="00681BA7" w:rsidRDefault="00681BA7">
      <w:pPr>
        <w:spacing w:line="220" w:lineRule="exact"/>
        <w:ind w:left="360"/>
        <w:jc w:val="both"/>
      </w:pPr>
      <w:r>
        <w:t>The attorney-client privilege arises when legal advice of any kind is sought from a professional legal advisor.</w:t>
      </w:r>
      <w:r w:rsidR="00AA37A7">
        <w:t xml:space="preserve"> C</w:t>
      </w:r>
      <w:r>
        <w:t xml:space="preserve">ommunications made in confidence </w:t>
      </w:r>
      <w:r w:rsidR="000026DB">
        <w:t>between an attorney and a</w:t>
      </w:r>
      <w:r>
        <w:t xml:space="preserve"> client </w:t>
      </w:r>
      <w:r w:rsidR="000026DB">
        <w:t xml:space="preserve">that facilitate the attorney’s provision of legal advice </w:t>
      </w:r>
      <w:r>
        <w:t>are permanently protected from disclosure by the client or the legal advisor.</w:t>
      </w:r>
      <w:r>
        <w:rPr>
          <w:rStyle w:val="EndnoteReference"/>
        </w:rPr>
        <w:endnoteReference w:id="426"/>
      </w:r>
      <w:r>
        <w:t xml:space="preserve">  Records or information that meet those criteria must be withheld or redacted in order to preserve attorney-client privilege.</w:t>
      </w:r>
      <w:r>
        <w:rPr>
          <w:rStyle w:val="EndnoteReference"/>
        </w:rPr>
        <w:endnoteReference w:id="427"/>
      </w:r>
      <w:r>
        <w:t xml:space="preserve">  For example, drafts of proposed bond documents prepared by an attorney are protected by the attorney-client privilege and are not subject to disclosure.</w:t>
      </w:r>
      <w:r>
        <w:rPr>
          <w:rStyle w:val="EndnoteReference"/>
        </w:rPr>
        <w:endnoteReference w:id="428"/>
      </w:r>
    </w:p>
    <w:p w14:paraId="4CC31C87" w14:textId="77777777" w:rsidR="00681BA7" w:rsidRDefault="00681BA7">
      <w:pPr>
        <w:spacing w:line="220" w:lineRule="exact"/>
        <w:ind w:left="360"/>
        <w:jc w:val="both"/>
      </w:pPr>
    </w:p>
    <w:p w14:paraId="742A43E0" w14:textId="26B1482B" w:rsidR="00681BA7" w:rsidRDefault="00681BA7">
      <w:pPr>
        <w:spacing w:line="220" w:lineRule="exact"/>
        <w:ind w:left="360"/>
        <w:jc w:val="both"/>
      </w:pPr>
      <w:r>
        <w:t xml:space="preserve">The </w:t>
      </w:r>
      <w:r w:rsidR="000026DB">
        <w:t xml:space="preserve">attorney-client </w:t>
      </w:r>
      <w:r>
        <w:t>privilege applies to records of communications between public office clients and their attorneys in the same manner that it does for private clients and their attorneys.</w:t>
      </w:r>
      <w:r>
        <w:rPr>
          <w:rStyle w:val="EndnoteReference"/>
        </w:rPr>
        <w:endnoteReference w:id="429"/>
      </w:r>
      <w:r>
        <w:t xml:space="preserve">  Communications between a client and </w:t>
      </w:r>
      <w:r w:rsidR="000026DB">
        <w:t>an</w:t>
      </w:r>
      <w:r>
        <w:t xml:space="preserve"> attorney’s agent (for example, a paralegal) may also be subject to the attorney-client privilege.</w:t>
      </w:r>
      <w:r>
        <w:rPr>
          <w:rStyle w:val="EndnoteReference"/>
        </w:rPr>
        <w:endnoteReference w:id="430"/>
      </w:r>
      <w:r>
        <w:t xml:space="preserve">  The privilege also applies to “documents containing communications between members of the public entity represented about the legal advice given.”</w:t>
      </w:r>
      <w:r>
        <w:rPr>
          <w:rStyle w:val="EndnoteReference"/>
        </w:rPr>
        <w:endnoteReference w:id="431"/>
      </w:r>
      <w:r>
        <w:t xml:space="preserve">  For example, the narrative portions of itemized attorney billing statements to a public office that contain descriptions of work performed may be protected by the attorney-client privilege, although the portions that reflect dates, hours, rates, and the amount billed are usually not protected.</w:t>
      </w:r>
      <w:r>
        <w:rPr>
          <w:rStyle w:val="EndnoteReference"/>
        </w:rPr>
        <w:endnoteReference w:id="432"/>
      </w:r>
    </w:p>
    <w:p w14:paraId="7A2A4F1E" w14:textId="55E69A6F" w:rsidR="00DE4763" w:rsidRDefault="00DE4763">
      <w:pPr>
        <w:spacing w:line="220" w:lineRule="exact"/>
        <w:ind w:left="360"/>
        <w:jc w:val="both"/>
      </w:pPr>
    </w:p>
    <w:p w14:paraId="4EEA7DD5" w14:textId="5A9A0322" w:rsidR="00C100EF" w:rsidRDefault="00C05546" w:rsidP="00E551BD">
      <w:pPr>
        <w:spacing w:line="220" w:lineRule="exact"/>
        <w:ind w:left="360"/>
        <w:jc w:val="both"/>
      </w:pPr>
      <w:r>
        <w:t>The attorney work-product doctrine is a discovery privilege incorporated into Rule 26 of the Ohio Rules of Civil Procedure.</w:t>
      </w:r>
      <w:r>
        <w:rPr>
          <w:rStyle w:val="EndnoteReference"/>
        </w:rPr>
        <w:endnoteReference w:id="433"/>
      </w:r>
      <w:r>
        <w:t xml:space="preserve"> </w:t>
      </w:r>
      <w:r w:rsidR="00CB62E5">
        <w:t xml:space="preserve"> </w:t>
      </w:r>
      <w:r>
        <w:t>According to the Supreme Court</w:t>
      </w:r>
      <w:r w:rsidR="0040318D">
        <w:t xml:space="preserve"> of Ohio</w:t>
      </w:r>
      <w:r>
        <w:t xml:space="preserve">, the “Public Records Act contains </w:t>
      </w:r>
      <w:r>
        <w:lastRenderedPageBreak/>
        <w:t>no exception for attorney work product except insofar as attorney work product constitutes trial-preparation records.”</w:t>
      </w:r>
      <w:r>
        <w:rPr>
          <w:rStyle w:val="EndnoteReference"/>
        </w:rPr>
        <w:endnoteReference w:id="434"/>
      </w:r>
      <w:r>
        <w:t xml:space="preserve"> </w:t>
      </w:r>
      <w:r w:rsidR="00CB62E5">
        <w:t xml:space="preserve"> </w:t>
      </w:r>
      <w:r>
        <w:t>The work-product doctrine, therefore, is not an independent basis for shielding records from disclosure under the Public Records Act.</w:t>
      </w:r>
      <w:r>
        <w:rPr>
          <w:rStyle w:val="EndnoteReference"/>
        </w:rPr>
        <w:endnoteReference w:id="435"/>
      </w:r>
    </w:p>
    <w:p w14:paraId="12EAD206" w14:textId="77777777" w:rsidR="00F769B7" w:rsidRDefault="00F769B7" w:rsidP="002A248B">
      <w:pPr>
        <w:spacing w:line="220" w:lineRule="exact"/>
        <w:ind w:left="360"/>
        <w:jc w:val="both"/>
      </w:pPr>
    </w:p>
    <w:p w14:paraId="147AEA9A" w14:textId="55203DF7" w:rsidR="00681BA7" w:rsidRDefault="00C100EF" w:rsidP="00C100EF">
      <w:pPr>
        <w:pStyle w:val="Heading4"/>
        <w:numPr>
          <w:ilvl w:val="0"/>
          <w:numId w:val="76"/>
        </w:numPr>
      </w:pPr>
      <w:r>
        <w:tab/>
      </w:r>
      <w:bookmarkStart w:id="433" w:name="_Toc159851510"/>
      <w:r w:rsidR="00681BA7">
        <w:t>Criminal discovery</w:t>
      </w:r>
      <w:bookmarkEnd w:id="433"/>
    </w:p>
    <w:p w14:paraId="4A86E418" w14:textId="3D52D997" w:rsidR="00681BA7" w:rsidRDefault="00681BA7" w:rsidP="003763D3">
      <w:pPr>
        <w:spacing w:line="220" w:lineRule="exact"/>
        <w:ind w:left="360"/>
        <w:jc w:val="both"/>
      </w:pPr>
      <w:r>
        <w:t>Criminal defendants may use the Public Records Act to obtain otherwise public records in a pending criminal proceeding.</w:t>
      </w:r>
      <w:r>
        <w:rPr>
          <w:rStyle w:val="EndnoteReference"/>
        </w:rPr>
        <w:endnoteReference w:id="436"/>
      </w:r>
      <w:r>
        <w:t xml:space="preserve">  However, Criminal Rule 16 is the “preferred mechanism to obtain discovery from the state.”</w:t>
      </w:r>
      <w:r>
        <w:rPr>
          <w:rStyle w:val="EndnoteReference"/>
        </w:rPr>
        <w:endnoteReference w:id="437"/>
      </w:r>
      <w:r>
        <w:t xml:space="preserve">  </w:t>
      </w:r>
      <w:r w:rsidR="000026DB">
        <w:t>When</w:t>
      </w:r>
      <w:r>
        <w:t xml:space="preserve"> a criminal defendant makes a public records request, either directly or indirectly, it “shall be treated as a demand for discovery in a criminal case if, and only if, the request is made to an agency involved in the prosecution or investigation of that case.”</w:t>
      </w:r>
      <w:r>
        <w:rPr>
          <w:rStyle w:val="EndnoteReference"/>
        </w:rPr>
        <w:endnoteReference w:id="438"/>
      </w:r>
    </w:p>
    <w:p w14:paraId="33E957DE" w14:textId="77777777" w:rsidR="00681BA7" w:rsidRDefault="00681BA7" w:rsidP="003763D3">
      <w:pPr>
        <w:spacing w:line="220" w:lineRule="exact"/>
        <w:ind w:left="360"/>
        <w:jc w:val="both"/>
      </w:pPr>
    </w:p>
    <w:p w14:paraId="19DCAFC0" w14:textId="3447BEE0" w:rsidR="00681BA7" w:rsidRDefault="00E60C5A" w:rsidP="003763D3">
      <w:pPr>
        <w:spacing w:line="220" w:lineRule="exact"/>
        <w:ind w:left="360"/>
        <w:jc w:val="both"/>
      </w:pPr>
      <w:r>
        <w:t>W</w:t>
      </w:r>
      <w:r w:rsidR="00681BA7">
        <w:t xml:space="preserve">hen a prosecutor discloses materials to a criminal defendant pursuant to the Criminal </w:t>
      </w:r>
      <w:r w:rsidR="000026DB">
        <w:t>Rules</w:t>
      </w:r>
      <w:r w:rsidR="00681BA7">
        <w:t>, that disclosure does not mean those records automatically become available for public disclosure.</w:t>
      </w:r>
      <w:r w:rsidR="00681BA7">
        <w:rPr>
          <w:rStyle w:val="EndnoteReference"/>
        </w:rPr>
        <w:endnoteReference w:id="439"/>
      </w:r>
      <w:r w:rsidR="00681BA7">
        <w:t xml:space="preserve">  The prosecutor does not waive</w:t>
      </w:r>
      <w:r w:rsidR="00681BA7">
        <w:rPr>
          <w:rStyle w:val="EndnoteReference"/>
        </w:rPr>
        <w:endnoteReference w:id="440"/>
      </w:r>
      <w:r w:rsidR="00681BA7">
        <w:t xml:space="preserve"> applicable public records exemptions, such as trial preparation records or confidential law enforcement records,</w:t>
      </w:r>
      <w:r w:rsidR="00681BA7">
        <w:rPr>
          <w:rStyle w:val="EndnoteReference"/>
        </w:rPr>
        <w:endnoteReference w:id="441"/>
      </w:r>
      <w:r w:rsidR="00681BA7">
        <w:t xml:space="preserve"> simply by complying with discovery rules.</w:t>
      </w:r>
      <w:r w:rsidR="00681BA7">
        <w:rPr>
          <w:rStyle w:val="EndnoteReference"/>
        </w:rPr>
        <w:endnoteReference w:id="442"/>
      </w:r>
    </w:p>
    <w:p w14:paraId="14EB8586" w14:textId="77777777" w:rsidR="000220B5" w:rsidRDefault="000220B5" w:rsidP="003763D3">
      <w:pPr>
        <w:spacing w:line="220" w:lineRule="exact"/>
        <w:ind w:left="360"/>
        <w:jc w:val="both"/>
      </w:pPr>
    </w:p>
    <w:p w14:paraId="424F12E5" w14:textId="12F57643" w:rsidR="00681BA7" w:rsidRDefault="00C100EF" w:rsidP="00C100EF">
      <w:pPr>
        <w:pStyle w:val="Heading4"/>
        <w:numPr>
          <w:ilvl w:val="0"/>
          <w:numId w:val="76"/>
        </w:numPr>
      </w:pPr>
      <w:r>
        <w:tab/>
      </w:r>
      <w:bookmarkStart w:id="434" w:name="_Toc159851511"/>
      <w:r w:rsidR="00681BA7">
        <w:t>Civil discovery</w:t>
      </w:r>
      <w:bookmarkEnd w:id="434"/>
    </w:p>
    <w:p w14:paraId="6E94B33B" w14:textId="3C42F7BC" w:rsidR="00681BA7" w:rsidRDefault="00681BA7">
      <w:pPr>
        <w:spacing w:line="220" w:lineRule="exact"/>
        <w:ind w:left="360"/>
        <w:jc w:val="both"/>
      </w:pPr>
      <w:r>
        <w:t>In</w:t>
      </w:r>
      <w:r w:rsidR="000026DB">
        <w:t xml:space="preserve"> </w:t>
      </w:r>
      <w:r>
        <w:t>civil court proceedings, the parties are not limited to the materials available under the civil rules.  A civil litigant is allowed to use the Public Records Act in addition to civil discovery.</w:t>
      </w:r>
      <w:r>
        <w:rPr>
          <w:rStyle w:val="EndnoteReference"/>
        </w:rPr>
        <w:endnoteReference w:id="443"/>
      </w:r>
      <w:r>
        <w:t xml:space="preserve">  The exemptions contained in the Public Records Act do not protect documents from discovery in civil actions.</w:t>
      </w:r>
      <w:r>
        <w:rPr>
          <w:rStyle w:val="EndnoteReference"/>
        </w:rPr>
        <w:endnoteReference w:id="444"/>
      </w:r>
      <w:r>
        <w:t xml:space="preserve">  The nature of a request as either discovery or a request for public records will determine any available enforcement mechanisms.</w:t>
      </w:r>
      <w:r>
        <w:rPr>
          <w:rStyle w:val="EndnoteReference"/>
        </w:rPr>
        <w:endnoteReference w:id="445"/>
      </w:r>
    </w:p>
    <w:p w14:paraId="59ACC8AE" w14:textId="77777777" w:rsidR="00681BA7" w:rsidRDefault="00681BA7">
      <w:pPr>
        <w:spacing w:line="220" w:lineRule="exact"/>
        <w:ind w:left="360"/>
        <w:jc w:val="both"/>
      </w:pPr>
    </w:p>
    <w:p w14:paraId="549BAAEE" w14:textId="7026BEBC" w:rsidR="00681BA7" w:rsidRDefault="00681BA7">
      <w:pPr>
        <w:spacing w:line="220" w:lineRule="exact"/>
        <w:ind w:left="360"/>
        <w:jc w:val="both"/>
      </w:pPr>
      <w:r>
        <w:t>The Ohio Rules of Evidence govern the use of public records as evidence in litigation.</w:t>
      </w:r>
      <w:r>
        <w:rPr>
          <w:rStyle w:val="EndnoteReference"/>
        </w:rPr>
        <w:endnoteReference w:id="446"/>
      </w:r>
      <w:r>
        <w:t xml:space="preserve">  Justice Stratton’s concurring opinion in the case </w:t>
      </w:r>
      <w:r>
        <w:rPr>
          <w:i/>
        </w:rPr>
        <w:t>Gilbert v. Summit County</w:t>
      </w:r>
      <w:r>
        <w:t xml:space="preserve"> noted that “[t]rial courts have discretion to admit or exclude evidence,” and “even though a party may effectively circumvent a discovery deadline by acquiring a document through a public records request, it is the trial court that ultimately determines whether those records will be admitted in the pending litigation.”</w:t>
      </w:r>
      <w:r>
        <w:rPr>
          <w:rStyle w:val="EndnoteReference"/>
        </w:rPr>
        <w:endnoteReference w:id="447"/>
      </w:r>
    </w:p>
    <w:p w14:paraId="10C0B56F" w14:textId="77777777" w:rsidR="000220B5" w:rsidRDefault="000220B5">
      <w:pPr>
        <w:spacing w:line="220" w:lineRule="exact"/>
        <w:ind w:left="360"/>
        <w:jc w:val="both"/>
      </w:pPr>
    </w:p>
    <w:p w14:paraId="72F93FA1" w14:textId="7896641C" w:rsidR="00681BA7" w:rsidRDefault="00681BA7" w:rsidP="00BD2AE1">
      <w:pPr>
        <w:pStyle w:val="Heading4"/>
      </w:pPr>
      <w:bookmarkStart w:id="435" w:name="_Toc159851512"/>
      <w:r>
        <w:t>d.</w:t>
      </w:r>
      <w:r>
        <w:tab/>
      </w:r>
      <w:r w:rsidR="00C100EF">
        <w:tab/>
      </w:r>
      <w:r w:rsidR="00DF197B">
        <w:t>Trial preparation records</w:t>
      </w:r>
      <w:bookmarkEnd w:id="435"/>
    </w:p>
    <w:p w14:paraId="426BC823" w14:textId="63549208" w:rsidR="00681BA7" w:rsidRDefault="00681BA7" w:rsidP="00BE5E2A">
      <w:pPr>
        <w:spacing w:line="220" w:lineRule="exact"/>
        <w:ind w:left="360"/>
        <w:jc w:val="both"/>
      </w:pPr>
      <w:r>
        <w:t xml:space="preserve">R.C. 149.43(A)(1)(g) exempts from </w:t>
      </w:r>
      <w:r w:rsidR="00DF197B">
        <w:t xml:space="preserve">disclosure </w:t>
      </w:r>
      <w:r>
        <w:t>“trial preparation records,” which are defined as “any record that contains information that is specifically compiled in reasonable anticipation of, or in defense of, a civil or criminal action or proceeding, including the independent thought processes and personal trial preparation of an attorney.”</w:t>
      </w:r>
      <w:r>
        <w:rPr>
          <w:rStyle w:val="EndnoteReference"/>
        </w:rPr>
        <w:endnoteReference w:id="448"/>
      </w:r>
      <w:r>
        <w:t xml:space="preserve">  </w:t>
      </w:r>
      <w:r w:rsidR="00DF197B">
        <w:t>T</w:t>
      </w:r>
      <w:r w:rsidR="000B5F29">
        <w:t>rial</w:t>
      </w:r>
      <w:r w:rsidR="00DF197B">
        <w:t xml:space="preserve"> </w:t>
      </w:r>
      <w:r w:rsidR="000B5F29">
        <w:t>preparation record</w:t>
      </w:r>
      <w:r w:rsidR="00DF197B">
        <w:t>s</w:t>
      </w:r>
      <w:r w:rsidR="000B5F29">
        <w:t xml:space="preserve"> need not exist</w:t>
      </w:r>
      <w:r w:rsidR="00DF197B">
        <w:t xml:space="preserve"> solely</w:t>
      </w:r>
      <w:r w:rsidR="000B5F29">
        <w:t xml:space="preserve"> for the purpose of litigation; </w:t>
      </w:r>
      <w:r w:rsidR="00DF197B">
        <w:t xml:space="preserve">they </w:t>
      </w:r>
      <w:r w:rsidR="000B5F29">
        <w:t>can also serve the regular functions of a public office.</w:t>
      </w:r>
      <w:r w:rsidR="000B5F29">
        <w:rPr>
          <w:rStyle w:val="EndnoteReference"/>
        </w:rPr>
        <w:endnoteReference w:id="449"/>
      </w:r>
      <w:r w:rsidR="000B5F29">
        <w:t xml:space="preserve"> </w:t>
      </w:r>
      <w:r w:rsidR="00DF197B">
        <w:t xml:space="preserve"> </w:t>
      </w:r>
      <w:r>
        <w:t>Documents that a public office obtains as a litigant through discovery will ordinarily qualify as “trial preparation records</w:t>
      </w:r>
      <w:r w:rsidR="00CD134B">
        <w:t>.</w:t>
      </w:r>
      <w:r>
        <w:t>”</w:t>
      </w:r>
      <w:r>
        <w:rPr>
          <w:rStyle w:val="EndnoteReference"/>
        </w:rPr>
        <w:endnoteReference w:id="450"/>
      </w:r>
      <w:r>
        <w:t xml:space="preserve"> </w:t>
      </w:r>
      <w:r w:rsidR="00CD134B">
        <w:t xml:space="preserve"> </w:t>
      </w:r>
      <w:r>
        <w:t xml:space="preserve">Attorney trial notes and legal research are “trial preparation records” </w:t>
      </w:r>
      <w:r w:rsidR="00DF197B">
        <w:t xml:space="preserve">that </w:t>
      </w:r>
      <w:r>
        <w:t>may be withheld from disclosure.</w:t>
      </w:r>
      <w:r>
        <w:rPr>
          <w:rStyle w:val="EndnoteReference"/>
        </w:rPr>
        <w:endnoteReference w:id="451"/>
      </w:r>
      <w:r>
        <w:t xml:space="preserve">  </w:t>
      </w:r>
      <w:r w:rsidR="00C05546">
        <w:t>Although records in a prosecutor’s file often can be classified as trial preparation records, “the presence of a record in a prosecutor’s file does not, in and of itself, turn something into a trial preparation record.”</w:t>
      </w:r>
      <w:r w:rsidR="00C05546">
        <w:rPr>
          <w:rStyle w:val="EndnoteReference"/>
        </w:rPr>
        <w:endnoteReference w:id="452"/>
      </w:r>
      <w:r w:rsidR="000F09AB">
        <w:t xml:space="preserve"> </w:t>
      </w:r>
      <w:r w:rsidR="00CD134B">
        <w:t xml:space="preserve"> </w:t>
      </w:r>
      <w:r>
        <w:t xml:space="preserve">For example, </w:t>
      </w:r>
      <w:r w:rsidR="000F09AB">
        <w:t xml:space="preserve">fact-finding investigations and </w:t>
      </w:r>
      <w:r>
        <w:t>routine offense and incident reports are subject to release while a criminal case is active, including those reports in the files of the prosecutor.</w:t>
      </w:r>
      <w:r>
        <w:rPr>
          <w:rStyle w:val="EndnoteReference"/>
        </w:rPr>
        <w:endnoteReference w:id="453"/>
      </w:r>
      <w:r w:rsidR="00AD7E1C">
        <w:t xml:space="preserve"> </w:t>
      </w:r>
      <w:r w:rsidR="00DF197B">
        <w:t xml:space="preserve"> </w:t>
      </w:r>
      <w:r w:rsidR="00AD7E1C">
        <w:t>Once an attorney has filed documents in a court case, any trial</w:t>
      </w:r>
      <w:r w:rsidR="00DF197B">
        <w:t xml:space="preserve"> </w:t>
      </w:r>
      <w:r w:rsidR="00AD7E1C">
        <w:t>preparation exe</w:t>
      </w:r>
      <w:r w:rsidR="00DF197B">
        <w:t>m</w:t>
      </w:r>
      <w:r w:rsidR="00AD7E1C">
        <w:t>ption is waived, and the public office must produce those documents in response to subsequent records requests.</w:t>
      </w:r>
      <w:r w:rsidR="00AD7E1C">
        <w:rPr>
          <w:rStyle w:val="EndnoteReference"/>
        </w:rPr>
        <w:endnoteReference w:id="454"/>
      </w:r>
    </w:p>
    <w:p w14:paraId="6C290880" w14:textId="77777777" w:rsidR="000220B5" w:rsidRDefault="000220B5" w:rsidP="00BE5E2A">
      <w:pPr>
        <w:spacing w:line="220" w:lineRule="exact"/>
        <w:ind w:left="360"/>
        <w:jc w:val="both"/>
      </w:pPr>
    </w:p>
    <w:p w14:paraId="119B389D" w14:textId="4F756535" w:rsidR="00681BA7" w:rsidRDefault="00681BA7" w:rsidP="00BD2AE1">
      <w:pPr>
        <w:pStyle w:val="Heading4"/>
      </w:pPr>
      <w:bookmarkStart w:id="436" w:name="_Toc159851513"/>
      <w:r>
        <w:t>e.</w:t>
      </w:r>
      <w:r>
        <w:tab/>
      </w:r>
      <w:r w:rsidR="00C100EF">
        <w:tab/>
      </w:r>
      <w:r>
        <w:t xml:space="preserve">Protective orders and sealed </w:t>
      </w:r>
      <w:r w:rsidR="00DF197B">
        <w:t xml:space="preserve">or </w:t>
      </w:r>
      <w:r>
        <w:t>expunged court records</w:t>
      </w:r>
      <w:r>
        <w:rPr>
          <w:rStyle w:val="EndnoteReference"/>
        </w:rPr>
        <w:endnoteReference w:id="455"/>
      </w:r>
      <w:bookmarkEnd w:id="436"/>
    </w:p>
    <w:p w14:paraId="0AD7A3D3" w14:textId="0611BEAB" w:rsidR="00681BA7" w:rsidRDefault="00681BA7">
      <w:pPr>
        <w:spacing w:line="220" w:lineRule="exact"/>
        <w:ind w:left="360"/>
        <w:jc w:val="both"/>
      </w:pPr>
      <w:r>
        <w:t>When the release of court records would prejudice the rights of the parties in an ongoing criminal or civil proceeding,</w:t>
      </w:r>
      <w:r>
        <w:rPr>
          <w:rStyle w:val="EndnoteReference"/>
        </w:rPr>
        <w:endnoteReference w:id="456"/>
      </w:r>
      <w:r>
        <w:t xml:space="preserve"> court rules may permit a protective order prohibiting release of the records.</w:t>
      </w:r>
      <w:r>
        <w:rPr>
          <w:rStyle w:val="EndnoteReference"/>
        </w:rPr>
        <w:endnoteReference w:id="457"/>
      </w:r>
      <w:r>
        <w:t xml:space="preserve">  Similarly, when court records </w:t>
      </w:r>
      <w:r w:rsidR="000F09AB">
        <w:t xml:space="preserve">relating to criminal convictions </w:t>
      </w:r>
      <w:r>
        <w:t>have been properly expunged or sealed, they are no</w:t>
      </w:r>
      <w:r w:rsidR="00DF197B">
        <w:t xml:space="preserve"> longer </w:t>
      </w:r>
      <w:r>
        <w:t xml:space="preserve">public </w:t>
      </w:r>
      <w:r w:rsidR="00DF197B">
        <w:t>records</w:t>
      </w:r>
      <w:r>
        <w:t>.</w:t>
      </w:r>
      <w:r>
        <w:rPr>
          <w:rStyle w:val="EndnoteReference"/>
        </w:rPr>
        <w:endnoteReference w:id="458"/>
      </w:r>
      <w:r>
        <w:t xml:space="preserve">  The criminal sealing statute does not apply to the sealing of pleadings in related civil cases.</w:t>
      </w:r>
      <w:r>
        <w:rPr>
          <w:rStyle w:val="EndnoteReference"/>
        </w:rPr>
        <w:endnoteReference w:id="459"/>
      </w:r>
      <w:r>
        <w:t xml:space="preserve">  However, when a responsive record is sealed, the public office must </w:t>
      </w:r>
      <w:r>
        <w:lastRenderedPageBreak/>
        <w:t>provide the explanation for withholding, including the legal authority under which the record was sealed.</w:t>
      </w:r>
      <w:r>
        <w:rPr>
          <w:rStyle w:val="EndnoteReference"/>
        </w:rPr>
        <w:endnoteReference w:id="460"/>
      </w:r>
    </w:p>
    <w:p w14:paraId="0DB47F64" w14:textId="77777777" w:rsidR="00681BA7" w:rsidRDefault="00681BA7">
      <w:pPr>
        <w:spacing w:line="220" w:lineRule="exact"/>
        <w:ind w:left="360"/>
        <w:jc w:val="both"/>
      </w:pPr>
    </w:p>
    <w:p w14:paraId="6087D979" w14:textId="38FB2746" w:rsidR="00681BA7" w:rsidRDefault="00681BA7">
      <w:pPr>
        <w:spacing w:line="220" w:lineRule="exact"/>
        <w:ind w:left="360"/>
        <w:jc w:val="both"/>
      </w:pPr>
      <w:r>
        <w:t>Even absent statutory authority, trial courts have the inherent authority to seal court records</w:t>
      </w:r>
      <w:r w:rsidR="000F09AB">
        <w:t>, but it is a “limited power</w:t>
      </w:r>
      <w:r>
        <w:t>.</w:t>
      </w:r>
      <w:r w:rsidR="000F09AB">
        <w:t>”</w:t>
      </w:r>
      <w:r>
        <w:rPr>
          <w:rStyle w:val="EndnoteReference"/>
        </w:rPr>
        <w:endnoteReference w:id="461"/>
      </w:r>
      <w:r>
        <w:t xml:space="preserve">  The judicial power to seal criminal records is narrowly limited to cases in which the accused has been acquitted or exonerated in some way and protection of the accused’s privacy interest is paramount to prevent injustice.</w:t>
      </w:r>
      <w:r>
        <w:rPr>
          <w:rStyle w:val="EndnoteReference"/>
        </w:rPr>
        <w:endnoteReference w:id="462"/>
      </w:r>
      <w:r>
        <w:t xml:space="preserve">  The grant of a pardon under Article III, Section 11 of the Ohio Constitution does not automatically entitle the recipient to have the record of the pardoned conviction sealed</w:t>
      </w:r>
      <w:r>
        <w:rPr>
          <w:rStyle w:val="EndnoteReference"/>
        </w:rPr>
        <w:endnoteReference w:id="463"/>
      </w:r>
      <w:r>
        <w:t xml:space="preserve"> or give the trial court the authority to seal the conviction outside of the statutory sealing process.</w:t>
      </w:r>
      <w:r>
        <w:rPr>
          <w:rStyle w:val="EndnoteReference"/>
        </w:rPr>
        <w:endnoteReference w:id="464"/>
      </w:r>
    </w:p>
    <w:p w14:paraId="01D994EF" w14:textId="77777777" w:rsidR="000220B5" w:rsidRDefault="000220B5">
      <w:pPr>
        <w:spacing w:line="220" w:lineRule="exact"/>
        <w:ind w:left="360"/>
        <w:jc w:val="both"/>
      </w:pPr>
    </w:p>
    <w:p w14:paraId="56AECEFF" w14:textId="6E1F518F" w:rsidR="00681BA7" w:rsidRDefault="00681BA7" w:rsidP="00BD2AE1">
      <w:pPr>
        <w:pStyle w:val="Heading4"/>
      </w:pPr>
      <w:bookmarkStart w:id="437" w:name="_Toc159851514"/>
      <w:r>
        <w:t>f.</w:t>
      </w:r>
      <w:r>
        <w:tab/>
      </w:r>
      <w:r w:rsidR="00C100EF">
        <w:tab/>
      </w:r>
      <w:r>
        <w:t>Grand jury records</w:t>
      </w:r>
      <w:bookmarkEnd w:id="437"/>
    </w:p>
    <w:p w14:paraId="0B47F6E3" w14:textId="0133BBB4" w:rsidR="00681BA7" w:rsidRDefault="00DF197B">
      <w:pPr>
        <w:spacing w:line="220" w:lineRule="exact"/>
        <w:ind w:left="360"/>
        <w:jc w:val="both"/>
      </w:pPr>
      <w:r>
        <w:t>C</w:t>
      </w:r>
      <w:r w:rsidR="00681BA7">
        <w:t xml:space="preserve">riminal Rule 6(E) provides that “[d]eliberations of the grand jury and the vote of any grand juror shall not be disclosed,” and provides for </w:t>
      </w:r>
      <w:r>
        <w:t xml:space="preserve">the </w:t>
      </w:r>
      <w:r w:rsidR="00681BA7">
        <w:t>withholding of other specific grand jury matters by certain persons under specific circumstances.</w:t>
      </w:r>
      <w:r w:rsidR="00681BA7">
        <w:rPr>
          <w:rStyle w:val="EndnoteReference"/>
        </w:rPr>
        <w:endnoteReference w:id="465"/>
      </w:r>
      <w:r w:rsidR="00681BA7">
        <w:t xml:space="preserve">  Materials covered by Criminal Rule 6 include transcripts, voting records, subpoenas, and the witness book.</w:t>
      </w:r>
      <w:r w:rsidR="00681BA7">
        <w:rPr>
          <w:rStyle w:val="EndnoteReference"/>
        </w:rPr>
        <w:endnoteReference w:id="466"/>
      </w:r>
      <w:r w:rsidR="00681BA7">
        <w:t xml:space="preserve">  In contrast to those items that document the deliberations and vote of a grand jury, evidentiary documents </w:t>
      </w:r>
      <w:r w:rsidR="00F85C86">
        <w:t xml:space="preserve">submitted to the grand jury </w:t>
      </w:r>
      <w:r w:rsidR="00681BA7">
        <w:t>that would otherwise be public records remain public records.</w:t>
      </w:r>
      <w:r w:rsidR="00681BA7">
        <w:rPr>
          <w:rStyle w:val="EndnoteReference"/>
        </w:rPr>
        <w:endnoteReference w:id="467"/>
      </w:r>
      <w:r w:rsidR="00681BA7">
        <w:t xml:space="preserve">  </w:t>
      </w:r>
      <w:r w:rsidR="00EC3F58">
        <w:t xml:space="preserve">Release of the names of grand </w:t>
      </w:r>
      <w:r w:rsidR="00681BA7">
        <w:t>jury witnesses, witness subpoenas, and documents produced in response to a witness subpoena, are not restricted by Criminal Rule 6(E).</w:t>
      </w:r>
      <w:r w:rsidR="00681BA7">
        <w:rPr>
          <w:rStyle w:val="EndnoteReference"/>
        </w:rPr>
        <w:endnoteReference w:id="468"/>
      </w:r>
    </w:p>
    <w:p w14:paraId="36B69861" w14:textId="77777777" w:rsidR="000220B5" w:rsidRDefault="000220B5">
      <w:pPr>
        <w:spacing w:line="220" w:lineRule="exact"/>
        <w:ind w:left="360"/>
        <w:jc w:val="both"/>
      </w:pPr>
    </w:p>
    <w:p w14:paraId="62D72BAB" w14:textId="168BA182" w:rsidR="00681BA7" w:rsidRDefault="00681BA7" w:rsidP="00BD2AE1">
      <w:pPr>
        <w:pStyle w:val="Heading4"/>
      </w:pPr>
      <w:bookmarkStart w:id="438" w:name="_Toc159851515"/>
      <w:r>
        <w:t>g.</w:t>
      </w:r>
      <w:r>
        <w:tab/>
      </w:r>
      <w:r w:rsidR="00C100EF">
        <w:tab/>
      </w:r>
      <w:r>
        <w:t>Settlement agreements and other contracts</w:t>
      </w:r>
      <w:bookmarkEnd w:id="438"/>
    </w:p>
    <w:p w14:paraId="73B32AB7" w14:textId="53F84E99" w:rsidR="00681BA7" w:rsidRDefault="00681BA7">
      <w:pPr>
        <w:spacing w:line="220" w:lineRule="exact"/>
        <w:ind w:left="360"/>
        <w:jc w:val="both"/>
      </w:pPr>
      <w:r>
        <w:t xml:space="preserve">When a </w:t>
      </w:r>
      <w:r w:rsidR="00F85C86">
        <w:t>public office</w:t>
      </w:r>
      <w:r>
        <w:t xml:space="preserve"> is a party to a settlement, the trial preparation records exemption </w:t>
      </w:r>
      <w:r w:rsidR="00F85C86">
        <w:t xml:space="preserve">does </w:t>
      </w:r>
      <w:r>
        <w:t>not apply to the settlement agreement.</w:t>
      </w:r>
      <w:r>
        <w:rPr>
          <w:rStyle w:val="EndnoteReference"/>
        </w:rPr>
        <w:endnoteReference w:id="469"/>
      </w:r>
      <w:r>
        <w:t xml:space="preserve">  But the parties are entitled to redact any information within the settlement agreement that is subject to the attorney-client privilege.</w:t>
      </w:r>
      <w:r>
        <w:rPr>
          <w:rStyle w:val="EndnoteReference"/>
        </w:rPr>
        <w:endnoteReference w:id="470"/>
      </w:r>
      <w:r>
        <w:t xml:space="preserve">  Any promise not to release a settlement agreement </w:t>
      </w:r>
      <w:r w:rsidR="00F85C86">
        <w:t xml:space="preserve">to which a public office is a party </w:t>
      </w:r>
      <w:r>
        <w:t xml:space="preserve">is void and unenforceable because a contractual provision </w:t>
      </w:r>
      <w:r w:rsidR="00F85C86">
        <w:t>can</w:t>
      </w:r>
      <w:r>
        <w:t xml:space="preserve">not supersede </w:t>
      </w:r>
      <w:r w:rsidR="00F85C86">
        <w:t>the Public Records Act</w:t>
      </w:r>
      <w:r>
        <w:t>.</w:t>
      </w:r>
      <w:r>
        <w:rPr>
          <w:rStyle w:val="EndnoteReference"/>
        </w:rPr>
        <w:endnoteReference w:id="471"/>
      </w:r>
      <w:r w:rsidR="00DD79AB">
        <w:t xml:space="preserve"> Further, the Ohio Board of Professional Conduct has advised that attorneys are not ethically allowed to offer or accept a settlement agreement that includes a provision that an attorney is prohibited from disclosing information that would otherwise be subject to mandatory disclosures under a public records request.</w:t>
      </w:r>
      <w:r w:rsidR="00DD79AB">
        <w:rPr>
          <w:rStyle w:val="EndnoteReference"/>
        </w:rPr>
        <w:endnoteReference w:id="472"/>
      </w:r>
    </w:p>
    <w:p w14:paraId="44C77195" w14:textId="77777777" w:rsidR="000220B5" w:rsidRDefault="000220B5">
      <w:pPr>
        <w:spacing w:line="220" w:lineRule="exact"/>
        <w:ind w:left="360"/>
        <w:jc w:val="both"/>
      </w:pPr>
    </w:p>
    <w:p w14:paraId="3B7AA864" w14:textId="0447F2CF" w:rsidR="00681BA7" w:rsidRDefault="00681BA7" w:rsidP="00322085">
      <w:pPr>
        <w:pStyle w:val="Heading3"/>
      </w:pPr>
      <w:bookmarkStart w:id="439" w:name="_Toc159851516"/>
      <w:r>
        <w:t>6.</w:t>
      </w:r>
      <w:r>
        <w:tab/>
        <w:t>Intellectual property</w:t>
      </w:r>
      <w:bookmarkEnd w:id="439"/>
    </w:p>
    <w:p w14:paraId="6B9ACC2F" w14:textId="263BFDC7" w:rsidR="00681BA7" w:rsidRDefault="00681BA7" w:rsidP="00BD2AE1">
      <w:pPr>
        <w:pStyle w:val="Heading4"/>
      </w:pPr>
      <w:bookmarkStart w:id="440" w:name="_Toc159851517"/>
      <w:r>
        <w:t>a.</w:t>
      </w:r>
      <w:r>
        <w:tab/>
      </w:r>
      <w:r w:rsidR="00C100EF">
        <w:tab/>
      </w:r>
      <w:r>
        <w:t>Trade secrets</w:t>
      </w:r>
      <w:bookmarkEnd w:id="440"/>
    </w:p>
    <w:p w14:paraId="4711F16C" w14:textId="41141246" w:rsidR="00F85C86" w:rsidRDefault="00F85C86">
      <w:pPr>
        <w:spacing w:line="220" w:lineRule="exact"/>
        <w:ind w:left="360"/>
        <w:jc w:val="both"/>
      </w:pPr>
      <w:r>
        <w:t>Trade secret law is underpinned by “[t]he protection of competitive advantage in private, not public, business.”</w:t>
      </w:r>
      <w:r>
        <w:rPr>
          <w:rStyle w:val="EndnoteReference"/>
        </w:rPr>
        <w:endnoteReference w:id="473"/>
      </w:r>
      <w:r>
        <w:t xml:space="preserve"> </w:t>
      </w:r>
      <w:r w:rsidR="000627D1">
        <w:t xml:space="preserve"> </w:t>
      </w:r>
      <w:r>
        <w:t xml:space="preserve">However, the Supreme Court </w:t>
      </w:r>
      <w:r w:rsidR="0040318D">
        <w:t xml:space="preserve">of Ohio </w:t>
      </w:r>
      <w:r>
        <w:t>has held that certain governmental entities can have trade secrets in limited situations.</w:t>
      </w:r>
      <w:r>
        <w:rPr>
          <w:rStyle w:val="EndnoteReference"/>
        </w:rPr>
        <w:endnoteReference w:id="474"/>
      </w:r>
    </w:p>
    <w:p w14:paraId="1E0C530D" w14:textId="77777777" w:rsidR="00F85C86" w:rsidRDefault="00F85C86">
      <w:pPr>
        <w:spacing w:line="220" w:lineRule="exact"/>
        <w:ind w:left="360"/>
        <w:jc w:val="both"/>
      </w:pPr>
    </w:p>
    <w:p w14:paraId="11147E18" w14:textId="6CD3DD1F" w:rsidR="00681BA7" w:rsidRDefault="00681BA7" w:rsidP="00DB3E6E">
      <w:pPr>
        <w:spacing w:line="220" w:lineRule="exact"/>
        <w:ind w:left="360"/>
        <w:jc w:val="both"/>
      </w:pPr>
      <w:r>
        <w:t xml:space="preserve">Trade secrets are defined in R.C. 1333.61(D) </w:t>
      </w:r>
      <w:r w:rsidR="00F85C86">
        <w:t>as</w:t>
      </w:r>
      <w:r>
        <w:t xml:space="preserve"> “information, including … any business information or plans, financial information, or listing of names” that:</w:t>
      </w:r>
      <w:r w:rsidR="00DB3E6E">
        <w:t xml:space="preserve"> (1) d</w:t>
      </w:r>
      <w:r>
        <w:t>erives actual or potential independent economic value from not being generally known to, and not being readily ascertainable by proper means by, other persons who can obtain economic value from its disclosure or use;</w:t>
      </w:r>
      <w:r w:rsidR="00DB3E6E">
        <w:t xml:space="preserve"> </w:t>
      </w:r>
      <w:r w:rsidRPr="00F85C86">
        <w:t>and</w:t>
      </w:r>
      <w:r w:rsidR="00DB3E6E">
        <w:t xml:space="preserve"> (2) i</w:t>
      </w:r>
      <w:r>
        <w:t>s the subject of efforts that are reasonable under the circumstances to maintain its secrecy.</w:t>
      </w:r>
      <w:r>
        <w:rPr>
          <w:rStyle w:val="EndnoteReference"/>
        </w:rPr>
        <w:endnoteReference w:id="475"/>
      </w:r>
    </w:p>
    <w:p w14:paraId="5A362680" w14:textId="77777777" w:rsidR="00681BA7" w:rsidRDefault="00681BA7">
      <w:pPr>
        <w:spacing w:line="220" w:lineRule="exact"/>
        <w:ind w:left="1440" w:hanging="360"/>
        <w:jc w:val="both"/>
      </w:pPr>
    </w:p>
    <w:p w14:paraId="6A6FD6C9" w14:textId="3A0DD129" w:rsidR="00681BA7" w:rsidRDefault="00681BA7">
      <w:pPr>
        <w:spacing w:line="220" w:lineRule="exact"/>
        <w:ind w:left="360"/>
        <w:jc w:val="both"/>
      </w:pPr>
      <w:r>
        <w:t xml:space="preserve">Information identified in </w:t>
      </w:r>
      <w:r w:rsidR="00F85C86">
        <w:t xml:space="preserve">a </w:t>
      </w:r>
      <w:r>
        <w:t xml:space="preserve">record by its owner as a trade secret is not automatically </w:t>
      </w:r>
      <w:r w:rsidR="00F85C86">
        <w:t xml:space="preserve">prohibited from release by the “catch-all” exemption to the Public Records Act. </w:t>
      </w:r>
      <w:r w:rsidR="000627D1">
        <w:t xml:space="preserve"> </w:t>
      </w:r>
      <w:r>
        <w:t>Rather, identification of a trade secret requires a fact-based assessment.</w:t>
      </w:r>
      <w:r>
        <w:rPr>
          <w:rStyle w:val="EndnoteReference"/>
        </w:rPr>
        <w:endnoteReference w:id="476"/>
      </w:r>
      <w:r>
        <w:t xml:space="preserve">  “An entity claiming trade secret status bears the burden to identify and demonstrate that the material is included in categories of protected information under the statute and additionally must take some active steps to maintain its secrecy.”</w:t>
      </w:r>
      <w:r>
        <w:rPr>
          <w:rStyle w:val="EndnoteReference"/>
        </w:rPr>
        <w:endnoteReference w:id="477"/>
      </w:r>
    </w:p>
    <w:p w14:paraId="5F8FD880" w14:textId="77777777" w:rsidR="00681BA7" w:rsidRDefault="00681BA7">
      <w:pPr>
        <w:spacing w:line="220" w:lineRule="exact"/>
        <w:ind w:left="360"/>
        <w:jc w:val="both"/>
      </w:pPr>
    </w:p>
    <w:p w14:paraId="2C718D87" w14:textId="2B39183C" w:rsidR="00681BA7" w:rsidRDefault="00681BA7">
      <w:pPr>
        <w:spacing w:line="220" w:lineRule="exact"/>
        <w:ind w:left="360"/>
        <w:jc w:val="both"/>
      </w:pPr>
      <w:r>
        <w:t xml:space="preserve">The Supreme Court </w:t>
      </w:r>
      <w:r w:rsidR="0040318D">
        <w:t xml:space="preserve">of Ohio </w:t>
      </w:r>
      <w:r>
        <w:t>has adopted the following factors in analyzing a trade secret claim:</w:t>
      </w:r>
    </w:p>
    <w:p w14:paraId="1B4F4485" w14:textId="77777777" w:rsidR="00681BA7" w:rsidRDefault="00681BA7">
      <w:pPr>
        <w:spacing w:line="220" w:lineRule="exact"/>
        <w:ind w:left="360"/>
        <w:jc w:val="both"/>
      </w:pPr>
    </w:p>
    <w:p w14:paraId="4B0458F0" w14:textId="6DF2C75E" w:rsidR="00681BA7" w:rsidRDefault="001F0CB1" w:rsidP="00DB3E6E">
      <w:pPr>
        <w:numPr>
          <w:ilvl w:val="0"/>
          <w:numId w:val="37"/>
        </w:numPr>
        <w:spacing w:after="120" w:line="220" w:lineRule="exact"/>
        <w:ind w:left="1440" w:right="720"/>
        <w:jc w:val="both"/>
      </w:pPr>
      <w:r>
        <w:t>T</w:t>
      </w:r>
      <w:r w:rsidR="00681BA7">
        <w:t>he extent to which the information is known outside the business;</w:t>
      </w:r>
    </w:p>
    <w:p w14:paraId="00D4D8FE" w14:textId="7DD66407" w:rsidR="00681BA7" w:rsidRDefault="001F0CB1" w:rsidP="00DB3E6E">
      <w:pPr>
        <w:numPr>
          <w:ilvl w:val="0"/>
          <w:numId w:val="37"/>
        </w:numPr>
        <w:spacing w:after="120" w:line="220" w:lineRule="exact"/>
        <w:ind w:left="1440" w:right="720"/>
        <w:jc w:val="both"/>
      </w:pPr>
      <w:r>
        <w:t>T</w:t>
      </w:r>
      <w:r w:rsidR="00681BA7">
        <w:t>he extent to which it is known to those inside the business, i.e., by the employees;</w:t>
      </w:r>
    </w:p>
    <w:p w14:paraId="009527AC" w14:textId="37E65DAE" w:rsidR="00681BA7" w:rsidRDefault="001F0CB1" w:rsidP="00DB3E6E">
      <w:pPr>
        <w:numPr>
          <w:ilvl w:val="0"/>
          <w:numId w:val="37"/>
        </w:numPr>
        <w:tabs>
          <w:tab w:val="left" w:pos="1440"/>
        </w:tabs>
        <w:spacing w:after="120" w:line="220" w:lineRule="exact"/>
        <w:ind w:left="1440" w:right="720"/>
        <w:jc w:val="both"/>
      </w:pPr>
      <w:r>
        <w:t>T</w:t>
      </w:r>
      <w:r w:rsidR="00681BA7">
        <w:t>he precautions taken by the holder of the trade secret to guard the secrecy of the information;</w:t>
      </w:r>
    </w:p>
    <w:p w14:paraId="751FA914" w14:textId="19A979BB" w:rsidR="00681BA7" w:rsidRDefault="001F0CB1" w:rsidP="00DB3E6E">
      <w:pPr>
        <w:numPr>
          <w:ilvl w:val="0"/>
          <w:numId w:val="37"/>
        </w:numPr>
        <w:tabs>
          <w:tab w:val="left" w:pos="1440"/>
        </w:tabs>
        <w:spacing w:after="120" w:line="220" w:lineRule="exact"/>
        <w:ind w:left="1440" w:right="720"/>
        <w:jc w:val="both"/>
      </w:pPr>
      <w:r>
        <w:t>T</w:t>
      </w:r>
      <w:r w:rsidR="00681BA7">
        <w:t>he savings effected and the value to the holder in having the information as against competitors;</w:t>
      </w:r>
    </w:p>
    <w:p w14:paraId="5AA6676D" w14:textId="144EEF71" w:rsidR="00681BA7" w:rsidRDefault="001F0CB1" w:rsidP="00DB3E6E">
      <w:pPr>
        <w:numPr>
          <w:ilvl w:val="0"/>
          <w:numId w:val="37"/>
        </w:numPr>
        <w:tabs>
          <w:tab w:val="left" w:pos="1440"/>
        </w:tabs>
        <w:spacing w:after="120" w:line="220" w:lineRule="exact"/>
        <w:ind w:left="1440" w:right="720"/>
        <w:jc w:val="both"/>
      </w:pPr>
      <w:r>
        <w:t>T</w:t>
      </w:r>
      <w:r w:rsidR="00681BA7">
        <w:t>he amount of effort or money expended in obtaining and developing the information; and</w:t>
      </w:r>
    </w:p>
    <w:p w14:paraId="3CDA9531" w14:textId="67238DC5" w:rsidR="00681BA7" w:rsidRDefault="001F0CB1" w:rsidP="00DB3E6E">
      <w:pPr>
        <w:numPr>
          <w:ilvl w:val="0"/>
          <w:numId w:val="37"/>
        </w:numPr>
        <w:spacing w:line="220" w:lineRule="exact"/>
        <w:ind w:left="1440" w:right="720"/>
        <w:jc w:val="both"/>
      </w:pPr>
      <w:r>
        <w:t>T</w:t>
      </w:r>
      <w:r w:rsidR="00681BA7">
        <w:t>he amount of time and expense it would take for others to acquire and duplicate the information.</w:t>
      </w:r>
      <w:r w:rsidR="00681BA7">
        <w:rPr>
          <w:rStyle w:val="EndnoteReference"/>
        </w:rPr>
        <w:endnoteReference w:id="478"/>
      </w:r>
    </w:p>
    <w:p w14:paraId="289A556A" w14:textId="77777777" w:rsidR="00681BA7" w:rsidRDefault="00681BA7">
      <w:pPr>
        <w:spacing w:line="220" w:lineRule="exact"/>
        <w:ind w:left="360"/>
        <w:jc w:val="both"/>
      </w:pPr>
    </w:p>
    <w:p w14:paraId="43CB8A77" w14:textId="43A02B48" w:rsidR="00681BA7" w:rsidRPr="00F85C86" w:rsidRDefault="00681BA7">
      <w:pPr>
        <w:spacing w:line="220" w:lineRule="exact"/>
        <w:ind w:left="360"/>
        <w:jc w:val="both"/>
      </w:pPr>
      <w:r>
        <w:t xml:space="preserve">The maintenance of secrecy is important but does not require that </w:t>
      </w:r>
      <w:r w:rsidR="00F85C86">
        <w:t>a</w:t>
      </w:r>
      <w:r>
        <w:t xml:space="preserve"> trade secret be </w:t>
      </w:r>
      <w:r w:rsidR="00235330">
        <w:t xml:space="preserve">entirely </w:t>
      </w:r>
      <w:r>
        <w:t xml:space="preserve">unknown to the public.  If parts of </w:t>
      </w:r>
      <w:r w:rsidR="00F85C86">
        <w:t xml:space="preserve">a </w:t>
      </w:r>
      <w:r>
        <w:t>trade secret are in the public domain, but the value of the trade secret derives from the parts being taken together with other secret information, then the trade secret remains protected under Ohio law.</w:t>
      </w:r>
      <w:r>
        <w:rPr>
          <w:rStyle w:val="EndnoteReference"/>
        </w:rPr>
        <w:endnoteReference w:id="479"/>
      </w:r>
      <w:r w:rsidR="00F85C86">
        <w:t xml:space="preserve"> </w:t>
      </w:r>
      <w:r w:rsidR="00235330">
        <w:t xml:space="preserve"> </w:t>
      </w:r>
      <w:r w:rsidR="00F85C86">
        <w:t xml:space="preserve">An </w:t>
      </w:r>
      <w:r w:rsidR="00F85C86">
        <w:rPr>
          <w:i/>
        </w:rPr>
        <w:t xml:space="preserve">in camera </w:t>
      </w:r>
      <w:r w:rsidR="00F85C86">
        <w:t>inspection may be necessary to determine if disputed records contain trade secrets.</w:t>
      </w:r>
      <w:r w:rsidR="00F85C86">
        <w:rPr>
          <w:rStyle w:val="EndnoteReference"/>
        </w:rPr>
        <w:endnoteReference w:id="480"/>
      </w:r>
    </w:p>
    <w:p w14:paraId="728BD197" w14:textId="77777777" w:rsidR="00681BA7" w:rsidRDefault="00681BA7">
      <w:pPr>
        <w:spacing w:line="220" w:lineRule="exact"/>
        <w:ind w:left="360"/>
        <w:jc w:val="both"/>
      </w:pPr>
    </w:p>
    <w:p w14:paraId="1D2E0A5F" w14:textId="3E731DB7" w:rsidR="00C12BD5" w:rsidRDefault="00681BA7" w:rsidP="00BE5E2A">
      <w:pPr>
        <w:spacing w:line="220" w:lineRule="exact"/>
        <w:ind w:left="360"/>
        <w:jc w:val="both"/>
      </w:pPr>
      <w:r>
        <w:t>Signed non-disclosure agreements do not create trade secret status for otherwise publicly disclosable documents.</w:t>
      </w:r>
      <w:r>
        <w:rPr>
          <w:rStyle w:val="EndnoteReference"/>
        </w:rPr>
        <w:endnoteReference w:id="481"/>
      </w:r>
      <w:r w:rsidR="00235330">
        <w:t xml:space="preserve">  As with all other types of contracts, non-disclosure agreements </w:t>
      </w:r>
      <w:r w:rsidR="00B34433">
        <w:t>cannot nullify public records obligations</w:t>
      </w:r>
      <w:r w:rsidR="00D85063">
        <w:t>.</w:t>
      </w:r>
      <w:r w:rsidR="00235330">
        <w:rPr>
          <w:rStyle w:val="EndnoteReference"/>
        </w:rPr>
        <w:endnoteReference w:id="482"/>
      </w:r>
    </w:p>
    <w:p w14:paraId="0BF203E9" w14:textId="77777777" w:rsidR="000220B5" w:rsidRDefault="000220B5" w:rsidP="00BE5E2A">
      <w:pPr>
        <w:spacing w:line="220" w:lineRule="exact"/>
        <w:ind w:left="360"/>
        <w:jc w:val="both"/>
      </w:pPr>
    </w:p>
    <w:p w14:paraId="5D8769BC" w14:textId="5FBDF961" w:rsidR="00681BA7" w:rsidRDefault="00681BA7" w:rsidP="00BD2AE1">
      <w:pPr>
        <w:pStyle w:val="Heading4"/>
      </w:pPr>
      <w:bookmarkStart w:id="441" w:name="_Toc159851518"/>
      <w:r>
        <w:t>b.</w:t>
      </w:r>
      <w:r>
        <w:tab/>
      </w:r>
      <w:r w:rsidR="00C100EF">
        <w:tab/>
      </w:r>
      <w:r>
        <w:t>Copyright</w:t>
      </w:r>
      <w:bookmarkEnd w:id="441"/>
    </w:p>
    <w:p w14:paraId="2EF0491C" w14:textId="7C15EF27" w:rsidR="00681BA7" w:rsidRDefault="00681BA7">
      <w:pPr>
        <w:spacing w:line="220" w:lineRule="exact"/>
        <w:ind w:left="360"/>
        <w:jc w:val="both"/>
      </w:pPr>
      <w:r>
        <w:t>Federal copyright law is designed to protect “original works of authorship,” which may exist in one of several specified categories:</w:t>
      </w:r>
      <w:r>
        <w:rPr>
          <w:rStyle w:val="EndnoteReference"/>
        </w:rPr>
        <w:endnoteReference w:id="483"/>
      </w:r>
      <w:r>
        <w:t xml:space="preserve"> (1) literary works; (2) musical works (including any accompanying words); (3) dramatic works (including any accompanying music); (4) pantomimes and choreographic works; (5) pictorial, graphic, and sculptural works; (6) motion pictures and other audiovisual works; (7) sound recordings; and (8) architectural works.</w:t>
      </w:r>
      <w:r>
        <w:rPr>
          <w:rStyle w:val="EndnoteReference"/>
        </w:rPr>
        <w:endnoteReference w:id="484"/>
      </w:r>
    </w:p>
    <w:p w14:paraId="53317BA8" w14:textId="77777777" w:rsidR="00681BA7" w:rsidRDefault="00681BA7">
      <w:pPr>
        <w:spacing w:line="220" w:lineRule="exact"/>
        <w:ind w:left="360"/>
        <w:jc w:val="both"/>
      </w:pPr>
    </w:p>
    <w:p w14:paraId="2C61B69F" w14:textId="77FE2420" w:rsidR="00681BA7" w:rsidRDefault="00681BA7">
      <w:pPr>
        <w:spacing w:line="220" w:lineRule="exact"/>
        <w:ind w:left="360"/>
        <w:jc w:val="both"/>
      </w:pPr>
      <w:r>
        <w:t>Federal copyright law provides certain copyright owners the exclusive right of reproduction,</w:t>
      </w:r>
      <w:r>
        <w:rPr>
          <w:rStyle w:val="EndnoteReference"/>
        </w:rPr>
        <w:endnoteReference w:id="485"/>
      </w:r>
      <w:r>
        <w:t xml:space="preserve"> which means public offices could expose themselves to legal liability if they reproduce copyrighted public records in response to a public records request.  If a public record sought by a requester is copyrighted material that the public office does not possess the right to reproduce or copy via a copyright ownership or license, the public office is not typically authorized to make copies of this material under federal copyright law. However, there are some exemptions to this rule.  For example, in certain situations, the copying of a portion of a copyrighted work may be permitted.</w:t>
      </w:r>
      <w:r>
        <w:rPr>
          <w:rStyle w:val="EndnoteReference"/>
        </w:rPr>
        <w:endnoteReference w:id="486"/>
      </w:r>
    </w:p>
    <w:p w14:paraId="3BA7BC64" w14:textId="77777777" w:rsidR="00681BA7" w:rsidRDefault="00681BA7">
      <w:pPr>
        <w:spacing w:line="220" w:lineRule="exact"/>
        <w:ind w:left="360"/>
        <w:jc w:val="both"/>
      </w:pPr>
    </w:p>
    <w:p w14:paraId="4A005EBF" w14:textId="180F5FC7" w:rsidR="000F09AB" w:rsidRDefault="00681BA7" w:rsidP="00235330">
      <w:pPr>
        <w:spacing w:line="220" w:lineRule="exact"/>
        <w:ind w:left="360"/>
        <w:jc w:val="both"/>
      </w:pPr>
      <w:r>
        <w:t xml:space="preserve">Note that copyright law only prohibits unauthorized </w:t>
      </w:r>
      <w:r w:rsidR="006A47ED">
        <w:rPr>
          <w:i/>
        </w:rPr>
        <w:t>copying</w:t>
      </w:r>
      <w:r w:rsidR="006A47ED">
        <w:t xml:space="preserve"> and</w:t>
      </w:r>
      <w:r>
        <w:t xml:space="preserve"> should not affect a public records request for </w:t>
      </w:r>
      <w:r>
        <w:rPr>
          <w:i/>
        </w:rPr>
        <w:t>inspection</w:t>
      </w:r>
      <w:r>
        <w:t>.</w:t>
      </w:r>
    </w:p>
    <w:p w14:paraId="48C98F6B" w14:textId="77777777" w:rsidR="00DD79AB" w:rsidRDefault="00DD79AB" w:rsidP="00235330">
      <w:pPr>
        <w:spacing w:line="220" w:lineRule="exact"/>
        <w:ind w:left="360"/>
        <w:jc w:val="both"/>
      </w:pPr>
    </w:p>
    <w:p w14:paraId="619994B9" w14:textId="427B4CE3" w:rsidR="00DD79AB" w:rsidRDefault="00DD79AB" w:rsidP="00235330">
      <w:pPr>
        <w:spacing w:line="220" w:lineRule="exact"/>
        <w:ind w:left="360"/>
        <w:jc w:val="both"/>
      </w:pPr>
      <w:r>
        <w:t>Because of the complexity of copyright law and the fact-specific nature of this area, public bodies are encouraged to consult with their offices’ legal counsel on these issues.</w:t>
      </w:r>
    </w:p>
    <w:p w14:paraId="5BD4F547" w14:textId="13D29E1B" w:rsidR="000F09AB" w:rsidRDefault="000F09AB" w:rsidP="00BE5E2A">
      <w:pPr>
        <w:spacing w:line="220" w:lineRule="exact"/>
        <w:jc w:val="both"/>
      </w:pPr>
    </w:p>
    <w:p w14:paraId="5DFB4E25" w14:textId="7FB40D7E" w:rsidR="000F09AB" w:rsidRDefault="000F09AB" w:rsidP="00322085">
      <w:pPr>
        <w:pStyle w:val="Heading3"/>
      </w:pPr>
      <w:bookmarkStart w:id="442" w:name="_Toc159851519"/>
      <w:r>
        <w:t>7.</w:t>
      </w:r>
      <w:r w:rsidR="002B54ED">
        <w:tab/>
      </w:r>
      <w:r>
        <w:t>Records of inmates</w:t>
      </w:r>
      <w:bookmarkEnd w:id="442"/>
    </w:p>
    <w:p w14:paraId="77DA362C" w14:textId="5A43A50D" w:rsidR="00F85C86" w:rsidRDefault="000F09AB" w:rsidP="002007FF">
      <w:pPr>
        <w:spacing w:line="220" w:lineRule="exact"/>
        <w:ind w:left="360"/>
        <w:jc w:val="both"/>
      </w:pPr>
      <w:r>
        <w:t>The Department of Rehabilitation and Correction (DRC) is required by law to keep records showing the name, residence, sex, age, nativity, occupation, condition, and date of commitment of every inmate in DRC’s custody, as well as special records for inmate deaths or injuries and medical records.</w:t>
      </w:r>
      <w:r>
        <w:rPr>
          <w:rStyle w:val="EndnoteReference"/>
        </w:rPr>
        <w:endnoteReference w:id="487"/>
      </w:r>
      <w:r>
        <w:t xml:space="preserve"> </w:t>
      </w:r>
      <w:r w:rsidR="00A07639">
        <w:t xml:space="preserve"> </w:t>
      </w:r>
      <w:r>
        <w:t>By statute, these records are not public records.</w:t>
      </w:r>
      <w:r>
        <w:rPr>
          <w:rStyle w:val="EndnoteReference"/>
        </w:rPr>
        <w:endnoteReference w:id="488"/>
      </w:r>
      <w:r>
        <w:t xml:space="preserve"> </w:t>
      </w:r>
      <w:r w:rsidR="00A07639">
        <w:t xml:space="preserve"> </w:t>
      </w:r>
      <w:r w:rsidR="00E60C5A">
        <w:t>T</w:t>
      </w:r>
      <w:r>
        <w:t>his exception only applies to the records that DRC is specifically required to keep by statute; DRC is not permitted to withhold records simply because the records may relate to inmates.</w:t>
      </w:r>
      <w:r>
        <w:rPr>
          <w:rStyle w:val="EndnoteReference"/>
        </w:rPr>
        <w:endnoteReference w:id="489"/>
      </w:r>
    </w:p>
    <w:p w14:paraId="05F422FD" w14:textId="70849843" w:rsidR="00681BA7" w:rsidRDefault="00B07A84" w:rsidP="00CF25DA">
      <w:pPr>
        <w:spacing w:line="220" w:lineRule="exact"/>
        <w:jc w:val="both"/>
      </w:pPr>
      <w:r>
        <w:br w:type="page"/>
      </w:r>
      <w:r w:rsidR="00AA189A">
        <w:lastRenderedPageBreak/>
        <w:t>N</w:t>
      </w:r>
      <w:r>
        <w:t>otes:</w:t>
      </w:r>
    </w:p>
    <w:bookmarkEnd w:id="69"/>
    <w:p w14:paraId="01EEEC73" w14:textId="77777777" w:rsidR="00681BA7" w:rsidRDefault="00681BA7">
      <w:pPr>
        <w:spacing w:line="220" w:lineRule="exact"/>
        <w:ind w:left="360"/>
        <w:jc w:val="both"/>
        <w:sectPr w:rsidR="00681BA7" w:rsidSect="00AF6868">
          <w:headerReference w:type="default" r:id="rId44"/>
          <w:footerReference w:type="default" r:id="rId45"/>
          <w:endnotePr>
            <w:numFmt w:val="decimal"/>
          </w:endnotePr>
          <w:pgSz w:w="12240" w:h="15840"/>
          <w:pgMar w:top="1440" w:right="1440" w:bottom="1440" w:left="1440" w:header="720" w:footer="210" w:gutter="0"/>
          <w:cols w:space="720"/>
          <w:docGrid w:linePitch="360"/>
        </w:sectPr>
      </w:pPr>
    </w:p>
    <w:p w14:paraId="0CFF4D56" w14:textId="78887BA9" w:rsidR="00E2327A" w:rsidRDefault="00E86E4F" w:rsidP="0002092C">
      <w:pPr>
        <w:pStyle w:val="Heading1"/>
      </w:pPr>
      <w:bookmarkStart w:id="443" w:name="_Toc159851520"/>
      <w:bookmarkStart w:id="444" w:name="_Hlk90900859"/>
      <w:r>
        <w:lastRenderedPageBreak/>
        <w:t>I</w:t>
      </w:r>
      <w:r w:rsidR="00E2327A" w:rsidRPr="0002092C">
        <w:t>V.</w:t>
      </w:r>
      <w:r w:rsidR="00E2327A" w:rsidRPr="0002092C">
        <w:tab/>
        <w:t>Chapter Four:  Law Enforcement Records</w:t>
      </w:r>
      <w:bookmarkEnd w:id="443"/>
    </w:p>
    <w:p w14:paraId="3946957D" w14:textId="77777777" w:rsidR="00E2327A" w:rsidRPr="00590323" w:rsidRDefault="00E2327A" w:rsidP="00E2327A">
      <w:pPr>
        <w:spacing w:line="220" w:lineRule="exact"/>
        <w:jc w:val="both"/>
      </w:pPr>
      <w:r w:rsidRPr="00590323">
        <w:t xml:space="preserve">This </w:t>
      </w:r>
      <w:r>
        <w:t>C</w:t>
      </w:r>
      <w:r w:rsidRPr="00590323">
        <w:t xml:space="preserve">hapter addresses issues and exemptions that </w:t>
      </w:r>
      <w:r>
        <w:t>apply</w:t>
      </w:r>
      <w:r w:rsidRPr="00590323">
        <w:t xml:space="preserve"> to law enforcement related records and to law enforcement officers, as well </w:t>
      </w:r>
      <w:r>
        <w:t xml:space="preserve">as </w:t>
      </w:r>
      <w:r w:rsidRPr="00590323">
        <w:t xml:space="preserve">issues and exemptions that </w:t>
      </w:r>
      <w:r>
        <w:t>apply</w:t>
      </w:r>
      <w:r w:rsidRPr="00590323">
        <w:t xml:space="preserve"> to crime victims or witnesses. </w:t>
      </w:r>
      <w:r>
        <w:t>T</w:t>
      </w:r>
      <w:r w:rsidRPr="00590323">
        <w:t xml:space="preserve">he general principles of public records obligations and enforcement </w:t>
      </w:r>
      <w:r>
        <w:t>discussed</w:t>
      </w:r>
      <w:r w:rsidRPr="00590323">
        <w:t xml:space="preserve"> in this Manual apply to </w:t>
      </w:r>
      <w:r>
        <w:t xml:space="preserve">these </w:t>
      </w:r>
      <w:r w:rsidRPr="00590323">
        <w:t xml:space="preserve">records as they do to all other types of records. </w:t>
      </w:r>
    </w:p>
    <w:p w14:paraId="63E1AD8E" w14:textId="77777777" w:rsidR="00E2327A" w:rsidRPr="00590323" w:rsidRDefault="00E2327A" w:rsidP="00E2327A">
      <w:pPr>
        <w:spacing w:line="220" w:lineRule="exact"/>
        <w:jc w:val="both"/>
      </w:pPr>
    </w:p>
    <w:p w14:paraId="2771E9CF" w14:textId="5143D715" w:rsidR="00E2327A" w:rsidRPr="00633746" w:rsidRDefault="00E2327A" w:rsidP="007A0FA9">
      <w:pPr>
        <w:spacing w:line="220" w:lineRule="exact"/>
        <w:jc w:val="both"/>
      </w:pPr>
      <w:r>
        <w:t>T</w:t>
      </w:r>
      <w:r w:rsidRPr="00590323">
        <w:t>here are bot</w:t>
      </w:r>
      <w:r>
        <w:t xml:space="preserve">h </w:t>
      </w:r>
      <w:r w:rsidRPr="00590323">
        <w:t xml:space="preserve">discretionary </w:t>
      </w:r>
      <w:r>
        <w:t xml:space="preserve">and mandatory </w:t>
      </w:r>
      <w:r w:rsidRPr="00590323">
        <w:t xml:space="preserve">exemptions that apply to law enforcement records. Discretionary exemptions allow </w:t>
      </w:r>
      <w:r w:rsidR="007A0FA9">
        <w:t>law enforcement</w:t>
      </w:r>
      <w:r w:rsidRPr="00590323">
        <w:t xml:space="preserve"> </w:t>
      </w:r>
      <w:r w:rsidRPr="00633746">
        <w:t xml:space="preserve">offices to choose to release the records. Mandatory exemptions prohibit offices from releasing certain types of records or information in records in response to a public records request, and civil or criminal penalties may be imposed for improper release. As with all other types of records, courts will interpret the exemptions addressed in this </w:t>
      </w:r>
      <w:r w:rsidR="007A0FA9">
        <w:t>C</w:t>
      </w:r>
      <w:r w:rsidRPr="00633746">
        <w:t>hapter narrowly, and the public office has the burden to establish that the exemption applies. For a more in-depth discussion of exemptions in general, refer to Chapter</w:t>
      </w:r>
      <w:r w:rsidR="007D66D5" w:rsidRPr="00633746">
        <w:t xml:space="preserve"> Three</w:t>
      </w:r>
      <w:r w:rsidRPr="00633746">
        <w:t>, “Exemptions</w:t>
      </w:r>
      <w:r w:rsidR="00633746" w:rsidRPr="00633746">
        <w:t xml:space="preserve"> to the Required Release of Public Records.</w:t>
      </w:r>
      <w:r w:rsidRPr="00633746">
        <w:t>”</w:t>
      </w:r>
    </w:p>
    <w:p w14:paraId="630C4224" w14:textId="43EFE95D" w:rsidR="00E2327A" w:rsidRPr="00D64510" w:rsidRDefault="00A03E56" w:rsidP="00D64510">
      <w:pPr>
        <w:pStyle w:val="Heading2"/>
      </w:pPr>
      <w:bookmarkStart w:id="445" w:name="_Toc159851521"/>
      <w:r w:rsidRPr="00633746">
        <w:t>A.</w:t>
      </w:r>
      <w:r w:rsidRPr="00633746">
        <w:tab/>
      </w:r>
      <w:r w:rsidR="00E2327A" w:rsidRPr="00633746">
        <w:t xml:space="preserve">CLEIRs: Confidential Law Enforcement Investigatory Records </w:t>
      </w:r>
      <w:r w:rsidR="000220B5">
        <w:tab/>
      </w:r>
      <w:r w:rsidR="000220B5">
        <w:tab/>
      </w:r>
      <w:r w:rsidR="000220B5">
        <w:tab/>
      </w:r>
      <w:r w:rsidR="000220B5">
        <w:tab/>
      </w:r>
      <w:r w:rsidR="00E2327A" w:rsidRPr="00633746">
        <w:t>Exemption</w:t>
      </w:r>
      <w:bookmarkEnd w:id="445"/>
    </w:p>
    <w:p w14:paraId="4F9E62D5" w14:textId="0A426F8E" w:rsidR="001D2AA7" w:rsidRDefault="00E2327A" w:rsidP="001D2AA7">
      <w:pPr>
        <w:spacing w:line="220" w:lineRule="exact"/>
        <w:ind w:left="360"/>
        <w:jc w:val="both"/>
      </w:pPr>
      <w:r w:rsidRPr="00590323">
        <w:rPr>
          <w:szCs w:val="26"/>
        </w:rPr>
        <w:t>The Confidential Law Enforcement Investigatory Records exemption, commonly known as “CLEIRs,” is a discretionary exemption that law enforcement offices encounter frequently. CLEIRs applies to (1) records that pertain to a law enforcement matter of a criminal, quasi-criminal, civil</w:t>
      </w:r>
      <w:r>
        <w:rPr>
          <w:szCs w:val="26"/>
        </w:rPr>
        <w:t>,</w:t>
      </w:r>
      <w:r w:rsidRPr="00590323">
        <w:rPr>
          <w:szCs w:val="26"/>
        </w:rPr>
        <w:t xml:space="preserve"> or administrative nature, </w:t>
      </w:r>
      <w:r w:rsidRPr="00590323">
        <w:rPr>
          <w:i/>
          <w:iCs/>
          <w:szCs w:val="26"/>
        </w:rPr>
        <w:t xml:space="preserve">and </w:t>
      </w:r>
      <w:r w:rsidRPr="00590323">
        <w:rPr>
          <w:szCs w:val="26"/>
        </w:rPr>
        <w:t>(2) when disclosure of the records would reveal one of five categories of information.</w:t>
      </w:r>
      <w:r w:rsidRPr="00590323">
        <w:rPr>
          <w:rStyle w:val="EndnoteReference"/>
        </w:rPr>
        <w:endnoteReference w:id="490"/>
      </w:r>
      <w:r w:rsidRPr="00590323">
        <w:rPr>
          <w:szCs w:val="26"/>
        </w:rPr>
        <w:t xml:space="preserve"> Each element involves a separate analysis, and </w:t>
      </w:r>
      <w:r w:rsidRPr="00590323">
        <w:rPr>
          <w:i/>
          <w:iCs/>
          <w:szCs w:val="26"/>
        </w:rPr>
        <w:t>both</w:t>
      </w:r>
      <w:r w:rsidRPr="00590323">
        <w:rPr>
          <w:szCs w:val="26"/>
        </w:rPr>
        <w:t xml:space="preserve"> must be satisfied for the exemption to apply.</w:t>
      </w:r>
      <w:r w:rsidRPr="00590323">
        <w:tab/>
      </w:r>
    </w:p>
    <w:p w14:paraId="6EFBD401" w14:textId="77777777" w:rsidR="001D2AA7" w:rsidRPr="001D2AA7" w:rsidRDefault="001D2AA7" w:rsidP="001D2AA7">
      <w:pPr>
        <w:spacing w:line="220" w:lineRule="exact"/>
        <w:ind w:left="360"/>
        <w:jc w:val="both"/>
      </w:pPr>
    </w:p>
    <w:p w14:paraId="3ACAC294" w14:textId="3DDC5E67" w:rsidR="00E2327A" w:rsidRPr="00590323" w:rsidRDefault="00E2327A" w:rsidP="00322085">
      <w:pPr>
        <w:pStyle w:val="Heading3"/>
      </w:pPr>
      <w:bookmarkStart w:id="446" w:name="_Toc159851522"/>
      <w:r w:rsidRPr="00590323">
        <w:t>1.</w:t>
      </w:r>
      <w:r w:rsidRPr="00590323">
        <w:tab/>
        <w:t xml:space="preserve">Step one: </w:t>
      </w:r>
      <w:r w:rsidR="00334396">
        <w:t>p</w:t>
      </w:r>
      <w:r w:rsidRPr="00590323">
        <w:t>ertains to “a law enforcement matter”</w:t>
      </w:r>
      <w:bookmarkEnd w:id="446"/>
    </w:p>
    <w:p w14:paraId="0F978594" w14:textId="77777777" w:rsidR="00E2327A" w:rsidRPr="00590323" w:rsidRDefault="00E2327A" w:rsidP="007120C3">
      <w:pPr>
        <w:spacing w:line="220" w:lineRule="exact"/>
        <w:ind w:left="360"/>
        <w:jc w:val="both"/>
        <w:rPr>
          <w:szCs w:val="26"/>
        </w:rPr>
      </w:pPr>
      <w:r>
        <w:rPr>
          <w:szCs w:val="26"/>
        </w:rPr>
        <w:t xml:space="preserve">The first step to determine if the CLEIRs exemption applies is whether the record pertains to a law enforcement matter of a criminal, quasi-criminal, civil, or administrative nature. </w:t>
      </w:r>
      <w:r w:rsidRPr="00590323">
        <w:rPr>
          <w:szCs w:val="26"/>
        </w:rPr>
        <w:t xml:space="preserve">An investigation is only considered a “law enforcement matter” if it meets each prong of the following </w:t>
      </w:r>
      <w:r>
        <w:rPr>
          <w:szCs w:val="26"/>
        </w:rPr>
        <w:t>three</w:t>
      </w:r>
      <w:r w:rsidRPr="00590323">
        <w:rPr>
          <w:szCs w:val="26"/>
        </w:rPr>
        <w:t>-part test:</w:t>
      </w:r>
    </w:p>
    <w:p w14:paraId="42EC4220" w14:textId="77777777" w:rsidR="00E2327A" w:rsidRPr="00590323" w:rsidRDefault="00E2327A" w:rsidP="00E2327A">
      <w:pPr>
        <w:spacing w:line="220" w:lineRule="exact"/>
        <w:ind w:left="1440" w:hanging="720"/>
        <w:jc w:val="both"/>
        <w:rPr>
          <w:szCs w:val="26"/>
        </w:rPr>
      </w:pPr>
    </w:p>
    <w:p w14:paraId="46F17660" w14:textId="3E646DB6" w:rsidR="00E2327A" w:rsidRPr="000220B5" w:rsidRDefault="00C100EF" w:rsidP="00C100EF">
      <w:pPr>
        <w:pStyle w:val="Heading4"/>
        <w:numPr>
          <w:ilvl w:val="0"/>
          <w:numId w:val="78"/>
        </w:numPr>
      </w:pPr>
      <w:r>
        <w:tab/>
      </w:r>
      <w:bookmarkStart w:id="447" w:name="_Toc159851523"/>
      <w:r w:rsidR="00E2327A" w:rsidRPr="00590323">
        <w:t xml:space="preserve">Has an investigation been initiated upon specific suspicion </w:t>
      </w:r>
      <w:r w:rsidR="000220B5">
        <w:tab/>
      </w:r>
      <w:r w:rsidR="00E2327A" w:rsidRPr="00590323">
        <w:t>of wrongdoing?</w:t>
      </w:r>
      <w:bookmarkEnd w:id="447"/>
    </w:p>
    <w:p w14:paraId="385711E0" w14:textId="77777777" w:rsidR="00E2327A" w:rsidRPr="00590323" w:rsidRDefault="00E2327A" w:rsidP="007120C3">
      <w:pPr>
        <w:spacing w:line="220" w:lineRule="exact"/>
        <w:ind w:left="360"/>
        <w:jc w:val="both"/>
        <w:rPr>
          <w:szCs w:val="26"/>
        </w:rPr>
      </w:pPr>
      <w:r>
        <w:rPr>
          <w:szCs w:val="26"/>
        </w:rPr>
        <w:t>Records</w:t>
      </w:r>
      <w:r w:rsidRPr="00590323">
        <w:rPr>
          <w:szCs w:val="26"/>
        </w:rPr>
        <w:t xml:space="preserve"> must be generated in response to specific alleged misconduct</w:t>
      </w:r>
      <w:r>
        <w:rPr>
          <w:szCs w:val="26"/>
        </w:rPr>
        <w:t xml:space="preserve"> for CLEIRs to apply. Thus, records that offices routinely generate, such as personnel records, are generally not considered investigation records</w:t>
      </w:r>
      <w:r w:rsidRPr="00590323">
        <w:rPr>
          <w:szCs w:val="26"/>
        </w:rPr>
        <w:t>.</w:t>
      </w:r>
      <w:r w:rsidRPr="00590323">
        <w:rPr>
          <w:rStyle w:val="EndnoteReference"/>
        </w:rPr>
        <w:endnoteReference w:id="491"/>
      </w:r>
      <w:r w:rsidRPr="00590323">
        <w:rPr>
          <w:szCs w:val="26"/>
        </w:rPr>
        <w:t xml:space="preserve"> </w:t>
      </w:r>
      <w:r>
        <w:rPr>
          <w:szCs w:val="26"/>
        </w:rPr>
        <w:t>Use-of-force reports are not categorically treated as investigation records for purposes of CLEIRs because law enforcement offices must create these reports for every use-of-force incident, even if the office does not suspect misconduct.</w:t>
      </w:r>
      <w:r>
        <w:rPr>
          <w:rStyle w:val="EndnoteReference"/>
          <w:szCs w:val="26"/>
        </w:rPr>
        <w:endnoteReference w:id="492"/>
      </w:r>
      <w:r>
        <w:rPr>
          <w:szCs w:val="26"/>
        </w:rPr>
        <w:t xml:space="preserve"> However, if there is evidence of </w:t>
      </w:r>
      <w:r w:rsidRPr="00B054E9">
        <w:rPr>
          <w:szCs w:val="26"/>
        </w:rPr>
        <w:t>“specific suspicion of criminal wrongdoing</w:t>
      </w:r>
      <w:r w:rsidRPr="00590323">
        <w:rPr>
          <w:szCs w:val="26"/>
        </w:rPr>
        <w:t>”</w:t>
      </w:r>
      <w:r>
        <w:rPr>
          <w:szCs w:val="26"/>
        </w:rPr>
        <w:t xml:space="preserve"> related to a use-of-force incident, the use-of-force report may qualify as an investigation record</w:t>
      </w:r>
      <w:r w:rsidRPr="00590323">
        <w:rPr>
          <w:szCs w:val="26"/>
        </w:rPr>
        <w:t>.</w:t>
      </w:r>
      <w:r w:rsidRPr="00590323">
        <w:rPr>
          <w:rStyle w:val="EndnoteReference"/>
        </w:rPr>
        <w:endnoteReference w:id="493"/>
      </w:r>
    </w:p>
    <w:p w14:paraId="7F557F69" w14:textId="77777777" w:rsidR="00E2327A" w:rsidRPr="00590323" w:rsidRDefault="00E2327A" w:rsidP="00E2327A">
      <w:pPr>
        <w:spacing w:line="220" w:lineRule="exact"/>
        <w:ind w:left="1440"/>
        <w:jc w:val="both"/>
        <w:rPr>
          <w:szCs w:val="26"/>
        </w:rPr>
      </w:pPr>
    </w:p>
    <w:p w14:paraId="1067C153" w14:textId="7906DDBA" w:rsidR="00E2327A" w:rsidRPr="00590323" w:rsidRDefault="00C100EF" w:rsidP="00C100EF">
      <w:pPr>
        <w:pStyle w:val="Heading4"/>
        <w:numPr>
          <w:ilvl w:val="0"/>
          <w:numId w:val="78"/>
        </w:numPr>
      </w:pPr>
      <w:r>
        <w:tab/>
      </w:r>
      <w:bookmarkStart w:id="448" w:name="_Toc159851524"/>
      <w:r w:rsidR="00E2327A" w:rsidRPr="00590323">
        <w:t xml:space="preserve">Does the alleged conduct violate criminal, quasi-criminal, </w:t>
      </w:r>
      <w:r w:rsidR="000220B5">
        <w:tab/>
      </w:r>
      <w:r w:rsidR="00E2327A" w:rsidRPr="00590323">
        <w:t>civil, or administrative law?</w:t>
      </w:r>
      <w:bookmarkEnd w:id="448"/>
    </w:p>
    <w:p w14:paraId="7770596D" w14:textId="77777777" w:rsidR="00E2327A" w:rsidRPr="00590323" w:rsidRDefault="00E2327A" w:rsidP="007120C3">
      <w:pPr>
        <w:spacing w:line="220" w:lineRule="exact"/>
        <w:ind w:left="360"/>
        <w:jc w:val="both"/>
        <w:rPr>
          <w:szCs w:val="26"/>
        </w:rPr>
      </w:pPr>
      <w:r>
        <w:rPr>
          <w:szCs w:val="26"/>
        </w:rPr>
        <w:t>If the record involves criminal conduct, this element is met. But i</w:t>
      </w:r>
      <w:r w:rsidRPr="00590323">
        <w:rPr>
          <w:szCs w:val="26"/>
        </w:rPr>
        <w:t>n addition to criminal law enforcement matters</w:t>
      </w:r>
      <w:r>
        <w:rPr>
          <w:szCs w:val="26"/>
        </w:rPr>
        <w:t xml:space="preserve">, </w:t>
      </w:r>
      <w:r w:rsidRPr="00590323">
        <w:rPr>
          <w:szCs w:val="26"/>
        </w:rPr>
        <w:t>CLEIRs applies to quasi-criminal, civil, and administrative law enforcement matters when there is statutory authority to enforce a law.</w:t>
      </w:r>
      <w:r w:rsidRPr="00590323">
        <w:rPr>
          <w:rStyle w:val="EndnoteReference"/>
        </w:rPr>
        <w:endnoteReference w:id="494"/>
      </w:r>
      <w:r>
        <w:rPr>
          <w:szCs w:val="26"/>
        </w:rPr>
        <w:t xml:space="preserve"> To satisfy this element the matter must directly relate to </w:t>
      </w:r>
      <w:r w:rsidRPr="00590323">
        <w:rPr>
          <w:szCs w:val="26"/>
        </w:rPr>
        <w:t>“the enforcement of the law, and not to employment or personnel matters ancillary to law enforcement matters.”</w:t>
      </w:r>
      <w:r w:rsidRPr="00590323">
        <w:rPr>
          <w:rStyle w:val="EndnoteReference"/>
        </w:rPr>
        <w:endnoteReference w:id="495"/>
      </w:r>
      <w:r>
        <w:rPr>
          <w:szCs w:val="26"/>
        </w:rPr>
        <w:t xml:space="preserve"> Thus, d</w:t>
      </w:r>
      <w:r w:rsidRPr="00590323">
        <w:rPr>
          <w:szCs w:val="26"/>
        </w:rPr>
        <w:t xml:space="preserve">isciplinary investigations of alleged violations of internal office policies or procedures are </w:t>
      </w:r>
      <w:r w:rsidRPr="00590323">
        <w:rPr>
          <w:i/>
          <w:szCs w:val="26"/>
        </w:rPr>
        <w:t>not</w:t>
      </w:r>
      <w:r w:rsidRPr="00590323">
        <w:rPr>
          <w:szCs w:val="26"/>
        </w:rPr>
        <w:t xml:space="preserve"> law enforcement matters,</w:t>
      </w:r>
      <w:r w:rsidRPr="00590323">
        <w:rPr>
          <w:rStyle w:val="EndnoteReference"/>
        </w:rPr>
        <w:endnoteReference w:id="496"/>
      </w:r>
      <w:r w:rsidRPr="00590323">
        <w:rPr>
          <w:szCs w:val="26"/>
        </w:rPr>
        <w:t xml:space="preserve"> including disciplinary </w:t>
      </w:r>
      <w:r>
        <w:rPr>
          <w:szCs w:val="26"/>
        </w:rPr>
        <w:t>actions against</w:t>
      </w:r>
      <w:r w:rsidRPr="00590323">
        <w:rPr>
          <w:szCs w:val="26"/>
        </w:rPr>
        <w:t xml:space="preserve"> law enforcement officers.</w:t>
      </w:r>
      <w:r w:rsidRPr="00590323">
        <w:rPr>
          <w:rStyle w:val="EndnoteReference"/>
        </w:rPr>
        <w:endnoteReference w:id="497"/>
      </w:r>
    </w:p>
    <w:p w14:paraId="2C23A75B" w14:textId="77777777" w:rsidR="00E2327A" w:rsidRPr="00590323" w:rsidRDefault="00E2327A" w:rsidP="00E2327A">
      <w:pPr>
        <w:spacing w:line="220" w:lineRule="exact"/>
        <w:ind w:left="360"/>
        <w:jc w:val="both"/>
        <w:rPr>
          <w:szCs w:val="26"/>
        </w:rPr>
      </w:pPr>
    </w:p>
    <w:p w14:paraId="723DD9BA" w14:textId="1DE4A9EA" w:rsidR="00E2327A" w:rsidRPr="00590323" w:rsidRDefault="00E2327A" w:rsidP="00C100EF">
      <w:pPr>
        <w:pStyle w:val="Heading4"/>
        <w:numPr>
          <w:ilvl w:val="0"/>
          <w:numId w:val="78"/>
        </w:numPr>
      </w:pPr>
      <w:r w:rsidRPr="00590323">
        <w:lastRenderedPageBreak/>
        <w:tab/>
      </w:r>
      <w:bookmarkStart w:id="449" w:name="_Toc159851525"/>
      <w:r w:rsidRPr="00590323">
        <w:t xml:space="preserve">Does the public office have the authority to investigate or </w:t>
      </w:r>
      <w:r w:rsidR="000220B5">
        <w:tab/>
      </w:r>
      <w:r w:rsidRPr="00590323">
        <w:t>enforce the law allegedly violated?</w:t>
      </w:r>
      <w:bookmarkEnd w:id="449"/>
    </w:p>
    <w:p w14:paraId="49D6BA2B" w14:textId="77777777" w:rsidR="00E2327A" w:rsidRDefault="00E2327A" w:rsidP="007120C3">
      <w:pPr>
        <w:spacing w:line="220" w:lineRule="exact"/>
        <w:ind w:left="360"/>
        <w:jc w:val="both"/>
        <w:rPr>
          <w:szCs w:val="26"/>
        </w:rPr>
      </w:pPr>
      <w:r>
        <w:rPr>
          <w:szCs w:val="26"/>
        </w:rPr>
        <w:t xml:space="preserve">The public office must </w:t>
      </w:r>
      <w:r w:rsidRPr="00590323">
        <w:rPr>
          <w:szCs w:val="26"/>
        </w:rPr>
        <w:t>have legally-mandated investigative</w:t>
      </w:r>
      <w:r w:rsidRPr="00590323">
        <w:rPr>
          <w:rStyle w:val="EndnoteReference"/>
        </w:rPr>
        <w:endnoteReference w:id="498"/>
      </w:r>
      <w:r w:rsidRPr="00590323">
        <w:rPr>
          <w:szCs w:val="26"/>
        </w:rPr>
        <w:t xml:space="preserve"> or enforcement authority </w:t>
      </w:r>
      <w:r w:rsidRPr="00912795">
        <w:rPr>
          <w:szCs w:val="26"/>
        </w:rPr>
        <w:t>over the alleged violation of the law for the records it holds to pertain to a “law enforcement matter.”</w:t>
      </w:r>
      <w:r w:rsidRPr="00912795">
        <w:rPr>
          <w:rStyle w:val="EndnoteReference"/>
        </w:rPr>
        <w:endnoteReference w:id="499"/>
      </w:r>
      <w:r w:rsidRPr="00912795">
        <w:rPr>
          <w:szCs w:val="26"/>
        </w:rPr>
        <w:t xml:space="preserve"> For example, if an investigating law enforcement agency obtains a copy of an otherwise public record of another public office as part of an investigation, the original record remaining in the hands of the other public office is not covered by the CLEIRs exemption.</w:t>
      </w:r>
      <w:r w:rsidRPr="00912795">
        <w:rPr>
          <w:rStyle w:val="EndnoteReference"/>
        </w:rPr>
        <w:endnoteReference w:id="500"/>
      </w:r>
    </w:p>
    <w:p w14:paraId="01B93B54" w14:textId="77777777" w:rsidR="007120C3" w:rsidRPr="00590323" w:rsidRDefault="007120C3" w:rsidP="007120C3">
      <w:pPr>
        <w:spacing w:line="220" w:lineRule="exact"/>
        <w:ind w:left="360"/>
        <w:jc w:val="both"/>
        <w:rPr>
          <w:szCs w:val="26"/>
        </w:rPr>
      </w:pPr>
    </w:p>
    <w:p w14:paraId="4DB0D85D" w14:textId="0B34D8F2" w:rsidR="00E2327A" w:rsidRPr="00590323" w:rsidRDefault="00E2327A" w:rsidP="00322085">
      <w:pPr>
        <w:pStyle w:val="Heading3"/>
      </w:pPr>
      <w:bookmarkStart w:id="450" w:name="_Toc159851526"/>
      <w:r w:rsidRPr="00590323">
        <w:t>2.</w:t>
      </w:r>
      <w:r w:rsidRPr="00590323">
        <w:tab/>
        <w:t xml:space="preserve">Step two: </w:t>
      </w:r>
      <w:r w:rsidR="00334396">
        <w:t>h</w:t>
      </w:r>
      <w:r w:rsidRPr="00590323">
        <w:t>igh probability of disclosing certain information</w:t>
      </w:r>
      <w:bookmarkEnd w:id="450"/>
    </w:p>
    <w:p w14:paraId="14695256" w14:textId="77777777" w:rsidR="00E2327A" w:rsidRDefault="00E2327A" w:rsidP="007120C3">
      <w:pPr>
        <w:spacing w:line="220" w:lineRule="exact"/>
        <w:ind w:left="360"/>
        <w:jc w:val="both"/>
        <w:rPr>
          <w:szCs w:val="26"/>
        </w:rPr>
      </w:pPr>
      <w:r w:rsidRPr="00590323">
        <w:rPr>
          <w:szCs w:val="26"/>
        </w:rPr>
        <w:t xml:space="preserve">If </w:t>
      </w:r>
      <w:r>
        <w:rPr>
          <w:szCs w:val="26"/>
        </w:rPr>
        <w:t xml:space="preserve">step one is satisfied—the </w:t>
      </w:r>
      <w:r w:rsidRPr="00590323">
        <w:rPr>
          <w:szCs w:val="26"/>
        </w:rPr>
        <w:t>investigative record pertains to a “law enforcement matte</w:t>
      </w:r>
      <w:r>
        <w:rPr>
          <w:szCs w:val="26"/>
        </w:rPr>
        <w:t xml:space="preserve">r”—the second step must be satisfied for CLEIRs to apply: releasing </w:t>
      </w:r>
      <w:r w:rsidRPr="00590323">
        <w:rPr>
          <w:szCs w:val="26"/>
        </w:rPr>
        <w:t>the record would create a high probability of disclosing one or more of five types of information</w:t>
      </w:r>
      <w:r>
        <w:rPr>
          <w:szCs w:val="26"/>
        </w:rPr>
        <w:t>.</w:t>
      </w:r>
      <w:r w:rsidRPr="00590323">
        <w:rPr>
          <w:rStyle w:val="EndnoteReference"/>
        </w:rPr>
        <w:endnoteReference w:id="501"/>
      </w:r>
      <w:r>
        <w:rPr>
          <w:szCs w:val="26"/>
        </w:rPr>
        <w:t xml:space="preserve"> The five types of information are:</w:t>
      </w:r>
    </w:p>
    <w:p w14:paraId="27886BF6" w14:textId="77777777" w:rsidR="00E2327A" w:rsidRPr="00590323" w:rsidRDefault="00E2327A" w:rsidP="00E2327A">
      <w:pPr>
        <w:spacing w:line="220" w:lineRule="exact"/>
        <w:jc w:val="both"/>
        <w:rPr>
          <w:szCs w:val="26"/>
        </w:rPr>
      </w:pPr>
    </w:p>
    <w:p w14:paraId="6DDA60F1" w14:textId="69EDD5DD" w:rsidR="00E2327A" w:rsidRPr="000220B5" w:rsidRDefault="00C100EF" w:rsidP="00C100EF">
      <w:pPr>
        <w:pStyle w:val="Heading4"/>
        <w:numPr>
          <w:ilvl w:val="0"/>
          <w:numId w:val="79"/>
        </w:numPr>
      </w:pPr>
      <w:r>
        <w:tab/>
      </w:r>
      <w:bookmarkStart w:id="451" w:name="_Toc159851527"/>
      <w:r w:rsidR="00E2327A" w:rsidRPr="00590323">
        <w:t xml:space="preserve">Identity of an uncharged suspect in connection with the </w:t>
      </w:r>
      <w:r w:rsidR="000220B5">
        <w:tab/>
      </w:r>
      <w:r w:rsidR="000220B5">
        <w:tab/>
      </w:r>
      <w:r w:rsidR="00E2327A" w:rsidRPr="00590323">
        <w:t>investigated conduct</w:t>
      </w:r>
      <w:bookmarkEnd w:id="451"/>
    </w:p>
    <w:p w14:paraId="6DC5DD9B" w14:textId="77777777" w:rsidR="00E2327A" w:rsidRPr="00590323" w:rsidRDefault="00E2327A" w:rsidP="007120C3">
      <w:pPr>
        <w:spacing w:line="220" w:lineRule="exact"/>
        <w:ind w:left="360"/>
        <w:jc w:val="both"/>
        <w:rPr>
          <w:szCs w:val="26"/>
        </w:rPr>
      </w:pPr>
      <w:r w:rsidRPr="00590323">
        <w:rPr>
          <w:szCs w:val="26"/>
        </w:rPr>
        <w:t>An “uncharged suspect” is a person who at some point in the investigatory agency’s investigation was believed to have committed a crime or offense but was not arrested or charged</w:t>
      </w:r>
      <w:r w:rsidRPr="002331A8">
        <w:rPr>
          <w:szCs w:val="26"/>
        </w:rPr>
        <w:t xml:space="preserve"> </w:t>
      </w:r>
      <w:r w:rsidRPr="00590323">
        <w:rPr>
          <w:szCs w:val="26"/>
        </w:rPr>
        <w:t>for the offense to which the investigative record pertain</w:t>
      </w:r>
      <w:r>
        <w:rPr>
          <w:szCs w:val="26"/>
        </w:rPr>
        <w:t>s.</w:t>
      </w:r>
      <w:r w:rsidRPr="00590323">
        <w:rPr>
          <w:rStyle w:val="EndnoteReference"/>
        </w:rPr>
        <w:endnoteReference w:id="502"/>
      </w:r>
      <w:r w:rsidRPr="00590323">
        <w:rPr>
          <w:szCs w:val="26"/>
        </w:rPr>
        <w:t xml:space="preserve"> Th</w:t>
      </w:r>
      <w:r>
        <w:rPr>
          <w:szCs w:val="26"/>
        </w:rPr>
        <w:t xml:space="preserve">is </w:t>
      </w:r>
      <w:r w:rsidRPr="00590323">
        <w:rPr>
          <w:szCs w:val="26"/>
        </w:rPr>
        <w:t xml:space="preserve">exemption </w:t>
      </w:r>
      <w:r>
        <w:rPr>
          <w:szCs w:val="26"/>
        </w:rPr>
        <w:t>is intended to</w:t>
      </w:r>
      <w:r w:rsidRPr="00590323">
        <w:rPr>
          <w:szCs w:val="26"/>
        </w:rPr>
        <w:t xml:space="preserve"> protect the rights of individuals to be free from unwarranted adverse publicity</w:t>
      </w:r>
      <w:r>
        <w:rPr>
          <w:szCs w:val="26"/>
        </w:rPr>
        <w:t xml:space="preserve">, </w:t>
      </w:r>
      <w:r w:rsidRPr="00590323">
        <w:rPr>
          <w:szCs w:val="26"/>
        </w:rPr>
        <w:t xml:space="preserve">and </w:t>
      </w:r>
      <w:r>
        <w:rPr>
          <w:szCs w:val="26"/>
        </w:rPr>
        <w:t xml:space="preserve">to </w:t>
      </w:r>
      <w:r w:rsidRPr="00590323">
        <w:rPr>
          <w:szCs w:val="26"/>
        </w:rPr>
        <w:t>protect law enforcement investigations from being compromised.</w:t>
      </w:r>
      <w:r w:rsidRPr="00590323">
        <w:rPr>
          <w:rStyle w:val="EndnoteReference"/>
        </w:rPr>
        <w:endnoteReference w:id="503"/>
      </w:r>
    </w:p>
    <w:p w14:paraId="5AD37E6A" w14:textId="77777777" w:rsidR="00E2327A" w:rsidRPr="00590323" w:rsidRDefault="00E2327A" w:rsidP="00E2327A">
      <w:pPr>
        <w:spacing w:line="220" w:lineRule="exact"/>
        <w:jc w:val="both"/>
        <w:rPr>
          <w:szCs w:val="26"/>
        </w:rPr>
      </w:pPr>
    </w:p>
    <w:p w14:paraId="7EA59321" w14:textId="77777777" w:rsidR="00E2327A" w:rsidRDefault="00E2327A" w:rsidP="007120C3">
      <w:pPr>
        <w:spacing w:line="220" w:lineRule="exact"/>
        <w:ind w:left="360"/>
        <w:jc w:val="both"/>
        <w:rPr>
          <w:szCs w:val="26"/>
        </w:rPr>
      </w:pPr>
      <w:r w:rsidRPr="00590323">
        <w:rPr>
          <w:szCs w:val="26"/>
        </w:rPr>
        <w:t>Only the particular information that has a high probability of revealing the identity of an uncharged suspect can be redacted from otherwise non-exempt records prior to the records’ release.</w:t>
      </w:r>
      <w:r w:rsidRPr="00590323">
        <w:rPr>
          <w:rStyle w:val="EndnoteReference"/>
        </w:rPr>
        <w:endnoteReference w:id="504"/>
      </w:r>
      <w:r w:rsidRPr="00590323">
        <w:rPr>
          <w:szCs w:val="26"/>
        </w:rPr>
        <w:t xml:space="preserve"> When the contents of a record are so “inextricably intertwined” with the suspect’s identity that redacting will fail to protect the person’s identity, that entire record may be withheld.</w:t>
      </w:r>
      <w:r w:rsidRPr="00590323">
        <w:rPr>
          <w:rStyle w:val="EndnoteReference"/>
        </w:rPr>
        <w:endnoteReference w:id="505"/>
      </w:r>
      <w:r w:rsidRPr="00590323">
        <w:rPr>
          <w:szCs w:val="26"/>
        </w:rPr>
        <w:t xml:space="preserve"> However, the application of this exemption to some records does not automatically create a blanket exemption covering all other records in </w:t>
      </w:r>
      <w:r>
        <w:rPr>
          <w:szCs w:val="26"/>
        </w:rPr>
        <w:t>an investigation</w:t>
      </w:r>
      <w:r w:rsidRPr="00590323">
        <w:rPr>
          <w:szCs w:val="26"/>
        </w:rPr>
        <w:t xml:space="preserve"> file, and the public office must still release any investigative records that do not individually have a high probability of revealing the uncharged suspect’s identity.</w:t>
      </w:r>
      <w:r w:rsidRPr="00590323">
        <w:rPr>
          <w:rStyle w:val="EndnoteReference"/>
        </w:rPr>
        <w:endnoteReference w:id="506"/>
      </w:r>
      <w:r w:rsidRPr="00590323">
        <w:rPr>
          <w:szCs w:val="26"/>
        </w:rPr>
        <w:t xml:space="preserve"> Additionally, this exemption does not categorically cover police officer use-of-force reports</w:t>
      </w:r>
      <w:r>
        <w:rPr>
          <w:szCs w:val="26"/>
        </w:rPr>
        <w:t>;</w:t>
      </w:r>
      <w:r w:rsidRPr="00590323">
        <w:rPr>
          <w:szCs w:val="26"/>
        </w:rPr>
        <w:t xml:space="preserve"> rather</w:t>
      </w:r>
      <w:r>
        <w:rPr>
          <w:szCs w:val="26"/>
        </w:rPr>
        <w:t>,</w:t>
      </w:r>
      <w:r w:rsidRPr="00590323">
        <w:rPr>
          <w:szCs w:val="26"/>
        </w:rPr>
        <w:t xml:space="preserve"> a case-by-case assessment should be made to determine if the exemption applies.</w:t>
      </w:r>
      <w:r w:rsidRPr="00590323">
        <w:rPr>
          <w:rStyle w:val="EndnoteReference"/>
          <w:szCs w:val="26"/>
        </w:rPr>
        <w:endnoteReference w:id="507"/>
      </w:r>
      <w:r w:rsidRPr="00590323">
        <w:rPr>
          <w:szCs w:val="26"/>
        </w:rPr>
        <w:t xml:space="preserve"> </w:t>
      </w:r>
    </w:p>
    <w:p w14:paraId="310A4509" w14:textId="77777777" w:rsidR="00E2327A" w:rsidRDefault="00E2327A" w:rsidP="00E2327A">
      <w:pPr>
        <w:spacing w:line="220" w:lineRule="exact"/>
        <w:jc w:val="both"/>
        <w:rPr>
          <w:szCs w:val="26"/>
        </w:rPr>
      </w:pPr>
    </w:p>
    <w:p w14:paraId="72074169" w14:textId="77777777" w:rsidR="00E2327A" w:rsidRDefault="00E2327A" w:rsidP="007120C3">
      <w:pPr>
        <w:spacing w:line="220" w:lineRule="exact"/>
        <w:ind w:left="360"/>
        <w:jc w:val="both"/>
        <w:rPr>
          <w:szCs w:val="26"/>
        </w:rPr>
      </w:pPr>
      <w:r w:rsidRPr="00590323">
        <w:rPr>
          <w:szCs w:val="26"/>
        </w:rPr>
        <w:t xml:space="preserve">The uncharged suspect exemption </w:t>
      </w:r>
      <w:r>
        <w:rPr>
          <w:szCs w:val="26"/>
        </w:rPr>
        <w:t xml:space="preserve">may </w:t>
      </w:r>
      <w:r w:rsidRPr="00590323">
        <w:rPr>
          <w:szCs w:val="26"/>
        </w:rPr>
        <w:t>appl</w:t>
      </w:r>
      <w:r>
        <w:rPr>
          <w:szCs w:val="26"/>
        </w:rPr>
        <w:t>y</w:t>
      </w:r>
      <w:r w:rsidRPr="00590323">
        <w:rPr>
          <w:szCs w:val="26"/>
        </w:rPr>
        <w:t xml:space="preserve"> even if</w:t>
      </w:r>
      <w:r>
        <w:rPr>
          <w:szCs w:val="26"/>
        </w:rPr>
        <w:t xml:space="preserve"> </w:t>
      </w:r>
      <w:r w:rsidRPr="00590323">
        <w:rPr>
          <w:szCs w:val="26"/>
        </w:rPr>
        <w:t>time has passed since the investigation was closed</w:t>
      </w:r>
      <w:r>
        <w:rPr>
          <w:szCs w:val="26"/>
        </w:rPr>
        <w:t>,</w:t>
      </w:r>
      <w:r w:rsidRPr="00590323">
        <w:rPr>
          <w:rStyle w:val="EndnoteReference"/>
        </w:rPr>
        <w:endnoteReference w:id="508"/>
      </w:r>
      <w:r>
        <w:rPr>
          <w:szCs w:val="26"/>
        </w:rPr>
        <w:t xml:space="preserve"> </w:t>
      </w:r>
      <w:r w:rsidRPr="00590323">
        <w:rPr>
          <w:szCs w:val="26"/>
        </w:rPr>
        <w:t>the suspect has been accurately identified in media coverage</w:t>
      </w:r>
      <w:r>
        <w:rPr>
          <w:szCs w:val="26"/>
        </w:rPr>
        <w:t>,</w:t>
      </w:r>
      <w:r w:rsidRPr="00590323">
        <w:rPr>
          <w:rStyle w:val="EndnoteReference"/>
        </w:rPr>
        <w:endnoteReference w:id="509"/>
      </w:r>
      <w:r w:rsidRPr="00590323">
        <w:rPr>
          <w:szCs w:val="26"/>
        </w:rPr>
        <w:t xml:space="preserve"> or</w:t>
      </w:r>
      <w:r>
        <w:rPr>
          <w:szCs w:val="26"/>
        </w:rPr>
        <w:t xml:space="preserve"> </w:t>
      </w:r>
      <w:r w:rsidRPr="00590323">
        <w:rPr>
          <w:szCs w:val="26"/>
        </w:rPr>
        <w:t>the uncharged suspect is the person requesting the information</w:t>
      </w:r>
      <w:r>
        <w:rPr>
          <w:szCs w:val="26"/>
        </w:rPr>
        <w:t>.</w:t>
      </w:r>
      <w:r w:rsidRPr="00590323">
        <w:rPr>
          <w:rStyle w:val="EndnoteReference"/>
        </w:rPr>
        <w:endnoteReference w:id="510"/>
      </w:r>
    </w:p>
    <w:p w14:paraId="1B653C81" w14:textId="77777777" w:rsidR="00E2327A" w:rsidRPr="00590323" w:rsidRDefault="00E2327A" w:rsidP="00E2327A">
      <w:pPr>
        <w:spacing w:line="220" w:lineRule="exact"/>
        <w:jc w:val="both"/>
        <w:rPr>
          <w:szCs w:val="26"/>
        </w:rPr>
      </w:pPr>
    </w:p>
    <w:p w14:paraId="39E5E897" w14:textId="70C0A518" w:rsidR="00E2327A" w:rsidRPr="000220B5" w:rsidRDefault="00C100EF" w:rsidP="00C100EF">
      <w:pPr>
        <w:pStyle w:val="Heading4"/>
        <w:numPr>
          <w:ilvl w:val="0"/>
          <w:numId w:val="79"/>
        </w:numPr>
      </w:pPr>
      <w:r>
        <w:tab/>
      </w:r>
      <w:bookmarkStart w:id="452" w:name="_Toc159851528"/>
      <w:r w:rsidR="00E2327A" w:rsidRPr="00590323">
        <w:t>Identity of a confidential source</w:t>
      </w:r>
      <w:r w:rsidR="00E2327A">
        <w:t xml:space="preserve"> or witness</w:t>
      </w:r>
      <w:bookmarkEnd w:id="452"/>
    </w:p>
    <w:p w14:paraId="4418B80E" w14:textId="77777777" w:rsidR="00E2327A" w:rsidRPr="00590323" w:rsidRDefault="00E2327A" w:rsidP="007120C3">
      <w:pPr>
        <w:spacing w:line="220" w:lineRule="exact"/>
        <w:ind w:left="360"/>
        <w:jc w:val="both"/>
        <w:rPr>
          <w:szCs w:val="26"/>
        </w:rPr>
      </w:pPr>
      <w:r w:rsidRPr="00590323">
        <w:rPr>
          <w:szCs w:val="26"/>
        </w:rPr>
        <w:t>For purposes of the CLEIRs exemption, confidential sources</w:t>
      </w:r>
      <w:r>
        <w:rPr>
          <w:szCs w:val="26"/>
        </w:rPr>
        <w:t xml:space="preserve"> or witnesses</w:t>
      </w:r>
      <w:r w:rsidRPr="00590323">
        <w:rPr>
          <w:szCs w:val="26"/>
        </w:rPr>
        <w:t xml:space="preserve"> are those who have been “reasonably promised</w:t>
      </w:r>
      <w:r>
        <w:rPr>
          <w:szCs w:val="26"/>
        </w:rPr>
        <w:t>”</w:t>
      </w:r>
      <w:r w:rsidRPr="00590323">
        <w:rPr>
          <w:szCs w:val="26"/>
        </w:rPr>
        <w:t xml:space="preserve"> confidentiality.</w:t>
      </w:r>
      <w:r w:rsidRPr="001237F5">
        <w:rPr>
          <w:rStyle w:val="EndnoteReference"/>
        </w:rPr>
        <w:endnoteReference w:id="511"/>
      </w:r>
      <w:r w:rsidRPr="00590323">
        <w:rPr>
          <w:szCs w:val="26"/>
        </w:rPr>
        <w:t xml:space="preserve"> A promise of confidentiality is considered reasonable if it was made on the basis of the law enforcement investigator’s determination that the promise is necessary to obtain the information.</w:t>
      </w:r>
      <w:r w:rsidRPr="00590323">
        <w:rPr>
          <w:rStyle w:val="EndnoteReference"/>
        </w:rPr>
        <w:endnoteReference w:id="512"/>
      </w:r>
      <w:r w:rsidRPr="00590323">
        <w:rPr>
          <w:szCs w:val="26"/>
        </w:rPr>
        <w:t xml:space="preserve"> When possible, it is advisable – though not required – that the investigator document the specific reasons why promising confidentiality was necessary to further the investigation.</w:t>
      </w:r>
      <w:r w:rsidRPr="00590323">
        <w:rPr>
          <w:rStyle w:val="EndnoteReference"/>
        </w:rPr>
        <w:endnoteReference w:id="513"/>
      </w:r>
      <w:r w:rsidRPr="00590323">
        <w:rPr>
          <w:szCs w:val="26"/>
        </w:rPr>
        <w:t xml:space="preserve"> Promises of confidentiality contained in policy statements or given as a matter of course during routine administrative procedures are not “reasonable” promises of confidentiality for purposes of the CLEIRs exemption.</w:t>
      </w:r>
      <w:r w:rsidRPr="00590323">
        <w:rPr>
          <w:rStyle w:val="EndnoteReference"/>
        </w:rPr>
        <w:endnoteReference w:id="514"/>
      </w:r>
    </w:p>
    <w:p w14:paraId="0359CAB4" w14:textId="77777777" w:rsidR="00E2327A" w:rsidRPr="00590323" w:rsidRDefault="00E2327A" w:rsidP="00E2327A">
      <w:pPr>
        <w:spacing w:line="220" w:lineRule="exact"/>
        <w:ind w:left="1080"/>
        <w:jc w:val="both"/>
        <w:rPr>
          <w:szCs w:val="26"/>
        </w:rPr>
      </w:pPr>
    </w:p>
    <w:p w14:paraId="7F259C48" w14:textId="0CC059EA" w:rsidR="00E2327A" w:rsidRPr="00590323" w:rsidRDefault="00E2327A" w:rsidP="00DA5FE8">
      <w:pPr>
        <w:spacing w:line="220" w:lineRule="exact"/>
        <w:ind w:left="360"/>
        <w:jc w:val="both"/>
        <w:rPr>
          <w:szCs w:val="26"/>
        </w:rPr>
      </w:pPr>
      <w:r w:rsidRPr="00590323">
        <w:rPr>
          <w:szCs w:val="26"/>
        </w:rPr>
        <w:t xml:space="preserve">This exemption </w:t>
      </w:r>
      <w:r>
        <w:rPr>
          <w:szCs w:val="26"/>
        </w:rPr>
        <w:t>applies</w:t>
      </w:r>
      <w:r w:rsidRPr="00590323">
        <w:rPr>
          <w:szCs w:val="26"/>
        </w:rPr>
        <w:t xml:space="preserve"> to protect the identity of the information source, not the information he or she provides.</w:t>
      </w:r>
      <w:r w:rsidRPr="00590323">
        <w:rPr>
          <w:rStyle w:val="EndnoteReference"/>
        </w:rPr>
        <w:endnoteReference w:id="515"/>
      </w:r>
      <w:r w:rsidRPr="00590323">
        <w:rPr>
          <w:szCs w:val="26"/>
        </w:rPr>
        <w:t xml:space="preserve"> However, when the contents of a record are so inextricably intertwined with the confidential source’s identity that redacting will fail to protect the person’s identity in connection with </w:t>
      </w:r>
      <w:r w:rsidRPr="00590323">
        <w:rPr>
          <w:szCs w:val="26"/>
        </w:rPr>
        <w:lastRenderedPageBreak/>
        <w:t>the investigated conduct, the identifying material within a record, or even the entire record, may be withheld.</w:t>
      </w:r>
      <w:r w:rsidRPr="00590323">
        <w:rPr>
          <w:rStyle w:val="EndnoteReference"/>
        </w:rPr>
        <w:endnoteReference w:id="516"/>
      </w:r>
    </w:p>
    <w:p w14:paraId="7585CF27" w14:textId="4845A193" w:rsidR="00E2327A" w:rsidRPr="000220B5" w:rsidRDefault="00E2327A" w:rsidP="00C100EF">
      <w:pPr>
        <w:pStyle w:val="Heading4"/>
        <w:numPr>
          <w:ilvl w:val="0"/>
          <w:numId w:val="79"/>
        </w:numPr>
      </w:pPr>
      <w:r w:rsidRPr="00590323">
        <w:tab/>
      </w:r>
      <w:bookmarkStart w:id="453" w:name="_Toc159851529"/>
      <w:r w:rsidRPr="00590323">
        <w:t xml:space="preserve">Specific confidential investigatory techniques or </w:t>
      </w:r>
      <w:r w:rsidR="00C100EF">
        <w:tab/>
      </w:r>
      <w:r w:rsidRPr="00590323">
        <w:t>procedures</w:t>
      </w:r>
      <w:bookmarkEnd w:id="453"/>
    </w:p>
    <w:p w14:paraId="2968F591" w14:textId="77777777" w:rsidR="00E2327A" w:rsidRDefault="00E2327A" w:rsidP="007120C3">
      <w:pPr>
        <w:spacing w:line="220" w:lineRule="exact"/>
        <w:ind w:left="360"/>
        <w:jc w:val="both"/>
        <w:rPr>
          <w:szCs w:val="26"/>
        </w:rPr>
      </w:pPr>
      <w:r>
        <w:rPr>
          <w:szCs w:val="26"/>
        </w:rPr>
        <w:t>The exemption for s</w:t>
      </w:r>
      <w:r w:rsidRPr="00590323">
        <w:rPr>
          <w:szCs w:val="26"/>
        </w:rPr>
        <w:t>pecific confidential investigatory techniques or procedures</w:t>
      </w:r>
      <w:r>
        <w:rPr>
          <w:szCs w:val="26"/>
        </w:rPr>
        <w:t xml:space="preserve"> primarily applies to forensic laboratory testing and results. These include results from trace metal tests</w:t>
      </w:r>
      <w:r w:rsidRPr="00590323">
        <w:rPr>
          <w:rStyle w:val="EndnoteReference"/>
        </w:rPr>
        <w:endnoteReference w:id="517"/>
      </w:r>
      <w:r w:rsidRPr="00590323">
        <w:rPr>
          <w:szCs w:val="26"/>
        </w:rPr>
        <w:t xml:space="preserve"> </w:t>
      </w:r>
      <w:r>
        <w:rPr>
          <w:szCs w:val="26"/>
        </w:rPr>
        <w:t>and autopsy reports.</w:t>
      </w:r>
      <w:r w:rsidRPr="00590323">
        <w:rPr>
          <w:rStyle w:val="EndnoteReference"/>
        </w:rPr>
        <w:endnoteReference w:id="518"/>
      </w:r>
      <w:r w:rsidRPr="00590323">
        <w:rPr>
          <w:szCs w:val="26"/>
        </w:rPr>
        <w:t xml:space="preserve"> One purpose of the exemption is to avoid compromising the effectiveness of </w:t>
      </w:r>
      <w:r>
        <w:rPr>
          <w:szCs w:val="26"/>
        </w:rPr>
        <w:t xml:space="preserve">proprietary and </w:t>
      </w:r>
      <w:r w:rsidRPr="00590323">
        <w:rPr>
          <w:szCs w:val="26"/>
        </w:rPr>
        <w:t xml:space="preserve">confidential </w:t>
      </w:r>
      <w:r>
        <w:rPr>
          <w:szCs w:val="26"/>
        </w:rPr>
        <w:t>investigative methods</w:t>
      </w:r>
      <w:r w:rsidRPr="00590323">
        <w:rPr>
          <w:szCs w:val="26"/>
        </w:rPr>
        <w:t>.</w:t>
      </w:r>
      <w:r w:rsidRPr="00590323">
        <w:rPr>
          <w:rStyle w:val="EndnoteReference"/>
        </w:rPr>
        <w:endnoteReference w:id="519"/>
      </w:r>
    </w:p>
    <w:p w14:paraId="3AA192D1" w14:textId="77777777" w:rsidR="00E2327A" w:rsidRDefault="00E2327A" w:rsidP="007120C3">
      <w:pPr>
        <w:spacing w:line="220" w:lineRule="exact"/>
        <w:ind w:left="360"/>
        <w:jc w:val="both"/>
        <w:rPr>
          <w:szCs w:val="26"/>
        </w:rPr>
      </w:pPr>
    </w:p>
    <w:p w14:paraId="638A3F47" w14:textId="77777777" w:rsidR="00E2327A" w:rsidRDefault="00E2327A" w:rsidP="007120C3">
      <w:pPr>
        <w:spacing w:line="220" w:lineRule="exact"/>
        <w:ind w:left="360"/>
        <w:jc w:val="both"/>
        <w:rPr>
          <w:szCs w:val="26"/>
        </w:rPr>
      </w:pPr>
      <w:r>
        <w:rPr>
          <w:szCs w:val="26"/>
        </w:rPr>
        <w:t xml:space="preserve">As with other types of exemptions, the office asserting this exemption has the burden of showing that the information fits squarely within the exemption. This generally means that the office must </w:t>
      </w:r>
      <w:r w:rsidRPr="003E2247">
        <w:rPr>
          <w:szCs w:val="26"/>
        </w:rPr>
        <w:t>show why the techniques or procedures are unique or require protection.</w:t>
      </w:r>
      <w:r>
        <w:rPr>
          <w:szCs w:val="26"/>
        </w:rPr>
        <w:t xml:space="preserve"> </w:t>
      </w:r>
      <w:r w:rsidRPr="003E2247">
        <w:rPr>
          <w:szCs w:val="26"/>
        </w:rPr>
        <w:t xml:space="preserve">For example, the Supreme Court </w:t>
      </w:r>
      <w:r>
        <w:rPr>
          <w:szCs w:val="26"/>
        </w:rPr>
        <w:t xml:space="preserve">of Ohio held that </w:t>
      </w:r>
      <w:r w:rsidRPr="003E2247">
        <w:rPr>
          <w:szCs w:val="26"/>
        </w:rPr>
        <w:t xml:space="preserve">this exemption </w:t>
      </w:r>
      <w:r>
        <w:rPr>
          <w:szCs w:val="26"/>
        </w:rPr>
        <w:t xml:space="preserve">did not apply </w:t>
      </w:r>
      <w:r w:rsidRPr="003E2247">
        <w:rPr>
          <w:szCs w:val="26"/>
        </w:rPr>
        <w:t>to witness interviews in an assault prosecution.</w:t>
      </w:r>
      <w:r>
        <w:rPr>
          <w:rStyle w:val="EndnoteReference"/>
          <w:szCs w:val="26"/>
        </w:rPr>
        <w:endnoteReference w:id="520"/>
      </w:r>
      <w:r w:rsidRPr="003E2247">
        <w:rPr>
          <w:szCs w:val="26"/>
        </w:rPr>
        <w:t xml:space="preserve"> The prosecutors a</w:t>
      </w:r>
      <w:r>
        <w:rPr>
          <w:szCs w:val="26"/>
        </w:rPr>
        <w:t xml:space="preserve">sserted </w:t>
      </w:r>
      <w:r w:rsidRPr="003E2247">
        <w:rPr>
          <w:szCs w:val="26"/>
        </w:rPr>
        <w:t xml:space="preserve">that interviewing assault victims is a “sensitive issue” that “requires special techniques” </w:t>
      </w:r>
      <w:r>
        <w:rPr>
          <w:szCs w:val="26"/>
        </w:rPr>
        <w:t>to</w:t>
      </w:r>
      <w:r w:rsidRPr="003E2247">
        <w:rPr>
          <w:szCs w:val="26"/>
        </w:rPr>
        <w:t xml:space="preserve"> understand the victim’s mindset. However, the prosecutors </w:t>
      </w:r>
      <w:r>
        <w:rPr>
          <w:szCs w:val="26"/>
        </w:rPr>
        <w:t xml:space="preserve">failed to </w:t>
      </w:r>
      <w:r w:rsidRPr="003E2247">
        <w:rPr>
          <w:szCs w:val="26"/>
        </w:rPr>
        <w:t>articulate the specific technique at issue or explain why such a technique must remain confidential.</w:t>
      </w:r>
    </w:p>
    <w:p w14:paraId="49AA8173" w14:textId="77777777" w:rsidR="00E2327A" w:rsidRDefault="00E2327A" w:rsidP="007120C3">
      <w:pPr>
        <w:spacing w:line="220" w:lineRule="exact"/>
        <w:ind w:left="360"/>
        <w:jc w:val="both"/>
        <w:rPr>
          <w:szCs w:val="26"/>
        </w:rPr>
      </w:pPr>
    </w:p>
    <w:p w14:paraId="2D34FFE1" w14:textId="551D3765" w:rsidR="00E2327A" w:rsidRPr="003E2247" w:rsidRDefault="00E2327A" w:rsidP="007120C3">
      <w:pPr>
        <w:spacing w:line="220" w:lineRule="exact"/>
        <w:ind w:left="360"/>
        <w:jc w:val="both"/>
        <w:rPr>
          <w:szCs w:val="26"/>
        </w:rPr>
      </w:pPr>
      <w:r>
        <w:rPr>
          <w:szCs w:val="26"/>
        </w:rPr>
        <w:t xml:space="preserve">Similarly, the Supreme Court of Ohio held that the exemption did not apply to </w:t>
      </w:r>
      <w:r w:rsidRPr="003E2247">
        <w:rPr>
          <w:szCs w:val="26"/>
        </w:rPr>
        <w:t xml:space="preserve">a map that </w:t>
      </w:r>
      <w:r>
        <w:rPr>
          <w:szCs w:val="26"/>
        </w:rPr>
        <w:t>officers</w:t>
      </w:r>
      <w:r w:rsidRPr="003E2247">
        <w:rPr>
          <w:szCs w:val="26"/>
        </w:rPr>
        <w:t xml:space="preserve"> made that showed the territories of gangs and where certain gangs operated in the area.</w:t>
      </w:r>
      <w:r>
        <w:rPr>
          <w:rStyle w:val="EndnoteReference"/>
          <w:szCs w:val="26"/>
        </w:rPr>
        <w:endnoteReference w:id="521"/>
      </w:r>
      <w:r w:rsidRPr="003E2247">
        <w:rPr>
          <w:szCs w:val="26"/>
        </w:rPr>
        <w:t xml:space="preserve"> The </w:t>
      </w:r>
      <w:r>
        <w:rPr>
          <w:szCs w:val="26"/>
        </w:rPr>
        <w:t>C</w:t>
      </w:r>
      <w:r w:rsidRPr="003E2247">
        <w:rPr>
          <w:szCs w:val="26"/>
        </w:rPr>
        <w:t xml:space="preserve">ourt </w:t>
      </w:r>
      <w:r w:rsidR="00D232C6">
        <w:rPr>
          <w:szCs w:val="26"/>
        </w:rPr>
        <w:t>said</w:t>
      </w:r>
      <w:r>
        <w:rPr>
          <w:szCs w:val="26"/>
        </w:rPr>
        <w:t xml:space="preserve"> that the deciding issue is whether </w:t>
      </w:r>
      <w:r w:rsidRPr="003E2247">
        <w:rPr>
          <w:szCs w:val="26"/>
        </w:rPr>
        <w:t>the map itself reveal</w:t>
      </w:r>
      <w:r>
        <w:rPr>
          <w:szCs w:val="26"/>
        </w:rPr>
        <w:t>ed</w:t>
      </w:r>
      <w:r w:rsidRPr="003E2247">
        <w:rPr>
          <w:szCs w:val="26"/>
        </w:rPr>
        <w:t xml:space="preserve"> confidential investigatory technique</w:t>
      </w:r>
      <w:r>
        <w:rPr>
          <w:szCs w:val="26"/>
        </w:rPr>
        <w:t>s</w:t>
      </w:r>
      <w:r w:rsidRPr="003E2247">
        <w:rPr>
          <w:szCs w:val="26"/>
        </w:rPr>
        <w:t xml:space="preserve"> or procedure</w:t>
      </w:r>
      <w:r>
        <w:rPr>
          <w:szCs w:val="26"/>
        </w:rPr>
        <w:t>s</w:t>
      </w:r>
      <w:r w:rsidRPr="003E2247">
        <w:rPr>
          <w:szCs w:val="26"/>
        </w:rPr>
        <w:t>, not necessarily the</w:t>
      </w:r>
      <w:r>
        <w:rPr>
          <w:szCs w:val="26"/>
        </w:rPr>
        <w:t xml:space="preserve"> officers’</w:t>
      </w:r>
      <w:r w:rsidRPr="003E2247">
        <w:rPr>
          <w:szCs w:val="26"/>
        </w:rPr>
        <w:t xml:space="preserve"> thought process that went into making the map.</w:t>
      </w:r>
    </w:p>
    <w:p w14:paraId="6549322D" w14:textId="77777777" w:rsidR="00E2327A" w:rsidRPr="00590323" w:rsidRDefault="00E2327A" w:rsidP="00E2327A">
      <w:pPr>
        <w:spacing w:line="220" w:lineRule="exact"/>
        <w:jc w:val="both"/>
        <w:rPr>
          <w:szCs w:val="26"/>
        </w:rPr>
      </w:pPr>
    </w:p>
    <w:p w14:paraId="4416E793" w14:textId="64E8DD2E" w:rsidR="00E2327A" w:rsidRPr="00590323" w:rsidRDefault="00E2327A" w:rsidP="00C100EF">
      <w:pPr>
        <w:pStyle w:val="Heading4"/>
        <w:numPr>
          <w:ilvl w:val="0"/>
          <w:numId w:val="79"/>
        </w:numPr>
      </w:pPr>
      <w:r w:rsidRPr="00590323">
        <w:tab/>
      </w:r>
      <w:bookmarkStart w:id="455" w:name="_Toc159851530"/>
      <w:r w:rsidRPr="00590323">
        <w:t>Investigat</w:t>
      </w:r>
      <w:r>
        <w:t>ory</w:t>
      </w:r>
      <w:r w:rsidRPr="00590323">
        <w:t xml:space="preserve"> work product</w:t>
      </w:r>
      <w:bookmarkEnd w:id="455"/>
    </w:p>
    <w:p w14:paraId="3DBEDC94" w14:textId="77777777" w:rsidR="00E2327A" w:rsidRDefault="00E2327A" w:rsidP="00E2327A">
      <w:pPr>
        <w:spacing w:line="220" w:lineRule="exact"/>
        <w:jc w:val="both"/>
        <w:rPr>
          <w:szCs w:val="26"/>
        </w:rPr>
      </w:pPr>
    </w:p>
    <w:p w14:paraId="5E20DC00" w14:textId="77777777" w:rsidR="00E2327A" w:rsidRPr="002A783A" w:rsidRDefault="00E2327A" w:rsidP="007120C3">
      <w:pPr>
        <w:spacing w:line="220" w:lineRule="exact"/>
        <w:ind w:left="360"/>
        <w:jc w:val="both"/>
      </w:pPr>
      <w:r w:rsidRPr="00590323">
        <w:rPr>
          <w:szCs w:val="26"/>
        </w:rPr>
        <w:t>“Investigat</w:t>
      </w:r>
      <w:r>
        <w:rPr>
          <w:szCs w:val="26"/>
        </w:rPr>
        <w:t>ory</w:t>
      </w:r>
      <w:r w:rsidRPr="00590323">
        <w:rPr>
          <w:szCs w:val="26"/>
        </w:rPr>
        <w:t xml:space="preserve"> work product” is defined as information, including notes, working papers, memoranda, or similar materials, assembled in connection with a probable or pending criminal proceeding.</w:t>
      </w:r>
      <w:r w:rsidRPr="00590323">
        <w:rPr>
          <w:rStyle w:val="EndnoteReference"/>
        </w:rPr>
        <w:endnoteReference w:id="522"/>
      </w:r>
      <w:r w:rsidRPr="00590323">
        <w:rPr>
          <w:szCs w:val="26"/>
        </w:rPr>
        <w:t xml:space="preserve"> </w:t>
      </w:r>
      <w:r w:rsidRPr="003E2247">
        <w:rPr>
          <w:szCs w:val="26"/>
        </w:rPr>
        <w:t xml:space="preserve">A criminal proceeding is probable or highly probable </w:t>
      </w:r>
      <w:r>
        <w:rPr>
          <w:szCs w:val="26"/>
        </w:rPr>
        <w:t>if</w:t>
      </w:r>
      <w:r w:rsidRPr="003E2247">
        <w:rPr>
          <w:szCs w:val="26"/>
        </w:rPr>
        <w:t xml:space="preserve"> it’s clear that a crime was committed.</w:t>
      </w:r>
      <w:r>
        <w:rPr>
          <w:rStyle w:val="EndnoteReference"/>
          <w:szCs w:val="26"/>
        </w:rPr>
        <w:endnoteReference w:id="523"/>
      </w:r>
      <w:r>
        <w:rPr>
          <w:szCs w:val="26"/>
        </w:rPr>
        <w:t xml:space="preserve"> In one case the Supreme Court of Ohio held that only 90 seconds from over two hours of dashboard camera recordings was covered as investigatory work product.</w:t>
      </w:r>
      <w:r>
        <w:rPr>
          <w:rStyle w:val="EndnoteReference"/>
          <w:szCs w:val="26"/>
        </w:rPr>
        <w:endnoteReference w:id="524"/>
      </w:r>
      <w:r w:rsidRPr="002A783A">
        <w:t xml:space="preserve"> </w:t>
      </w:r>
      <w:r w:rsidRPr="002A783A">
        <w:rPr>
          <w:szCs w:val="26"/>
        </w:rPr>
        <w:t xml:space="preserve">The </w:t>
      </w:r>
      <w:r>
        <w:rPr>
          <w:szCs w:val="26"/>
        </w:rPr>
        <w:t>C</w:t>
      </w:r>
      <w:r w:rsidRPr="002A783A">
        <w:rPr>
          <w:szCs w:val="26"/>
        </w:rPr>
        <w:t xml:space="preserve">ourt </w:t>
      </w:r>
      <w:r>
        <w:rPr>
          <w:szCs w:val="26"/>
        </w:rPr>
        <w:t>explained</w:t>
      </w:r>
      <w:r w:rsidRPr="002A783A">
        <w:rPr>
          <w:szCs w:val="26"/>
        </w:rPr>
        <w:t xml:space="preserve"> that the department policy required troopers to record all pursuits and traffic stops, regardless </w:t>
      </w:r>
      <w:r>
        <w:rPr>
          <w:szCs w:val="26"/>
        </w:rPr>
        <w:t>if</w:t>
      </w:r>
      <w:r w:rsidRPr="002A783A">
        <w:rPr>
          <w:szCs w:val="26"/>
        </w:rPr>
        <w:t xml:space="preserve"> a criminal prosecution may follow. </w:t>
      </w:r>
      <w:r>
        <w:rPr>
          <w:szCs w:val="26"/>
        </w:rPr>
        <w:t>Thus</w:t>
      </w:r>
      <w:r w:rsidRPr="002A783A">
        <w:rPr>
          <w:szCs w:val="26"/>
        </w:rPr>
        <w:t xml:space="preserve">, most of the </w:t>
      </w:r>
      <w:r>
        <w:rPr>
          <w:szCs w:val="26"/>
        </w:rPr>
        <w:t>recording</w:t>
      </w:r>
      <w:r w:rsidRPr="002A783A">
        <w:rPr>
          <w:szCs w:val="26"/>
        </w:rPr>
        <w:t xml:space="preserve"> w</w:t>
      </w:r>
      <w:r>
        <w:rPr>
          <w:szCs w:val="26"/>
        </w:rPr>
        <w:t>as</w:t>
      </w:r>
      <w:r w:rsidRPr="002A783A">
        <w:rPr>
          <w:szCs w:val="26"/>
        </w:rPr>
        <w:t xml:space="preserve"> routine, not assembled in connection with an actual or highly probably criminal case.</w:t>
      </w:r>
      <w:r w:rsidRPr="0090143D">
        <w:t xml:space="preserve"> </w:t>
      </w:r>
      <w:r w:rsidRPr="002A783A">
        <w:t xml:space="preserve">However, </w:t>
      </w:r>
      <w:r>
        <w:t xml:space="preserve">the </w:t>
      </w:r>
      <w:r w:rsidRPr="002A783A">
        <w:t>90 seconds</w:t>
      </w:r>
      <w:r>
        <w:t xml:space="preserve"> showing</w:t>
      </w:r>
      <w:r w:rsidRPr="002A783A">
        <w:t xml:space="preserve"> a patrol officer t</w:t>
      </w:r>
      <w:r>
        <w:t>a</w:t>
      </w:r>
      <w:r w:rsidRPr="002A783A">
        <w:t>k</w:t>
      </w:r>
      <w:r>
        <w:t>ing</w:t>
      </w:r>
      <w:r w:rsidRPr="002A783A">
        <w:t xml:space="preserve"> the suspect to the patrol car, read</w:t>
      </w:r>
      <w:r>
        <w:t>ing</w:t>
      </w:r>
      <w:r w:rsidRPr="002A783A">
        <w:t xml:space="preserve"> his Miranda rights, and question</w:t>
      </w:r>
      <w:r>
        <w:t>ing</w:t>
      </w:r>
      <w:r w:rsidRPr="002A783A">
        <w:t xml:space="preserve"> him</w:t>
      </w:r>
      <w:r>
        <w:t>,</w:t>
      </w:r>
      <w:r w:rsidRPr="002A783A">
        <w:t xml:space="preserve"> constituted investigatory work product</w:t>
      </w:r>
      <w:r>
        <w:t>. B</w:t>
      </w:r>
      <w:r w:rsidRPr="002A783A">
        <w:t xml:space="preserve">y informing the suspect of his Miranda rights, the officer intended to secure admissible statements for </w:t>
      </w:r>
      <w:r>
        <w:t>use in a criminal prosecution</w:t>
      </w:r>
      <w:r w:rsidRPr="002A783A">
        <w:t xml:space="preserve">.  </w:t>
      </w:r>
    </w:p>
    <w:p w14:paraId="2DA4DBB8" w14:textId="77777777" w:rsidR="00E2327A" w:rsidRDefault="00E2327A" w:rsidP="007120C3">
      <w:pPr>
        <w:spacing w:line="220" w:lineRule="exact"/>
        <w:ind w:left="360"/>
        <w:jc w:val="both"/>
        <w:rPr>
          <w:szCs w:val="26"/>
        </w:rPr>
      </w:pPr>
    </w:p>
    <w:p w14:paraId="288DF504" w14:textId="77777777" w:rsidR="00E2327A" w:rsidRDefault="00E2327A" w:rsidP="007120C3">
      <w:pPr>
        <w:spacing w:line="220" w:lineRule="exact"/>
        <w:ind w:left="360"/>
        <w:jc w:val="both"/>
        <w:rPr>
          <w:szCs w:val="26"/>
        </w:rPr>
      </w:pPr>
      <w:r w:rsidRPr="00590323">
        <w:rPr>
          <w:szCs w:val="26"/>
        </w:rPr>
        <w:t>Copies of otherwise public records gathered by a law enforcement investigator from a separate public office may be exempted in the investigator’s file as specific investigat</w:t>
      </w:r>
      <w:r>
        <w:rPr>
          <w:szCs w:val="26"/>
        </w:rPr>
        <w:t>ory</w:t>
      </w:r>
      <w:r w:rsidRPr="00590323">
        <w:rPr>
          <w:szCs w:val="26"/>
        </w:rPr>
        <w:t xml:space="preserve"> work product, although public records gathered from the investigator’s own public office or governmental subdivision generally do not lose the public records “cloak.”</w:t>
      </w:r>
      <w:r w:rsidRPr="00590323">
        <w:rPr>
          <w:rStyle w:val="EndnoteReference"/>
          <w:szCs w:val="26"/>
        </w:rPr>
        <w:endnoteReference w:id="525"/>
      </w:r>
      <w:r w:rsidRPr="00590323">
        <w:rPr>
          <w:szCs w:val="26"/>
        </w:rPr>
        <w:t xml:space="preserve"> These materials may be protected even when they appear in a law enforcement office’s file other than the investigative file.</w:t>
      </w:r>
      <w:r w:rsidRPr="00590323">
        <w:rPr>
          <w:rStyle w:val="EndnoteReference"/>
        </w:rPr>
        <w:endnoteReference w:id="526"/>
      </w:r>
      <w:r w:rsidRPr="00590323">
        <w:rPr>
          <w:szCs w:val="26"/>
        </w:rPr>
        <w:t xml:space="preserve">  </w:t>
      </w:r>
    </w:p>
    <w:p w14:paraId="68FD65C1" w14:textId="77777777" w:rsidR="00E2327A" w:rsidRDefault="00E2327A" w:rsidP="007120C3">
      <w:pPr>
        <w:spacing w:line="220" w:lineRule="exact"/>
        <w:ind w:left="360"/>
        <w:jc w:val="both"/>
        <w:rPr>
          <w:szCs w:val="26"/>
        </w:rPr>
      </w:pPr>
    </w:p>
    <w:p w14:paraId="5C358C01" w14:textId="77777777" w:rsidR="00E2327A" w:rsidRDefault="00E2327A" w:rsidP="007120C3">
      <w:pPr>
        <w:spacing w:line="220" w:lineRule="exact"/>
        <w:ind w:left="360"/>
        <w:jc w:val="both"/>
        <w:rPr>
          <w:szCs w:val="26"/>
        </w:rPr>
      </w:pPr>
      <w:r>
        <w:rPr>
          <w:szCs w:val="26"/>
        </w:rPr>
        <w:t>While information in a prosecutor’s file may contain records or information that are considered i</w:t>
      </w:r>
      <w:r w:rsidRPr="00590323">
        <w:rPr>
          <w:szCs w:val="26"/>
        </w:rPr>
        <w:t>nvestigatory work product</w:t>
      </w:r>
      <w:r>
        <w:rPr>
          <w:szCs w:val="26"/>
        </w:rPr>
        <w:t>, the exemption</w:t>
      </w:r>
      <w:r w:rsidRPr="00590323">
        <w:rPr>
          <w:szCs w:val="26"/>
        </w:rPr>
        <w:t xml:space="preserve"> does not extend to cover attorney work product. Rather, attorney work product is only protected to the extent it constitutes trial preparation records as defined in R.C. 149.43(A)(4).</w:t>
      </w:r>
      <w:r w:rsidRPr="00590323">
        <w:rPr>
          <w:rStyle w:val="EndnoteReference"/>
          <w:szCs w:val="26"/>
        </w:rPr>
        <w:endnoteReference w:id="527"/>
      </w:r>
      <w:r w:rsidRPr="00744526">
        <w:rPr>
          <w:szCs w:val="26"/>
        </w:rPr>
        <w:t xml:space="preserve"> </w:t>
      </w:r>
      <w:r>
        <w:rPr>
          <w:szCs w:val="26"/>
        </w:rPr>
        <w:t>Also, t</w:t>
      </w:r>
      <w:r w:rsidRPr="00590323">
        <w:rPr>
          <w:szCs w:val="26"/>
        </w:rPr>
        <w:t xml:space="preserve">he </w:t>
      </w:r>
      <w:r>
        <w:rPr>
          <w:szCs w:val="26"/>
        </w:rPr>
        <w:t xml:space="preserve">investigatory </w:t>
      </w:r>
      <w:r w:rsidRPr="00590323">
        <w:rPr>
          <w:szCs w:val="26"/>
        </w:rPr>
        <w:t>work product exemption is not waived when a criminal defendant is provided discovery materials as required by law.</w:t>
      </w:r>
      <w:r w:rsidRPr="00590323">
        <w:rPr>
          <w:rStyle w:val="EndnoteReference"/>
        </w:rPr>
        <w:endnoteReference w:id="528"/>
      </w:r>
      <w:r>
        <w:rPr>
          <w:szCs w:val="26"/>
        </w:rPr>
        <w:t xml:space="preserve"> However, simply because a document or record is kept in a prosecutor’s file does not mean the document or record is covered by the exemption. For example, courts have held that the following are not covered by the investigatory work product exemption even though they were kept in the prosecutors’ files: </w:t>
      </w:r>
      <w:r w:rsidRPr="00744526">
        <w:rPr>
          <w:szCs w:val="26"/>
        </w:rPr>
        <w:t>copies of newspaper articles and statutes</w:t>
      </w:r>
      <w:r>
        <w:rPr>
          <w:szCs w:val="26"/>
        </w:rPr>
        <w:t>;</w:t>
      </w:r>
      <w:r>
        <w:rPr>
          <w:rStyle w:val="EndnoteReference"/>
          <w:szCs w:val="26"/>
        </w:rPr>
        <w:endnoteReference w:id="529"/>
      </w:r>
      <w:r>
        <w:rPr>
          <w:szCs w:val="26"/>
        </w:rPr>
        <w:t xml:space="preserve"> copies of an </w:t>
      </w:r>
      <w:r w:rsidRPr="00744526">
        <w:rPr>
          <w:szCs w:val="26"/>
        </w:rPr>
        <w:t>indictment, transcript</w:t>
      </w:r>
      <w:r>
        <w:rPr>
          <w:szCs w:val="26"/>
        </w:rPr>
        <w:t>s</w:t>
      </w:r>
      <w:r w:rsidRPr="00744526">
        <w:rPr>
          <w:szCs w:val="26"/>
        </w:rPr>
        <w:t xml:space="preserve"> of </w:t>
      </w:r>
      <w:r>
        <w:rPr>
          <w:szCs w:val="26"/>
        </w:rPr>
        <w:t xml:space="preserve">a </w:t>
      </w:r>
      <w:r w:rsidRPr="00744526">
        <w:rPr>
          <w:szCs w:val="26"/>
        </w:rPr>
        <w:t>plea hearing, and a campaign committee finance report filed with the board of elections</w:t>
      </w:r>
      <w:r w:rsidRPr="00590323">
        <w:rPr>
          <w:szCs w:val="26"/>
        </w:rPr>
        <w:t>.</w:t>
      </w:r>
      <w:r w:rsidRPr="00590323">
        <w:rPr>
          <w:rStyle w:val="EndnoteReference"/>
        </w:rPr>
        <w:endnoteReference w:id="530"/>
      </w:r>
    </w:p>
    <w:p w14:paraId="0D48FBFA" w14:textId="77777777" w:rsidR="00E2327A" w:rsidRDefault="00E2327A" w:rsidP="00E2327A">
      <w:pPr>
        <w:spacing w:line="220" w:lineRule="exact"/>
        <w:jc w:val="both"/>
        <w:rPr>
          <w:szCs w:val="26"/>
        </w:rPr>
      </w:pPr>
    </w:p>
    <w:p w14:paraId="43F751BA" w14:textId="77777777" w:rsidR="00E2327A" w:rsidRDefault="00E2327A" w:rsidP="007120C3">
      <w:pPr>
        <w:spacing w:line="220" w:lineRule="exact"/>
        <w:ind w:left="360"/>
        <w:jc w:val="both"/>
        <w:rPr>
          <w:szCs w:val="26"/>
        </w:rPr>
      </w:pPr>
      <w:r>
        <w:rPr>
          <w:szCs w:val="26"/>
        </w:rPr>
        <w:lastRenderedPageBreak/>
        <w:t>Law enforcement offices must pay careful attention to the information in routine offense and incident reports, and narratives that may be attached to the reports. Generally, routine offense and incident reports are not considered part of an investigation and thus not covered under CLEIRs. These are typically “</w:t>
      </w:r>
      <w:r w:rsidRPr="00590323">
        <w:rPr>
          <w:szCs w:val="26"/>
        </w:rPr>
        <w:t>form reports in which the law enforcement officer completing the form enters information in the spaces provided.”</w:t>
      </w:r>
      <w:r w:rsidRPr="00590323">
        <w:rPr>
          <w:rStyle w:val="EndnoteReference"/>
        </w:rPr>
        <w:endnoteReference w:id="531"/>
      </w:r>
      <w:r w:rsidRPr="00590323">
        <w:rPr>
          <w:szCs w:val="26"/>
        </w:rPr>
        <w:t xml:space="preserve"> </w:t>
      </w:r>
      <w:r>
        <w:rPr>
          <w:szCs w:val="26"/>
        </w:rPr>
        <w:t xml:space="preserve">When an officer is completing an offense or incident report he or she is gathering information that may </w:t>
      </w:r>
      <w:r w:rsidRPr="0076005F">
        <w:rPr>
          <w:i/>
          <w:iCs/>
          <w:szCs w:val="26"/>
        </w:rPr>
        <w:t>initiate</w:t>
      </w:r>
      <w:r>
        <w:rPr>
          <w:szCs w:val="26"/>
        </w:rPr>
        <w:t xml:space="preserve"> an investigation, but the investigation itself has not started.</w:t>
      </w:r>
      <w:r>
        <w:rPr>
          <w:rStyle w:val="EndnoteReference"/>
          <w:szCs w:val="26"/>
        </w:rPr>
        <w:endnoteReference w:id="532"/>
      </w:r>
      <w:r>
        <w:rPr>
          <w:szCs w:val="26"/>
        </w:rPr>
        <w:t xml:space="preserve"> The Supreme Court of Ohio characterized this information as </w:t>
      </w:r>
      <w:r w:rsidRPr="00215601">
        <w:rPr>
          <w:szCs w:val="26"/>
        </w:rPr>
        <w:t>“incident information</w:t>
      </w:r>
      <w:r>
        <w:rPr>
          <w:szCs w:val="26"/>
        </w:rPr>
        <w:t>,</w:t>
      </w:r>
      <w:r w:rsidRPr="00215601">
        <w:rPr>
          <w:szCs w:val="26"/>
        </w:rPr>
        <w:t xml:space="preserve">” </w:t>
      </w:r>
      <w:r>
        <w:rPr>
          <w:szCs w:val="26"/>
        </w:rPr>
        <w:t xml:space="preserve">which may include information such as </w:t>
      </w:r>
      <w:r w:rsidRPr="00215601">
        <w:rPr>
          <w:szCs w:val="26"/>
        </w:rPr>
        <w:t xml:space="preserve">an officer’s initial observations </w:t>
      </w:r>
      <w:r>
        <w:rPr>
          <w:szCs w:val="26"/>
        </w:rPr>
        <w:t>or</w:t>
      </w:r>
      <w:r w:rsidRPr="00215601">
        <w:rPr>
          <w:szCs w:val="26"/>
        </w:rPr>
        <w:t xml:space="preserve"> witness interviews.</w:t>
      </w:r>
      <w:r>
        <w:rPr>
          <w:rStyle w:val="EndnoteReference"/>
          <w:szCs w:val="26"/>
        </w:rPr>
        <w:endnoteReference w:id="533"/>
      </w:r>
      <w:r w:rsidRPr="00215601">
        <w:rPr>
          <w:szCs w:val="26"/>
        </w:rPr>
        <w:t xml:space="preserve"> </w:t>
      </w:r>
    </w:p>
    <w:p w14:paraId="02073759" w14:textId="77777777" w:rsidR="00E2327A" w:rsidRDefault="00E2327A" w:rsidP="007120C3">
      <w:pPr>
        <w:spacing w:line="220" w:lineRule="exact"/>
        <w:ind w:left="360"/>
        <w:jc w:val="both"/>
        <w:rPr>
          <w:szCs w:val="26"/>
        </w:rPr>
      </w:pPr>
    </w:p>
    <w:p w14:paraId="69E2FE96" w14:textId="77777777" w:rsidR="00E2327A" w:rsidRDefault="00E2327A" w:rsidP="007120C3">
      <w:pPr>
        <w:spacing w:line="220" w:lineRule="exact"/>
        <w:ind w:left="360"/>
        <w:jc w:val="both"/>
        <w:rPr>
          <w:szCs w:val="26"/>
        </w:rPr>
      </w:pPr>
      <w:r>
        <w:rPr>
          <w:szCs w:val="26"/>
        </w:rPr>
        <w:t xml:space="preserve">In determining what information qualifies as “incident information,” law enforcement offices must look at the content of the information, not the title of the report in which the information appears. </w:t>
      </w:r>
      <w:r w:rsidRPr="00215601">
        <w:rPr>
          <w:szCs w:val="26"/>
        </w:rPr>
        <w:t xml:space="preserve">“Incident information” </w:t>
      </w:r>
      <w:r>
        <w:rPr>
          <w:szCs w:val="26"/>
        </w:rPr>
        <w:t xml:space="preserve">is not exempt under CLEIRs no matter where it appears in an officer’s report. Thus, even if </w:t>
      </w:r>
      <w:r w:rsidRPr="00215601">
        <w:rPr>
          <w:szCs w:val="26"/>
        </w:rPr>
        <w:t>“</w:t>
      </w:r>
      <w:r>
        <w:rPr>
          <w:szCs w:val="26"/>
        </w:rPr>
        <w:t>i</w:t>
      </w:r>
      <w:r w:rsidRPr="00215601">
        <w:rPr>
          <w:szCs w:val="26"/>
        </w:rPr>
        <w:t>ncident information”</w:t>
      </w:r>
      <w:r>
        <w:rPr>
          <w:szCs w:val="26"/>
        </w:rPr>
        <w:t xml:space="preserve"> is included </w:t>
      </w:r>
      <w:r w:rsidRPr="00215601">
        <w:rPr>
          <w:szCs w:val="26"/>
        </w:rPr>
        <w:t xml:space="preserve">in a supplemental narrative, </w:t>
      </w:r>
      <w:r>
        <w:rPr>
          <w:szCs w:val="26"/>
        </w:rPr>
        <w:t xml:space="preserve">it </w:t>
      </w:r>
      <w:r w:rsidRPr="00215601">
        <w:rPr>
          <w:szCs w:val="26"/>
        </w:rPr>
        <w:t>is not exempt under CLEIRs and must be produced.</w:t>
      </w:r>
      <w:r>
        <w:rPr>
          <w:rStyle w:val="EndnoteReference"/>
          <w:szCs w:val="26"/>
        </w:rPr>
        <w:endnoteReference w:id="534"/>
      </w:r>
      <w:r>
        <w:rPr>
          <w:szCs w:val="26"/>
        </w:rPr>
        <w:t xml:space="preserve"> However, i</w:t>
      </w:r>
      <w:r w:rsidRPr="00215601">
        <w:rPr>
          <w:szCs w:val="26"/>
        </w:rPr>
        <w:t xml:space="preserve">nformation that’s collected after </w:t>
      </w:r>
      <w:r>
        <w:rPr>
          <w:szCs w:val="26"/>
        </w:rPr>
        <w:t>an</w:t>
      </w:r>
      <w:r w:rsidRPr="00215601">
        <w:rPr>
          <w:szCs w:val="26"/>
        </w:rPr>
        <w:t xml:space="preserve"> investigation is underway may be withheld under CLEIRs as investigatory work product.</w:t>
      </w:r>
      <w:r>
        <w:rPr>
          <w:szCs w:val="26"/>
        </w:rPr>
        <w:t xml:space="preserve"> </w:t>
      </w:r>
    </w:p>
    <w:p w14:paraId="444DB59C" w14:textId="77777777" w:rsidR="00E2327A" w:rsidRDefault="00E2327A" w:rsidP="007120C3">
      <w:pPr>
        <w:spacing w:line="220" w:lineRule="exact"/>
        <w:ind w:left="360"/>
        <w:jc w:val="both"/>
        <w:rPr>
          <w:szCs w:val="26"/>
        </w:rPr>
      </w:pPr>
    </w:p>
    <w:p w14:paraId="743CE87A" w14:textId="77777777" w:rsidR="00E2327A" w:rsidRPr="00215601" w:rsidRDefault="00E2327A" w:rsidP="007120C3">
      <w:pPr>
        <w:spacing w:line="220" w:lineRule="exact"/>
        <w:ind w:left="360"/>
        <w:jc w:val="both"/>
        <w:rPr>
          <w:szCs w:val="26"/>
        </w:rPr>
      </w:pPr>
      <w:r>
        <w:rPr>
          <w:szCs w:val="26"/>
        </w:rPr>
        <w:t xml:space="preserve">This analysis will turn on the facts and circumstances of each case. Offices should carefully assess </w:t>
      </w:r>
      <w:r w:rsidRPr="00215601">
        <w:rPr>
          <w:szCs w:val="26"/>
        </w:rPr>
        <w:t xml:space="preserve">the type of information in each part of </w:t>
      </w:r>
      <w:r>
        <w:rPr>
          <w:szCs w:val="26"/>
        </w:rPr>
        <w:t>a</w:t>
      </w:r>
      <w:r w:rsidRPr="00215601">
        <w:rPr>
          <w:szCs w:val="26"/>
        </w:rPr>
        <w:t xml:space="preserve"> report and when it was created</w:t>
      </w:r>
      <w:r>
        <w:rPr>
          <w:szCs w:val="26"/>
        </w:rPr>
        <w:t xml:space="preserve"> to determine what information may be exempt as investigatory work product</w:t>
      </w:r>
      <w:r w:rsidRPr="00215601">
        <w:rPr>
          <w:szCs w:val="26"/>
        </w:rPr>
        <w:t xml:space="preserve">.  </w:t>
      </w:r>
    </w:p>
    <w:p w14:paraId="5FAF831C" w14:textId="77777777" w:rsidR="00E2327A" w:rsidRDefault="00E2327A" w:rsidP="007120C3">
      <w:pPr>
        <w:spacing w:line="220" w:lineRule="exact"/>
        <w:ind w:left="360"/>
        <w:jc w:val="both"/>
        <w:rPr>
          <w:szCs w:val="26"/>
        </w:rPr>
      </w:pPr>
    </w:p>
    <w:p w14:paraId="6B1DE9A7" w14:textId="5CE2EE9D" w:rsidR="00E2327A" w:rsidRDefault="00E2327A" w:rsidP="007120C3">
      <w:pPr>
        <w:spacing w:line="220" w:lineRule="exact"/>
        <w:ind w:left="360"/>
        <w:jc w:val="both"/>
        <w:rPr>
          <w:szCs w:val="26"/>
        </w:rPr>
      </w:pPr>
      <w:r>
        <w:rPr>
          <w:szCs w:val="26"/>
        </w:rPr>
        <w:t xml:space="preserve">Importantly, the investigatory work product exemption is </w:t>
      </w:r>
      <w:r w:rsidRPr="0076005F">
        <w:rPr>
          <w:i/>
          <w:iCs/>
          <w:szCs w:val="26"/>
        </w:rPr>
        <w:t>time limited</w:t>
      </w:r>
      <w:r>
        <w:rPr>
          <w:szCs w:val="26"/>
        </w:rPr>
        <w:t xml:space="preserve">. </w:t>
      </w:r>
      <w:r w:rsidRPr="00590323">
        <w:rPr>
          <w:szCs w:val="26"/>
        </w:rPr>
        <w:t xml:space="preserve">When a law enforcement matter ends, the exemption ends. The Supreme Court </w:t>
      </w:r>
      <w:r>
        <w:rPr>
          <w:szCs w:val="26"/>
        </w:rPr>
        <w:t xml:space="preserve">of Ohio </w:t>
      </w:r>
      <w:r w:rsidRPr="00590323">
        <w:rPr>
          <w:szCs w:val="26"/>
        </w:rPr>
        <w:t>held that the investigat</w:t>
      </w:r>
      <w:r>
        <w:rPr>
          <w:szCs w:val="26"/>
        </w:rPr>
        <w:t>ory</w:t>
      </w:r>
      <w:r w:rsidRPr="00590323">
        <w:rPr>
          <w:szCs w:val="26"/>
        </w:rPr>
        <w:t xml:space="preserve"> work product exemption does not extend past the end of the trial for which the information was gathered.</w:t>
      </w:r>
      <w:r w:rsidRPr="00590323">
        <w:rPr>
          <w:rStyle w:val="EndnoteReference"/>
          <w:szCs w:val="26"/>
        </w:rPr>
        <w:endnoteReference w:id="535"/>
      </w:r>
      <w:r w:rsidRPr="00590323">
        <w:rPr>
          <w:szCs w:val="26"/>
        </w:rPr>
        <w:t xml:space="preserve"> </w:t>
      </w:r>
      <w:r>
        <w:rPr>
          <w:szCs w:val="26"/>
        </w:rPr>
        <w:t>However, courts</w:t>
      </w:r>
      <w:r w:rsidRPr="00590323">
        <w:rPr>
          <w:szCs w:val="26"/>
        </w:rPr>
        <w:t xml:space="preserve"> have held that investigatory records that continue to fall under the uncharged suspect,</w:t>
      </w:r>
      <w:r w:rsidRPr="00590323">
        <w:rPr>
          <w:rStyle w:val="EndnoteReference"/>
        </w:rPr>
        <w:endnoteReference w:id="536"/>
      </w:r>
      <w:r w:rsidRPr="00590323">
        <w:rPr>
          <w:szCs w:val="26"/>
        </w:rPr>
        <w:t xml:space="preserve"> confidential source or witness,</w:t>
      </w:r>
      <w:r w:rsidRPr="00590323">
        <w:rPr>
          <w:rStyle w:val="EndnoteReference"/>
        </w:rPr>
        <w:endnoteReference w:id="537"/>
      </w:r>
      <w:r w:rsidRPr="00590323">
        <w:rPr>
          <w:szCs w:val="26"/>
        </w:rPr>
        <w:t xml:space="preserve"> confidential investigatory technique,</w:t>
      </w:r>
      <w:r w:rsidRPr="00590323">
        <w:rPr>
          <w:rStyle w:val="EndnoteReference"/>
        </w:rPr>
        <w:endnoteReference w:id="538"/>
      </w:r>
      <w:r w:rsidRPr="00590323">
        <w:rPr>
          <w:szCs w:val="26"/>
        </w:rPr>
        <w:t xml:space="preserve"> and information threatening physical safety</w:t>
      </w:r>
      <w:r w:rsidRPr="00590323">
        <w:rPr>
          <w:rStyle w:val="EndnoteReference"/>
        </w:rPr>
        <w:endnoteReference w:id="539"/>
      </w:r>
      <w:r w:rsidRPr="00590323">
        <w:rPr>
          <w:szCs w:val="26"/>
        </w:rPr>
        <w:t xml:space="preserve"> exemptions</w:t>
      </w:r>
      <w:r>
        <w:rPr>
          <w:szCs w:val="26"/>
        </w:rPr>
        <w:t>,</w:t>
      </w:r>
      <w:r w:rsidRPr="00590323">
        <w:rPr>
          <w:szCs w:val="26"/>
        </w:rPr>
        <w:t xml:space="preserve"> apply </w:t>
      </w:r>
      <w:r w:rsidRPr="00590323">
        <w:rPr>
          <w:i/>
          <w:szCs w:val="26"/>
        </w:rPr>
        <w:t>despite</w:t>
      </w:r>
      <w:r w:rsidRPr="00590323">
        <w:rPr>
          <w:szCs w:val="26"/>
        </w:rPr>
        <w:t xml:space="preserve"> the passage of time.</w:t>
      </w:r>
    </w:p>
    <w:p w14:paraId="7ADDD7B6" w14:textId="77777777" w:rsidR="007120C3" w:rsidRPr="00590323" w:rsidRDefault="007120C3" w:rsidP="007120C3">
      <w:pPr>
        <w:spacing w:line="220" w:lineRule="exact"/>
        <w:ind w:left="360"/>
        <w:jc w:val="both"/>
        <w:rPr>
          <w:szCs w:val="26"/>
        </w:rPr>
      </w:pPr>
    </w:p>
    <w:p w14:paraId="231E5EDD" w14:textId="3C16A27B" w:rsidR="00E2327A" w:rsidRPr="000220B5" w:rsidRDefault="00E2327A" w:rsidP="00C100EF">
      <w:pPr>
        <w:pStyle w:val="Heading4"/>
        <w:numPr>
          <w:ilvl w:val="0"/>
          <w:numId w:val="79"/>
        </w:numPr>
      </w:pPr>
      <w:r>
        <w:tab/>
      </w:r>
      <w:bookmarkStart w:id="456" w:name="_Toc159851531"/>
      <w:r w:rsidRPr="00590323">
        <w:t xml:space="preserve">Information that would endanger life or physical safety if </w:t>
      </w:r>
      <w:r w:rsidR="000220B5">
        <w:tab/>
      </w:r>
      <w:r w:rsidRPr="00590323">
        <w:t>released</w:t>
      </w:r>
      <w:bookmarkEnd w:id="456"/>
    </w:p>
    <w:p w14:paraId="5F2A1488" w14:textId="77777777" w:rsidR="00E2327A" w:rsidRDefault="00E2327A" w:rsidP="007120C3">
      <w:pPr>
        <w:spacing w:line="220" w:lineRule="exact"/>
        <w:ind w:left="360"/>
        <w:jc w:val="both"/>
        <w:rPr>
          <w:szCs w:val="26"/>
        </w:rPr>
      </w:pPr>
      <w:r w:rsidRPr="00590323">
        <w:rPr>
          <w:szCs w:val="26"/>
        </w:rPr>
        <w:t>Information that would endanger the life or physical safety of law enforcement personnel, a crime victim, a witness, or a confidential informant</w:t>
      </w:r>
      <w:r>
        <w:rPr>
          <w:szCs w:val="26"/>
        </w:rPr>
        <w:t>,</w:t>
      </w:r>
      <w:r w:rsidRPr="00590323">
        <w:rPr>
          <w:szCs w:val="26"/>
        </w:rPr>
        <w:t xml:space="preserve"> may be </w:t>
      </w:r>
      <w:r>
        <w:rPr>
          <w:szCs w:val="26"/>
        </w:rPr>
        <w:t>exempt under CLEIRs</w:t>
      </w:r>
      <w:r w:rsidRPr="00590323">
        <w:rPr>
          <w:szCs w:val="26"/>
        </w:rPr>
        <w:t>.</w:t>
      </w:r>
      <w:r w:rsidRPr="00590323">
        <w:rPr>
          <w:rStyle w:val="EndnoteReference"/>
        </w:rPr>
        <w:endnoteReference w:id="540"/>
      </w:r>
      <w:r w:rsidRPr="00590323">
        <w:rPr>
          <w:szCs w:val="26"/>
        </w:rPr>
        <w:t xml:space="preserve"> The threat to safety need not be specified within the four corners of the investigative file; but bare allegations or assumed conclusions that a person’s physical safety is threatened are </w:t>
      </w:r>
      <w:r>
        <w:rPr>
          <w:szCs w:val="26"/>
        </w:rPr>
        <w:t>in</w:t>
      </w:r>
      <w:r w:rsidRPr="00590323">
        <w:rPr>
          <w:szCs w:val="26"/>
        </w:rPr>
        <w:t>sufficient reasons to redact information.</w:t>
      </w:r>
      <w:r w:rsidRPr="00590323">
        <w:rPr>
          <w:rStyle w:val="EndnoteReference"/>
        </w:rPr>
        <w:endnoteReference w:id="541"/>
      </w:r>
      <w:r w:rsidRPr="00590323">
        <w:rPr>
          <w:szCs w:val="26"/>
        </w:rPr>
        <w:t xml:space="preserve"> Alleging that disclosing the information would infringe on a person’s privacy does not justify a denial of release under this exemption.</w:t>
      </w:r>
      <w:r w:rsidRPr="00590323">
        <w:rPr>
          <w:rStyle w:val="EndnoteReference"/>
        </w:rPr>
        <w:endnoteReference w:id="542"/>
      </w:r>
    </w:p>
    <w:p w14:paraId="71CE559D" w14:textId="77777777" w:rsidR="000220B5" w:rsidRPr="00590323" w:rsidRDefault="000220B5" w:rsidP="007120C3">
      <w:pPr>
        <w:spacing w:line="220" w:lineRule="exact"/>
        <w:ind w:left="360"/>
        <w:jc w:val="both"/>
        <w:rPr>
          <w:szCs w:val="26"/>
        </w:rPr>
      </w:pPr>
    </w:p>
    <w:p w14:paraId="6C6293D9" w14:textId="77777777" w:rsidR="00E2327A" w:rsidRPr="00590323" w:rsidRDefault="00E2327A" w:rsidP="00322085">
      <w:pPr>
        <w:pStyle w:val="Heading3"/>
      </w:pPr>
      <w:bookmarkStart w:id="457" w:name="_Toc159851532"/>
      <w:r w:rsidRPr="00590323">
        <w:t>3.</w:t>
      </w:r>
      <w:r w:rsidRPr="00590323">
        <w:tab/>
        <w:t>Law enforcement records not covered by CLEIRs</w:t>
      </w:r>
      <w:bookmarkEnd w:id="457"/>
    </w:p>
    <w:p w14:paraId="1CCEE1FF" w14:textId="4B640F6A" w:rsidR="00E2327A" w:rsidRPr="00590323" w:rsidRDefault="00E2327A" w:rsidP="00BD2AE1">
      <w:pPr>
        <w:pStyle w:val="Heading4"/>
      </w:pPr>
      <w:bookmarkStart w:id="458" w:name="_Toc159851533"/>
      <w:r w:rsidRPr="00590323">
        <w:t>a.</w:t>
      </w:r>
      <w:r w:rsidR="00C100EF">
        <w:tab/>
      </w:r>
      <w:r w:rsidRPr="00590323">
        <w:tab/>
      </w:r>
      <w:r>
        <w:t>Routine o</w:t>
      </w:r>
      <w:r w:rsidRPr="00590323">
        <w:t>ffense and incident reports</w:t>
      </w:r>
      <w:bookmarkEnd w:id="458"/>
    </w:p>
    <w:p w14:paraId="47C0B859" w14:textId="77777777" w:rsidR="00E2327A" w:rsidRPr="00590323" w:rsidRDefault="00E2327A" w:rsidP="007120C3">
      <w:pPr>
        <w:spacing w:line="220" w:lineRule="exact"/>
        <w:ind w:left="360"/>
        <w:jc w:val="both"/>
        <w:rPr>
          <w:szCs w:val="26"/>
        </w:rPr>
      </w:pPr>
      <w:bookmarkStart w:id="459" w:name="_Hlk155775884"/>
      <w:r>
        <w:rPr>
          <w:szCs w:val="26"/>
        </w:rPr>
        <w:t xml:space="preserve">As addressed in the section on “Investigatory Work Product” above, routine offense and incident reports are generally not considered part of an investigation and thus not covered under CLEIRs. However, offices must analyze the information in offense and incident reports, as well as any supplemental narratives attached to the reports, to determine if the information is </w:t>
      </w:r>
      <w:r w:rsidRPr="00215601">
        <w:rPr>
          <w:szCs w:val="26"/>
        </w:rPr>
        <w:t>“incident information</w:t>
      </w:r>
      <w:r>
        <w:rPr>
          <w:szCs w:val="26"/>
        </w:rPr>
        <w:t>.</w:t>
      </w:r>
      <w:r w:rsidRPr="00215601">
        <w:rPr>
          <w:szCs w:val="26"/>
        </w:rPr>
        <w:t xml:space="preserve">” “Incident information” </w:t>
      </w:r>
      <w:r>
        <w:rPr>
          <w:szCs w:val="26"/>
        </w:rPr>
        <w:t>is not exempt under CLEIRs</w:t>
      </w:r>
      <w:r w:rsidRPr="00215601">
        <w:rPr>
          <w:szCs w:val="26"/>
        </w:rPr>
        <w:t>.</w:t>
      </w:r>
      <w:r>
        <w:rPr>
          <w:szCs w:val="26"/>
        </w:rPr>
        <w:t xml:space="preserve"> S</w:t>
      </w:r>
      <w:r w:rsidRPr="00590323">
        <w:rPr>
          <w:szCs w:val="26"/>
        </w:rPr>
        <w:t>upplemental narratives containing “incident information” such as initial observations or initial witness interviews</w:t>
      </w:r>
      <w:r>
        <w:rPr>
          <w:szCs w:val="26"/>
        </w:rPr>
        <w:t>,</w:t>
      </w:r>
      <w:r w:rsidRPr="00590323">
        <w:rPr>
          <w:szCs w:val="26"/>
        </w:rPr>
        <w:t xml:space="preserve"> may be considered part of an initial incident report and subject to disclosure depending on the nature of the content and when it was created.</w:t>
      </w:r>
      <w:r w:rsidRPr="00590323">
        <w:rPr>
          <w:rStyle w:val="EndnoteReference"/>
          <w:szCs w:val="26"/>
        </w:rPr>
        <w:endnoteReference w:id="543"/>
      </w:r>
      <w:r w:rsidRPr="00590323">
        <w:rPr>
          <w:szCs w:val="26"/>
        </w:rPr>
        <w:t xml:space="preserve"> Additionally, not all reports utilized by </w:t>
      </w:r>
      <w:r>
        <w:rPr>
          <w:szCs w:val="26"/>
        </w:rPr>
        <w:t>law enforcement</w:t>
      </w:r>
      <w:r w:rsidRPr="00590323">
        <w:rPr>
          <w:szCs w:val="26"/>
        </w:rPr>
        <w:t xml:space="preserve"> are considered “offense” or “incident” reports. In some circumstances, use-of-force reports may not be incident reports and may be covered by the CLEIRS exemption.</w:t>
      </w:r>
      <w:r w:rsidRPr="00590323">
        <w:rPr>
          <w:rStyle w:val="EndnoteReference"/>
          <w:szCs w:val="26"/>
        </w:rPr>
        <w:endnoteReference w:id="544"/>
      </w:r>
    </w:p>
    <w:bookmarkEnd w:id="459"/>
    <w:p w14:paraId="476CF776" w14:textId="77777777" w:rsidR="00E2327A" w:rsidRPr="00590323" w:rsidRDefault="00E2327A" w:rsidP="007120C3">
      <w:pPr>
        <w:spacing w:line="220" w:lineRule="exact"/>
        <w:ind w:left="360"/>
        <w:jc w:val="both"/>
        <w:rPr>
          <w:szCs w:val="26"/>
        </w:rPr>
      </w:pPr>
    </w:p>
    <w:p w14:paraId="3A5E4E7F" w14:textId="77777777" w:rsidR="00E2327A" w:rsidRDefault="00E2327A" w:rsidP="007120C3">
      <w:pPr>
        <w:spacing w:line="220" w:lineRule="exact"/>
        <w:ind w:left="360"/>
        <w:jc w:val="both"/>
        <w:rPr>
          <w:szCs w:val="26"/>
        </w:rPr>
      </w:pPr>
      <w:r w:rsidRPr="00590323">
        <w:rPr>
          <w:szCs w:val="26"/>
        </w:rPr>
        <w:t>However, if an offense or incident report contains information that is otherwise exempt from disclosure under state or federal law, the exempt information may be redacted.</w:t>
      </w:r>
      <w:r w:rsidRPr="00590323">
        <w:rPr>
          <w:rStyle w:val="EndnoteReference"/>
        </w:rPr>
        <w:endnoteReference w:id="545"/>
      </w:r>
      <w:r w:rsidRPr="00590323">
        <w:rPr>
          <w:szCs w:val="26"/>
        </w:rPr>
        <w:t xml:space="preserve"> This could include </w:t>
      </w:r>
      <w:r w:rsidRPr="00590323">
        <w:rPr>
          <w:szCs w:val="26"/>
        </w:rPr>
        <w:lastRenderedPageBreak/>
        <w:t>social security numbers, information referred from a children services agency, or information subject to other independently applicable exemptions.</w:t>
      </w:r>
      <w:r w:rsidRPr="00590323">
        <w:rPr>
          <w:rStyle w:val="EndnoteReference"/>
          <w:szCs w:val="26"/>
        </w:rPr>
        <w:endnoteReference w:id="546"/>
      </w:r>
    </w:p>
    <w:p w14:paraId="7D4C47BB" w14:textId="77777777" w:rsidR="000220B5" w:rsidRPr="00590323" w:rsidRDefault="000220B5" w:rsidP="007120C3">
      <w:pPr>
        <w:spacing w:line="220" w:lineRule="exact"/>
        <w:ind w:left="360"/>
        <w:jc w:val="both"/>
        <w:rPr>
          <w:szCs w:val="26"/>
        </w:rPr>
      </w:pPr>
    </w:p>
    <w:p w14:paraId="4EF635CD" w14:textId="58B04154" w:rsidR="00E2327A" w:rsidRPr="00624F92" w:rsidRDefault="00E2327A" w:rsidP="00BD2AE1">
      <w:pPr>
        <w:pStyle w:val="Heading4"/>
      </w:pPr>
      <w:bookmarkStart w:id="460" w:name="_Toc159851534"/>
      <w:r w:rsidRPr="00590323">
        <w:t>b.</w:t>
      </w:r>
      <w:r w:rsidRPr="00590323">
        <w:tab/>
      </w:r>
      <w:r w:rsidR="00C100EF">
        <w:tab/>
      </w:r>
      <w:r w:rsidRPr="00590323">
        <w:t xml:space="preserve">911 </w:t>
      </w:r>
      <w:r>
        <w:t xml:space="preserve">call </w:t>
      </w:r>
      <w:r w:rsidRPr="00590323">
        <w:t>records</w:t>
      </w:r>
      <w:bookmarkEnd w:id="460"/>
    </w:p>
    <w:p w14:paraId="567AE73E" w14:textId="77777777" w:rsidR="00E2327A" w:rsidRPr="00DB74E1" w:rsidRDefault="00E2327A" w:rsidP="007120C3">
      <w:pPr>
        <w:spacing w:before="220" w:after="220" w:line="220" w:lineRule="exact"/>
        <w:ind w:left="360"/>
        <w:contextualSpacing/>
        <w:jc w:val="both"/>
        <w:rPr>
          <w:szCs w:val="26"/>
        </w:rPr>
      </w:pPr>
      <w:r>
        <w:rPr>
          <w:szCs w:val="26"/>
        </w:rPr>
        <w:t xml:space="preserve">The CLEIRs exemption does not apply to transcripts and recordings </w:t>
      </w:r>
      <w:r w:rsidRPr="00590323">
        <w:rPr>
          <w:szCs w:val="26"/>
        </w:rPr>
        <w:t>of 911 calls</w:t>
      </w:r>
      <w:r>
        <w:rPr>
          <w:szCs w:val="26"/>
        </w:rPr>
        <w:t>. The Supreme Court of Ohio explained that 911 operators are not investigating; they are compiling information to determine the appropriate emergency service provider response</w:t>
      </w:r>
      <w:r w:rsidRPr="00590323">
        <w:rPr>
          <w:szCs w:val="26"/>
        </w:rPr>
        <w:t>.</w:t>
      </w:r>
      <w:r w:rsidRPr="00590323">
        <w:rPr>
          <w:rStyle w:val="EndnoteReference"/>
        </w:rPr>
        <w:endnoteReference w:id="547"/>
      </w:r>
      <w:r w:rsidRPr="00590323">
        <w:rPr>
          <w:szCs w:val="26"/>
        </w:rPr>
        <w:t xml:space="preserve"> Further, there is no basis to find a constitutional right of privacy in such calls, </w:t>
      </w:r>
      <w:r>
        <w:rPr>
          <w:szCs w:val="26"/>
        </w:rPr>
        <w:t xml:space="preserve">so </w:t>
      </w:r>
      <w:r w:rsidRPr="00590323">
        <w:rPr>
          <w:szCs w:val="26"/>
        </w:rPr>
        <w:t>even social security numbers may not be redacted.</w:t>
      </w:r>
      <w:r w:rsidRPr="00590323">
        <w:rPr>
          <w:rStyle w:val="EndnoteReference"/>
        </w:rPr>
        <w:endnoteReference w:id="548"/>
      </w:r>
      <w:r w:rsidRPr="00590323">
        <w:rPr>
          <w:szCs w:val="26"/>
        </w:rPr>
        <w:t xml:space="preserve"> However, information concerning telephone numbers, addresses, or names obtained from a 911 database maintained pursuant to R.C. 128.</w:t>
      </w:r>
      <w:r>
        <w:rPr>
          <w:szCs w:val="26"/>
        </w:rPr>
        <w:t>96</w:t>
      </w:r>
      <w:r w:rsidRPr="00590323">
        <w:rPr>
          <w:szCs w:val="26"/>
        </w:rPr>
        <w:t xml:space="preserve"> may not be disclosed or used for any purpose other than as permitted in that section</w:t>
      </w:r>
      <w:r w:rsidRPr="008C0AC7">
        <w:rPr>
          <w:szCs w:val="26"/>
        </w:rPr>
        <w:t>.</w:t>
      </w:r>
      <w:r w:rsidRPr="008C0AC7">
        <w:rPr>
          <w:rStyle w:val="EndnoteReference"/>
        </w:rPr>
        <w:endnoteReference w:id="549"/>
      </w:r>
      <w:r w:rsidRPr="00590323">
        <w:rPr>
          <w:szCs w:val="26"/>
        </w:rPr>
        <w:t xml:space="preserve"> </w:t>
      </w:r>
    </w:p>
    <w:p w14:paraId="44061355" w14:textId="1FBD85B8" w:rsidR="00E2327A" w:rsidRPr="006B5C29" w:rsidRDefault="00A03E56" w:rsidP="00322085">
      <w:pPr>
        <w:pStyle w:val="Heading2"/>
      </w:pPr>
      <w:bookmarkStart w:id="461" w:name="_Toc159851535"/>
      <w:r w:rsidRPr="006B5C29">
        <w:t>B.</w:t>
      </w:r>
      <w:r w:rsidRPr="006B5C29">
        <w:tab/>
      </w:r>
      <w:r w:rsidR="00E2327A" w:rsidRPr="006B5C29">
        <w:t>Other Discretionary Exemptions Encountered in Law Enforcement</w:t>
      </w:r>
      <w:bookmarkEnd w:id="461"/>
    </w:p>
    <w:p w14:paraId="38208D9B" w14:textId="77777777" w:rsidR="00E2327A" w:rsidRDefault="00E2327A" w:rsidP="00E2327A">
      <w:pPr>
        <w:spacing w:line="220" w:lineRule="exact"/>
        <w:jc w:val="both"/>
      </w:pPr>
    </w:p>
    <w:p w14:paraId="6B91407F" w14:textId="570E25A0" w:rsidR="001D2AA7" w:rsidRDefault="00E2327A" w:rsidP="00A03E56">
      <w:pPr>
        <w:spacing w:line="220" w:lineRule="exact"/>
        <w:ind w:left="360"/>
        <w:jc w:val="both"/>
      </w:pPr>
      <w:bookmarkStart w:id="462" w:name="_Hlk156505526"/>
      <w:r>
        <w:t>There are numerous discretionary exemptions—exemptions</w:t>
      </w:r>
      <w:r w:rsidRPr="009D5F0C">
        <w:t xml:space="preserve"> </w:t>
      </w:r>
      <w:r>
        <w:t xml:space="preserve">that give a public office the choice to withhold or release records or information in records—that may apply to law enforcement related records. The exemptions discussed below are examples of discretionary exemptions that law enforcement offices may encounter. This list is not exhaustive. </w:t>
      </w:r>
      <w:r w:rsidRPr="00D81A09">
        <w:t xml:space="preserve">Refer to </w:t>
      </w:r>
      <w:r w:rsidRPr="00633746">
        <w:t>Chapter</w:t>
      </w:r>
      <w:r w:rsidR="007D66D5" w:rsidRPr="00633746">
        <w:t xml:space="preserve"> Three</w:t>
      </w:r>
      <w:r w:rsidRPr="00633746">
        <w:t>, “</w:t>
      </w:r>
      <w:r w:rsidR="00633746" w:rsidRPr="00633746">
        <w:t>Exemptions</w:t>
      </w:r>
      <w:r w:rsidR="00633746">
        <w:t xml:space="preserve"> to the Required Release of Public Records,” and Chapter Five, “Other </w:t>
      </w:r>
      <w:r w:rsidRPr="00590323">
        <w:t xml:space="preserve">Categories of </w:t>
      </w:r>
      <w:r w:rsidR="00633746">
        <w:t>Records</w:t>
      </w:r>
      <w:r>
        <w:t>,</w:t>
      </w:r>
      <w:r w:rsidRPr="00590323">
        <w:t>”</w:t>
      </w:r>
      <w:r w:rsidRPr="00EB1C6C">
        <w:rPr>
          <w:rFonts w:asciiTheme="minorHAnsi" w:hAnsiTheme="minorHAnsi" w:cstheme="minorHAnsi"/>
        </w:rPr>
        <w:t xml:space="preserve"> </w:t>
      </w:r>
      <w:bookmarkStart w:id="463" w:name="_Hlk158971450"/>
      <w:r w:rsidRPr="00D81A09">
        <w:t>for</w:t>
      </w:r>
      <w:r>
        <w:t xml:space="preserve"> </w:t>
      </w:r>
      <w:r w:rsidR="00633746">
        <w:t xml:space="preserve">additional </w:t>
      </w:r>
      <w:r>
        <w:t xml:space="preserve">examples, as well as </w:t>
      </w:r>
      <w:hyperlink r:id="rId46" w:history="1">
        <w:r w:rsidRPr="00BE50A6">
          <w:rPr>
            <w:rStyle w:val="Hyperlink"/>
          </w:rPr>
          <w:t>Appendix A</w:t>
        </w:r>
      </w:hyperlink>
      <w:r>
        <w:t xml:space="preserve"> of this Manual</w:t>
      </w:r>
      <w:r w:rsidRPr="00D81A09">
        <w:t>.</w:t>
      </w:r>
      <w:bookmarkEnd w:id="462"/>
      <w:bookmarkEnd w:id="463"/>
    </w:p>
    <w:p w14:paraId="5CD78333" w14:textId="77777777" w:rsidR="00334396" w:rsidRPr="00DC3CA0" w:rsidRDefault="00334396" w:rsidP="00A03E56">
      <w:pPr>
        <w:spacing w:line="220" w:lineRule="exact"/>
        <w:ind w:left="360"/>
        <w:jc w:val="both"/>
      </w:pPr>
    </w:p>
    <w:p w14:paraId="55A25425" w14:textId="1694818F" w:rsidR="00E2327A" w:rsidRDefault="0002092C" w:rsidP="00322085">
      <w:pPr>
        <w:pStyle w:val="Heading3"/>
      </w:pPr>
      <w:bookmarkStart w:id="464" w:name="_Toc159851536"/>
      <w:r>
        <w:t>1.</w:t>
      </w:r>
      <w:r>
        <w:tab/>
      </w:r>
      <w:r w:rsidR="00E2327A" w:rsidRPr="00265B78">
        <w:t>Body-worn and dashboard camera recordings</w:t>
      </w:r>
      <w:bookmarkEnd w:id="464"/>
    </w:p>
    <w:p w14:paraId="4F82E083" w14:textId="77777777" w:rsidR="00E2327A" w:rsidRDefault="00E2327A" w:rsidP="007120C3">
      <w:pPr>
        <w:spacing w:line="220" w:lineRule="exact"/>
        <w:ind w:left="360"/>
        <w:jc w:val="both"/>
      </w:pPr>
      <w:r>
        <w:t xml:space="preserve">Footage from body-worn and dashboard cameras are public records. If a law enforcement office receives a request for body-worn or dashboard camera recordings, the office must conduct a careful review of the footage to determine if any of the footage is exempt from disclosure. </w:t>
      </w:r>
      <w:r>
        <w:rPr>
          <w:szCs w:val="26"/>
        </w:rPr>
        <w:t>In one case the Supreme Court of Ohio held that only 90 seconds from over two hours of dashboard camera recordings could be redacted before release.</w:t>
      </w:r>
      <w:r>
        <w:rPr>
          <w:rStyle w:val="EndnoteReference"/>
          <w:szCs w:val="26"/>
        </w:rPr>
        <w:endnoteReference w:id="550"/>
      </w:r>
    </w:p>
    <w:p w14:paraId="6AEBEFF5" w14:textId="77777777" w:rsidR="00E2327A" w:rsidRDefault="00E2327A" w:rsidP="00E2327A">
      <w:pPr>
        <w:spacing w:line="220" w:lineRule="exact"/>
        <w:jc w:val="both"/>
      </w:pPr>
    </w:p>
    <w:p w14:paraId="78617932" w14:textId="77777777" w:rsidR="00E2327A" w:rsidRDefault="00E2327A" w:rsidP="007120C3">
      <w:pPr>
        <w:spacing w:line="220" w:lineRule="exact"/>
        <w:ind w:left="360"/>
        <w:jc w:val="both"/>
      </w:pPr>
      <w:r>
        <w:t xml:space="preserve">However, the Public Records Act lists </w:t>
      </w:r>
      <w:r w:rsidRPr="00E403CB">
        <w:t xml:space="preserve">17 types of </w:t>
      </w:r>
      <w:r>
        <w:t>information that are considered “r</w:t>
      </w:r>
      <w:r w:rsidRPr="00E403CB">
        <w:t>estricted portions</w:t>
      </w:r>
      <w:r>
        <w:t>”</w:t>
      </w:r>
      <w:r w:rsidRPr="00E403CB">
        <w:t xml:space="preserve"> of body-worn </w:t>
      </w:r>
      <w:r>
        <w:t xml:space="preserve">or dashboard </w:t>
      </w:r>
      <w:r w:rsidRPr="00E403CB">
        <w:t xml:space="preserve">camera </w:t>
      </w:r>
      <w:r>
        <w:t>footage</w:t>
      </w:r>
      <w:r w:rsidRPr="00E403CB">
        <w:t xml:space="preserve"> </w:t>
      </w:r>
      <w:r>
        <w:t>that can be withheld or redacted before disclosure.</w:t>
      </w:r>
      <w:r>
        <w:rPr>
          <w:rStyle w:val="EndnoteReference"/>
        </w:rPr>
        <w:endnoteReference w:id="551"/>
      </w:r>
      <w:r>
        <w:t xml:space="preserve"> The restricted portions of the footage are </w:t>
      </w:r>
      <w:r w:rsidRPr="00E403CB">
        <w:t xml:space="preserve">any visual or audio portion of </w:t>
      </w:r>
      <w:r>
        <w:t>the</w:t>
      </w:r>
      <w:r w:rsidRPr="00E403CB">
        <w:t xml:space="preserve"> recording that “shows, communicates or discloses” </w:t>
      </w:r>
      <w:r>
        <w:t xml:space="preserve">one or more </w:t>
      </w:r>
      <w:r w:rsidRPr="002B2C2E">
        <w:t>of the following:</w:t>
      </w:r>
      <w:r>
        <w:rPr>
          <w:rStyle w:val="EndnoteReference"/>
        </w:rPr>
        <w:endnoteReference w:id="552"/>
      </w:r>
    </w:p>
    <w:p w14:paraId="4E736248" w14:textId="77777777" w:rsidR="00E2327A" w:rsidRPr="002B2C2E" w:rsidRDefault="00E2327A" w:rsidP="00E2327A">
      <w:pPr>
        <w:spacing w:line="220" w:lineRule="exact"/>
        <w:jc w:val="both"/>
        <w:rPr>
          <w:i/>
        </w:rPr>
      </w:pPr>
    </w:p>
    <w:p w14:paraId="3B8E4C62" w14:textId="77777777" w:rsidR="00E2327A" w:rsidRDefault="00E2327A" w:rsidP="00E2327A">
      <w:pPr>
        <w:spacing w:line="220" w:lineRule="exact"/>
        <w:ind w:left="1890" w:hanging="450"/>
        <w:jc w:val="both"/>
      </w:pPr>
      <w:r>
        <w:t>(1)</w:t>
      </w:r>
      <w:r>
        <w:tab/>
        <w:t>The image or identity of a child or information that could lead to the identification of a child who is the primary subject of the recording;</w:t>
      </w:r>
    </w:p>
    <w:p w14:paraId="5D15187A" w14:textId="77777777" w:rsidR="00E2327A" w:rsidRDefault="00E2327A" w:rsidP="00E2327A">
      <w:pPr>
        <w:spacing w:line="220" w:lineRule="exact"/>
        <w:ind w:left="1890" w:hanging="540"/>
        <w:jc w:val="both"/>
      </w:pPr>
    </w:p>
    <w:p w14:paraId="0D58E819" w14:textId="77777777" w:rsidR="00E2327A" w:rsidRDefault="00E2327A" w:rsidP="00E2327A">
      <w:pPr>
        <w:spacing w:line="220" w:lineRule="exact"/>
        <w:ind w:left="1890" w:hanging="450"/>
        <w:jc w:val="both"/>
      </w:pPr>
      <w:r>
        <w:t>(2)</w:t>
      </w:r>
      <w:r>
        <w:tab/>
        <w:t>The death of a person or deceased person’s body, unless the death was caused by a correctional employee, youth services employee, or peace officer or under certain other circumstances;</w:t>
      </w:r>
    </w:p>
    <w:p w14:paraId="26CCD083" w14:textId="77777777" w:rsidR="00E2327A" w:rsidRDefault="00E2327A" w:rsidP="00E2327A">
      <w:pPr>
        <w:spacing w:line="220" w:lineRule="exact"/>
        <w:ind w:left="1890" w:hanging="540"/>
        <w:jc w:val="both"/>
      </w:pPr>
    </w:p>
    <w:p w14:paraId="1A680BBB" w14:textId="77777777" w:rsidR="00E2327A" w:rsidRDefault="00E2327A" w:rsidP="00E2327A">
      <w:pPr>
        <w:spacing w:line="220" w:lineRule="exact"/>
        <w:ind w:left="1890" w:hanging="450"/>
        <w:jc w:val="both"/>
      </w:pPr>
      <w:r>
        <w:t>(3)</w:t>
      </w:r>
      <w:r>
        <w:tab/>
        <w:t>The death of a correctional employee, youth services employee, peace officer or first responder that occurs when the decedent was performing official duties;</w:t>
      </w:r>
    </w:p>
    <w:p w14:paraId="2496CC1E" w14:textId="77777777" w:rsidR="00E2327A" w:rsidRDefault="00E2327A" w:rsidP="00E2327A">
      <w:pPr>
        <w:spacing w:line="220" w:lineRule="exact"/>
        <w:ind w:left="1890" w:hanging="540"/>
        <w:jc w:val="both"/>
      </w:pPr>
    </w:p>
    <w:p w14:paraId="482163CE" w14:textId="77777777" w:rsidR="00E2327A" w:rsidRDefault="00E2327A" w:rsidP="00E2327A">
      <w:pPr>
        <w:spacing w:line="220" w:lineRule="exact"/>
        <w:ind w:left="1890" w:hanging="450"/>
        <w:jc w:val="both"/>
      </w:pPr>
      <w:r>
        <w:t>(4)</w:t>
      </w:r>
      <w:r>
        <w:tab/>
        <w:t>Grievous bodily harm unless the injury was effected by a correctional employee, youth services employee, or a peace officer;</w:t>
      </w:r>
    </w:p>
    <w:p w14:paraId="43FEA58F" w14:textId="77777777" w:rsidR="00E2327A" w:rsidRDefault="00E2327A" w:rsidP="00E2327A">
      <w:pPr>
        <w:spacing w:line="220" w:lineRule="exact"/>
        <w:ind w:left="1890" w:hanging="540"/>
        <w:jc w:val="both"/>
      </w:pPr>
    </w:p>
    <w:p w14:paraId="1B2242FB" w14:textId="77777777" w:rsidR="00E2327A" w:rsidRDefault="00E2327A" w:rsidP="00E2327A">
      <w:pPr>
        <w:spacing w:line="220" w:lineRule="exact"/>
        <w:ind w:left="1890" w:hanging="450"/>
        <w:jc w:val="both"/>
      </w:pPr>
      <w:r>
        <w:t>(5)</w:t>
      </w:r>
      <w:r>
        <w:tab/>
        <w:t>An act of severe violence against a person that results in serious physical harm unless the injury was effected by a correctional employee, youth services employee, or peace officer;</w:t>
      </w:r>
    </w:p>
    <w:p w14:paraId="0C705D78" w14:textId="77777777" w:rsidR="00E2327A" w:rsidRDefault="00E2327A" w:rsidP="00E2327A">
      <w:pPr>
        <w:spacing w:line="220" w:lineRule="exact"/>
        <w:ind w:left="1890" w:hanging="540"/>
        <w:jc w:val="both"/>
      </w:pPr>
    </w:p>
    <w:p w14:paraId="4DBE869B" w14:textId="77777777" w:rsidR="00E2327A" w:rsidRDefault="00E2327A" w:rsidP="00E2327A">
      <w:pPr>
        <w:spacing w:line="220" w:lineRule="exact"/>
        <w:ind w:left="1890" w:hanging="450"/>
        <w:jc w:val="both"/>
      </w:pPr>
      <w:r>
        <w:t>(6)</w:t>
      </w:r>
      <w:r>
        <w:tab/>
        <w:t>Grievous bodily harm to, or an act of severe violence resulting in serious physical harm, against a correctional employee, youth services employee, peace officer,</w:t>
      </w:r>
      <w:r w:rsidRPr="00803CF4">
        <w:t xml:space="preserve"> </w:t>
      </w:r>
      <w:r w:rsidRPr="00803CF4">
        <w:lastRenderedPageBreak/>
        <w:t>firefighter, paramedic, or other first responder</w:t>
      </w:r>
      <w:r>
        <w:t xml:space="preserve"> while the injured person was performing official duties;</w:t>
      </w:r>
    </w:p>
    <w:p w14:paraId="213EC320" w14:textId="77777777" w:rsidR="00E2327A" w:rsidRDefault="00E2327A" w:rsidP="00E2327A">
      <w:pPr>
        <w:spacing w:line="220" w:lineRule="exact"/>
        <w:ind w:left="1890" w:hanging="540"/>
        <w:jc w:val="both"/>
      </w:pPr>
    </w:p>
    <w:p w14:paraId="7FD05BCB" w14:textId="77777777" w:rsidR="00E2327A" w:rsidRDefault="00E2327A" w:rsidP="00E2327A">
      <w:pPr>
        <w:spacing w:line="220" w:lineRule="exact"/>
        <w:ind w:left="1890" w:hanging="450"/>
        <w:jc w:val="both"/>
      </w:pPr>
      <w:r>
        <w:t>(7)</w:t>
      </w:r>
      <w:r>
        <w:tab/>
      </w:r>
      <w:r w:rsidRPr="00FD155B">
        <w:t xml:space="preserve">An act of severe violence </w:t>
      </w:r>
      <w:r>
        <w:t xml:space="preserve">that results in </w:t>
      </w:r>
      <w:r w:rsidRPr="00FD155B">
        <w:t>serious physical harm against a correctional employee, youth services employee, peace officer, firefighter, paramedic, or other first responder, occurring while the injured person was engaged in the performance of official duties;</w:t>
      </w:r>
    </w:p>
    <w:p w14:paraId="775E6B49" w14:textId="77777777" w:rsidR="00E2327A" w:rsidRDefault="00E2327A" w:rsidP="00E2327A">
      <w:pPr>
        <w:spacing w:line="220" w:lineRule="exact"/>
        <w:ind w:left="1890" w:hanging="540"/>
        <w:jc w:val="both"/>
      </w:pPr>
    </w:p>
    <w:p w14:paraId="7C46C920" w14:textId="77777777" w:rsidR="00E2327A" w:rsidRDefault="00E2327A" w:rsidP="00E2327A">
      <w:pPr>
        <w:spacing w:line="220" w:lineRule="exact"/>
        <w:ind w:left="1890" w:hanging="450"/>
        <w:jc w:val="both"/>
      </w:pPr>
      <w:r>
        <w:t>(8)</w:t>
      </w:r>
      <w:r>
        <w:tab/>
        <w:t>A person’s nude body;</w:t>
      </w:r>
    </w:p>
    <w:p w14:paraId="429EC956" w14:textId="77777777" w:rsidR="00E2327A" w:rsidRDefault="00E2327A" w:rsidP="00E2327A">
      <w:pPr>
        <w:spacing w:line="220" w:lineRule="exact"/>
        <w:ind w:left="1890" w:hanging="540"/>
        <w:jc w:val="both"/>
      </w:pPr>
    </w:p>
    <w:p w14:paraId="609EB3B1" w14:textId="77777777" w:rsidR="00E2327A" w:rsidRDefault="00E2327A" w:rsidP="00E2327A">
      <w:pPr>
        <w:spacing w:line="220" w:lineRule="exact"/>
        <w:ind w:left="1890" w:hanging="450"/>
        <w:jc w:val="both"/>
      </w:pPr>
      <w:r>
        <w:t>(9)</w:t>
      </w:r>
      <w:r>
        <w:tab/>
        <w:t>Protected health information, the identity of a person in a health care facility who is not the subject of a law enforcement encounter, or any other information in a health care facility that could identify a person who is not the subject of a law enforcement encounter;</w:t>
      </w:r>
    </w:p>
    <w:p w14:paraId="43608A22" w14:textId="77777777" w:rsidR="00E2327A" w:rsidRDefault="00E2327A" w:rsidP="00E2327A">
      <w:pPr>
        <w:spacing w:line="220" w:lineRule="exact"/>
        <w:ind w:left="1890" w:hanging="540"/>
        <w:jc w:val="both"/>
      </w:pPr>
    </w:p>
    <w:p w14:paraId="69A0055A" w14:textId="77777777" w:rsidR="00E2327A" w:rsidRDefault="00E2327A" w:rsidP="00E2327A">
      <w:pPr>
        <w:spacing w:line="220" w:lineRule="exact"/>
        <w:ind w:left="1890" w:hanging="450"/>
        <w:jc w:val="both"/>
      </w:pPr>
      <w:r>
        <w:t>(10)</w:t>
      </w:r>
      <w:r>
        <w:tab/>
        <w:t>Information that could identify the alleged victim of a sex offense, menacing by stalking, or domestic violence;</w:t>
      </w:r>
    </w:p>
    <w:p w14:paraId="3AFA4714" w14:textId="77777777" w:rsidR="00E2327A" w:rsidRDefault="00E2327A" w:rsidP="00E2327A">
      <w:pPr>
        <w:spacing w:line="220" w:lineRule="exact"/>
        <w:ind w:left="1890" w:hanging="540"/>
        <w:jc w:val="both"/>
      </w:pPr>
    </w:p>
    <w:p w14:paraId="2E85ADFF" w14:textId="77777777" w:rsidR="00E2327A" w:rsidRDefault="00E2327A" w:rsidP="00E2327A">
      <w:pPr>
        <w:spacing w:line="220" w:lineRule="exact"/>
        <w:ind w:left="1890" w:hanging="450"/>
        <w:jc w:val="both"/>
      </w:pPr>
      <w:r>
        <w:t>(11)</w:t>
      </w:r>
      <w:r>
        <w:tab/>
        <w:t xml:space="preserve">Information that does not qualify as a confidential law enforcement investigatory record that could identify a confidential source if disclosure of the source or the information provided could reasonably be expected to threaten or endanger a person’s safety or property; </w:t>
      </w:r>
    </w:p>
    <w:p w14:paraId="5970E068" w14:textId="77777777" w:rsidR="00E2327A" w:rsidRDefault="00E2327A" w:rsidP="00E2327A">
      <w:pPr>
        <w:spacing w:line="220" w:lineRule="exact"/>
        <w:ind w:left="1890" w:hanging="540"/>
        <w:jc w:val="both"/>
      </w:pPr>
    </w:p>
    <w:p w14:paraId="5A5DEEA4" w14:textId="77777777" w:rsidR="00E2327A" w:rsidRDefault="00E2327A" w:rsidP="00E2327A">
      <w:pPr>
        <w:spacing w:line="220" w:lineRule="exact"/>
        <w:ind w:left="1890" w:hanging="450"/>
        <w:jc w:val="both"/>
      </w:pPr>
      <w:r>
        <w:t>(12)</w:t>
      </w:r>
      <w:r>
        <w:tab/>
        <w:t xml:space="preserve">A person’s personal information who is not arrested, charged, or issued a written warning; </w:t>
      </w:r>
    </w:p>
    <w:p w14:paraId="6098E2E4" w14:textId="77777777" w:rsidR="00E2327A" w:rsidRDefault="00E2327A" w:rsidP="00E2327A">
      <w:pPr>
        <w:spacing w:line="220" w:lineRule="exact"/>
        <w:ind w:left="1890" w:hanging="540"/>
        <w:jc w:val="both"/>
      </w:pPr>
    </w:p>
    <w:p w14:paraId="64453272" w14:textId="77777777" w:rsidR="00E2327A" w:rsidRDefault="00E2327A" w:rsidP="00E2327A">
      <w:pPr>
        <w:spacing w:line="220" w:lineRule="exact"/>
        <w:ind w:left="1890" w:hanging="450"/>
        <w:jc w:val="both"/>
      </w:pPr>
      <w:r>
        <w:t>(13)</w:t>
      </w:r>
      <w:r>
        <w:tab/>
        <w:t>Proprietary police contingency plans or tactics that are intended to prevent crime and maintain public order and safety;</w:t>
      </w:r>
    </w:p>
    <w:p w14:paraId="4DAD35A7" w14:textId="77777777" w:rsidR="00E2327A" w:rsidRDefault="00E2327A" w:rsidP="00E2327A">
      <w:pPr>
        <w:spacing w:line="220" w:lineRule="exact"/>
        <w:ind w:left="1890" w:hanging="540"/>
        <w:jc w:val="both"/>
      </w:pPr>
    </w:p>
    <w:p w14:paraId="08F01346" w14:textId="77777777" w:rsidR="00E2327A" w:rsidRDefault="00E2327A" w:rsidP="00E2327A">
      <w:pPr>
        <w:spacing w:line="220" w:lineRule="exact"/>
        <w:ind w:left="1890" w:hanging="450"/>
        <w:jc w:val="both"/>
      </w:pPr>
      <w:r>
        <w:t>(14)</w:t>
      </w:r>
      <w:r>
        <w:tab/>
        <w:t>Personal conversations between peace officers unrelated to work;</w:t>
      </w:r>
    </w:p>
    <w:p w14:paraId="7D202278" w14:textId="77777777" w:rsidR="00E2327A" w:rsidRDefault="00E2327A" w:rsidP="00E2327A">
      <w:pPr>
        <w:spacing w:line="220" w:lineRule="exact"/>
        <w:ind w:left="1890" w:hanging="540"/>
        <w:jc w:val="both"/>
      </w:pPr>
    </w:p>
    <w:p w14:paraId="54D73EB8" w14:textId="77777777" w:rsidR="00E2327A" w:rsidRDefault="00E2327A" w:rsidP="00E2327A">
      <w:pPr>
        <w:spacing w:line="220" w:lineRule="exact"/>
        <w:ind w:left="1890" w:hanging="450"/>
        <w:jc w:val="both"/>
      </w:pPr>
      <w:r>
        <w:t>(15)</w:t>
      </w:r>
      <w:r>
        <w:tab/>
        <w:t>Conversations between peace officers and members of the public that do not concern law enforcement activities;</w:t>
      </w:r>
    </w:p>
    <w:p w14:paraId="608DECB0" w14:textId="77777777" w:rsidR="00E2327A" w:rsidRDefault="00E2327A" w:rsidP="00E2327A">
      <w:pPr>
        <w:spacing w:line="220" w:lineRule="exact"/>
        <w:ind w:left="1890" w:hanging="540"/>
        <w:jc w:val="both"/>
      </w:pPr>
    </w:p>
    <w:p w14:paraId="3FBDFF98" w14:textId="77777777" w:rsidR="00E2327A" w:rsidRDefault="00E2327A" w:rsidP="00E2327A">
      <w:pPr>
        <w:spacing w:line="220" w:lineRule="exact"/>
        <w:ind w:left="1890" w:hanging="450"/>
        <w:jc w:val="both"/>
      </w:pPr>
      <w:r>
        <w:t>(16)</w:t>
      </w:r>
      <w:r>
        <w:tab/>
        <w:t>The interior of a residence unless it is the location of an adversarial encounter with, or use of force by, a peace officer; or</w:t>
      </w:r>
    </w:p>
    <w:p w14:paraId="77033405" w14:textId="77777777" w:rsidR="00E2327A" w:rsidRDefault="00E2327A" w:rsidP="00E2327A">
      <w:pPr>
        <w:spacing w:line="220" w:lineRule="exact"/>
        <w:ind w:left="1890" w:hanging="540"/>
        <w:jc w:val="both"/>
      </w:pPr>
    </w:p>
    <w:p w14:paraId="50EFA0CC" w14:textId="77777777" w:rsidR="00E2327A" w:rsidRDefault="00E2327A" w:rsidP="00E2327A">
      <w:pPr>
        <w:spacing w:line="220" w:lineRule="exact"/>
        <w:ind w:left="1890" w:hanging="450"/>
        <w:jc w:val="both"/>
      </w:pPr>
      <w:r>
        <w:t>(17)</w:t>
      </w:r>
      <w:r>
        <w:tab/>
        <w:t>The interior of a private business not open to the public unless it is the location of an adversarial encounter with, or use of force by, a peace officer.</w:t>
      </w:r>
    </w:p>
    <w:p w14:paraId="13F88B0D" w14:textId="77777777" w:rsidR="00E2327A" w:rsidRDefault="00E2327A" w:rsidP="00E2327A">
      <w:pPr>
        <w:spacing w:line="220" w:lineRule="exact"/>
        <w:jc w:val="both"/>
      </w:pPr>
    </w:p>
    <w:p w14:paraId="40FB3C80" w14:textId="77777777" w:rsidR="00E2327A" w:rsidRDefault="00E2327A" w:rsidP="007120C3">
      <w:pPr>
        <w:spacing w:line="220" w:lineRule="exact"/>
        <w:ind w:left="360"/>
        <w:jc w:val="both"/>
      </w:pPr>
      <w:r>
        <w:t xml:space="preserve">Restricted portions of </w:t>
      </w:r>
      <w:r w:rsidRPr="007904D3">
        <w:t xml:space="preserve">body-worn or dashboard </w:t>
      </w:r>
      <w:r>
        <w:t>camera recordings described in numbers (2)-(8) above may be released with the consent of the injured person, the decedent’s executor or administrator or the person/person’s guardian if the recording will not be used in connection with any probable or pending criminal proceeding or the recording has been used in connection with a criminal proceeding that was dismissed or for which a judgment has been entered pursuant to Rule 32 of the Rules of Criminal Procedure, and will not be used again in connection with any probably or pending criminal proceedings.</w:t>
      </w:r>
      <w:r>
        <w:rPr>
          <w:rStyle w:val="EndnoteReference"/>
        </w:rPr>
        <w:endnoteReference w:id="553"/>
      </w:r>
    </w:p>
    <w:p w14:paraId="014CDEFC" w14:textId="77777777" w:rsidR="00E2327A" w:rsidRDefault="00E2327A" w:rsidP="007120C3">
      <w:pPr>
        <w:spacing w:line="220" w:lineRule="exact"/>
        <w:ind w:left="360"/>
        <w:jc w:val="both"/>
      </w:pPr>
    </w:p>
    <w:p w14:paraId="7D130CE9" w14:textId="77777777" w:rsidR="00E2327A" w:rsidRDefault="00E2327A" w:rsidP="007120C3">
      <w:pPr>
        <w:spacing w:line="220" w:lineRule="exact"/>
        <w:ind w:left="360"/>
        <w:jc w:val="both"/>
      </w:pPr>
      <w:r w:rsidRPr="007904D3">
        <w:t xml:space="preserve">If a person has been denied access to a restricted portion of a body-worn or dashboard camera recording, that person may file a mandamus action or a complaint with the clerk of the Court of Claims, seeking an order to release the recording. The court shall order the release of the recording if it determines that the public interest in the recording substantially outweighs privacy and other interests asserted to deny </w:t>
      </w:r>
      <w:r w:rsidRPr="00244F01">
        <w:t>release.</w:t>
      </w:r>
      <w:r w:rsidRPr="00244F01">
        <w:rPr>
          <w:rStyle w:val="EndnoteReference"/>
        </w:rPr>
        <w:endnoteReference w:id="554"/>
      </w:r>
    </w:p>
    <w:p w14:paraId="507461E2" w14:textId="77777777" w:rsidR="00F769B7" w:rsidRPr="0069653E" w:rsidRDefault="00F769B7" w:rsidP="007120C3">
      <w:pPr>
        <w:spacing w:line="220" w:lineRule="exact"/>
        <w:ind w:left="360"/>
        <w:jc w:val="both"/>
      </w:pPr>
    </w:p>
    <w:p w14:paraId="5EE33CA8" w14:textId="77777777" w:rsidR="00E2327A" w:rsidRPr="008F0761" w:rsidRDefault="00E2327A" w:rsidP="00E2327A">
      <w:pPr>
        <w:spacing w:line="220" w:lineRule="exact"/>
        <w:jc w:val="both"/>
        <w:rPr>
          <w:sz w:val="28"/>
          <w:szCs w:val="28"/>
        </w:rPr>
      </w:pPr>
    </w:p>
    <w:p w14:paraId="26D1AD14" w14:textId="492895F7" w:rsidR="00E2327A" w:rsidRDefault="00746A3D" w:rsidP="00322085">
      <w:pPr>
        <w:pStyle w:val="Heading3"/>
      </w:pPr>
      <w:bookmarkStart w:id="465" w:name="_Toc159851537"/>
      <w:r w:rsidRPr="006E100D">
        <w:rPr>
          <w:iCs/>
        </w:rPr>
        <w:lastRenderedPageBreak/>
        <w:t>2.</w:t>
      </w:r>
      <w:r>
        <w:tab/>
      </w:r>
      <w:r w:rsidR="00E2327A" w:rsidRPr="00265B78">
        <w:t>EMS run sheets</w:t>
      </w:r>
      <w:bookmarkEnd w:id="465"/>
    </w:p>
    <w:p w14:paraId="54E9A750" w14:textId="77777777" w:rsidR="00E2327A" w:rsidRDefault="00E2327A" w:rsidP="007120C3">
      <w:pPr>
        <w:spacing w:line="220" w:lineRule="exact"/>
        <w:ind w:left="360"/>
        <w:jc w:val="both"/>
      </w:pPr>
      <w:r>
        <w:t>When a run sheet created and maintained by a county emergency medical services (EMS) organization documents treatment of a living patient, the EMS organization may redact information that pertains to the patient’s medical history, diagnosis, prognosis, or medical condition.</w:t>
      </w:r>
      <w:r>
        <w:rPr>
          <w:rStyle w:val="EndnoteReference"/>
        </w:rPr>
        <w:endnoteReference w:id="555"/>
      </w:r>
      <w:r>
        <w:t xml:space="preserve"> However, a patient’s name, address, and other non-medical personal information does not fall under the “medical records” exemption in R.C. 149.43(A)(1)(a) and may not be redacted unless some other exemption applies to that information.</w:t>
      </w:r>
      <w:r>
        <w:rPr>
          <w:rStyle w:val="EndnoteReference"/>
        </w:rPr>
        <w:endnoteReference w:id="556"/>
      </w:r>
      <w:r>
        <w:t xml:space="preserve"> Accordingly, each run sheet must be examined to determine whether it falls, in whole or in part, within the “medical records” exemption, the physician-patient privilege, or any other exemption for information the release of which is prohibited by law.</w:t>
      </w:r>
      <w:r>
        <w:rPr>
          <w:rStyle w:val="EndnoteReference"/>
        </w:rPr>
        <w:endnoteReference w:id="557"/>
      </w:r>
    </w:p>
    <w:p w14:paraId="22C49A1B" w14:textId="77777777" w:rsidR="00E2327A" w:rsidRPr="00EE7E0D" w:rsidRDefault="00E2327A" w:rsidP="00E2327A">
      <w:pPr>
        <w:spacing w:line="220" w:lineRule="exact"/>
        <w:jc w:val="both"/>
      </w:pPr>
    </w:p>
    <w:p w14:paraId="4736B0EE" w14:textId="65589976" w:rsidR="00E2327A" w:rsidRPr="00A03E56" w:rsidRDefault="00746A3D" w:rsidP="00322085">
      <w:pPr>
        <w:pStyle w:val="Heading3"/>
      </w:pPr>
      <w:bookmarkStart w:id="466" w:name="_Toc159851538"/>
      <w:r>
        <w:t>3.</w:t>
      </w:r>
      <w:r>
        <w:tab/>
      </w:r>
      <w:r w:rsidR="00E2327A" w:rsidRPr="00A81E3C">
        <w:t xml:space="preserve">Juvenile </w:t>
      </w:r>
      <w:r w:rsidR="00E2327A">
        <w:t>l</w:t>
      </w:r>
      <w:r w:rsidR="00E2327A" w:rsidRPr="00A81E3C">
        <w:t xml:space="preserve">aw </w:t>
      </w:r>
      <w:r w:rsidR="00E2327A">
        <w:t>e</w:t>
      </w:r>
      <w:r w:rsidR="00E2327A" w:rsidRPr="00A81E3C">
        <w:t xml:space="preserve">nforcement </w:t>
      </w:r>
      <w:r w:rsidR="00E2327A">
        <w:t>r</w:t>
      </w:r>
      <w:r w:rsidR="00E2327A" w:rsidRPr="00A81E3C">
        <w:t>ecords</w:t>
      </w:r>
      <w:bookmarkEnd w:id="466"/>
    </w:p>
    <w:p w14:paraId="182E6E9C" w14:textId="54C648DC" w:rsidR="00E2327A" w:rsidRDefault="00E2327A" w:rsidP="007120C3">
      <w:pPr>
        <w:spacing w:line="220" w:lineRule="exact"/>
        <w:ind w:left="360"/>
        <w:jc w:val="both"/>
      </w:pPr>
      <w:r>
        <w:t xml:space="preserve">As addressed </w:t>
      </w:r>
      <w:r w:rsidRPr="00B504A3">
        <w:t xml:space="preserve">in Chapter </w:t>
      </w:r>
      <w:r w:rsidR="00B504A3" w:rsidRPr="00B504A3">
        <w:t>Three</w:t>
      </w:r>
      <w:r w:rsidR="00633746">
        <w:t>:</w:t>
      </w:r>
      <w:r w:rsidR="00B504A3" w:rsidRPr="00B504A3">
        <w:t xml:space="preserve"> F.2.,</w:t>
      </w:r>
      <w:r w:rsidR="00B504A3">
        <w:t xml:space="preserve"> “Juvenile records</w:t>
      </w:r>
      <w:r>
        <w:t>,</w:t>
      </w:r>
      <w:r w:rsidR="00B504A3">
        <w:t>”</w:t>
      </w:r>
      <w:r>
        <w:t xml:space="preserve"> there is no exemption that protects all juvenile records from public records disclosure. Juvenile offender investigation records maintained by law enforcement agencies, in general, are treated no differently than adult records, including records identifying a juvenile suspect, victim, or witness in an initial incident report.</w:t>
      </w:r>
      <w:r>
        <w:rPr>
          <w:rStyle w:val="EndnoteReference"/>
        </w:rPr>
        <w:endnoteReference w:id="558"/>
      </w:r>
      <w:r>
        <w:t xml:space="preserve"> Specific exemptions apply to: (1) fingerprints, photographs, and related information in connection with specified juvenile arrest or custody;</w:t>
      </w:r>
      <w:r>
        <w:rPr>
          <w:rStyle w:val="EndnoteReference"/>
        </w:rPr>
        <w:endnoteReference w:id="559"/>
      </w:r>
      <w:r>
        <w:t xml:space="preserve"> (2) certain information forwarded from a children’s services agency;</w:t>
      </w:r>
      <w:r>
        <w:rPr>
          <w:rStyle w:val="EndnoteReference"/>
        </w:rPr>
        <w:endnoteReference w:id="560"/>
      </w:r>
      <w:r>
        <w:t xml:space="preserve"> and (3) sealed or expunged juvenile records.</w:t>
      </w:r>
      <w:r>
        <w:rPr>
          <w:rStyle w:val="EndnoteReference"/>
        </w:rPr>
        <w:endnoteReference w:id="561"/>
      </w:r>
      <w:r>
        <w:t xml:space="preserve"> Most information held by local law enforcement offices may be shared with other law enforcement agencies and some may be shared with a board of education upon request.</w:t>
      </w:r>
      <w:r>
        <w:rPr>
          <w:rStyle w:val="EndnoteReference"/>
        </w:rPr>
        <w:endnoteReference w:id="562"/>
      </w:r>
    </w:p>
    <w:p w14:paraId="48560979" w14:textId="77777777" w:rsidR="00E2327A" w:rsidRDefault="00E2327A" w:rsidP="007120C3">
      <w:pPr>
        <w:spacing w:line="220" w:lineRule="exact"/>
        <w:ind w:left="360"/>
        <w:jc w:val="both"/>
      </w:pPr>
    </w:p>
    <w:p w14:paraId="16C0D9B2" w14:textId="3587B5F9" w:rsidR="00E2327A" w:rsidRDefault="00E2327A" w:rsidP="00DA5FE8">
      <w:pPr>
        <w:spacing w:line="220" w:lineRule="exact"/>
        <w:ind w:left="360"/>
        <w:jc w:val="both"/>
      </w:pPr>
      <w:r>
        <w:t>Federal law similarly prohibits disclosing specified records associated with federal juvenile delinquency proceedings.</w:t>
      </w:r>
      <w:r>
        <w:rPr>
          <w:rStyle w:val="EndnoteReference"/>
        </w:rPr>
        <w:endnoteReference w:id="563"/>
      </w:r>
      <w:r>
        <w:t xml:space="preserve"> Federal law also restricts disclosing fingerprints and photographs of a juvenile found guilty in federal delinquency proceedings of committing a crime that would have been a felony if the juvenile were prosecuted as an adult.</w:t>
      </w:r>
      <w:r>
        <w:rPr>
          <w:rStyle w:val="EndnoteReference"/>
        </w:rPr>
        <w:endnoteReference w:id="564"/>
      </w:r>
    </w:p>
    <w:p w14:paraId="3006A7F1" w14:textId="77777777" w:rsidR="00DA5FE8" w:rsidRPr="00DA5FE8" w:rsidRDefault="00DA5FE8" w:rsidP="00DA5FE8">
      <w:pPr>
        <w:spacing w:line="220" w:lineRule="exact"/>
        <w:ind w:left="360"/>
        <w:jc w:val="both"/>
      </w:pPr>
    </w:p>
    <w:p w14:paraId="7F6C4C84" w14:textId="10B6974D" w:rsidR="00E2327A" w:rsidRPr="00C0603E" w:rsidRDefault="00746A3D" w:rsidP="00322085">
      <w:pPr>
        <w:pStyle w:val="Heading3"/>
        <w:rPr>
          <w:b/>
          <w:bCs/>
        </w:rPr>
      </w:pPr>
      <w:bookmarkStart w:id="467" w:name="_Toc159851539"/>
      <w:r>
        <w:t>4.</w:t>
      </w:r>
      <w:r>
        <w:tab/>
      </w:r>
      <w:r w:rsidR="00E2327A">
        <w:t>O</w:t>
      </w:r>
      <w:r w:rsidR="00E2327A" w:rsidRPr="00265B78">
        <w:t>ther discretionary exemptions</w:t>
      </w:r>
      <w:bookmarkEnd w:id="467"/>
    </w:p>
    <w:p w14:paraId="78C04F66" w14:textId="77777777" w:rsidR="00E2327A" w:rsidRPr="009D5F0C" w:rsidRDefault="00E2327A" w:rsidP="00E2327A">
      <w:pPr>
        <w:pStyle w:val="ListParagraph"/>
        <w:spacing w:line="220" w:lineRule="exact"/>
        <w:ind w:left="1800"/>
        <w:jc w:val="both"/>
        <w:rPr>
          <w:b/>
          <w:bCs/>
          <w:i/>
          <w:i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131"/>
        <w:gridCol w:w="4969"/>
      </w:tblGrid>
      <w:tr w:rsidR="00E2327A" w:rsidRPr="00704A17" w14:paraId="3F882C70" w14:textId="77777777" w:rsidTr="00051BEC">
        <w:trPr>
          <w:cantSplit/>
          <w:trHeight w:val="576"/>
          <w:tblHeader/>
        </w:trPr>
        <w:tc>
          <w:tcPr>
            <w:tcW w:w="2368" w:type="dxa"/>
            <w:shd w:val="clear" w:color="auto" w:fill="D9D9D9" w:themeFill="background1" w:themeFillShade="D9"/>
            <w:vAlign w:val="center"/>
          </w:tcPr>
          <w:p w14:paraId="04B2E82E" w14:textId="77777777" w:rsidR="00E2327A" w:rsidRPr="00037C81" w:rsidRDefault="00E2327A" w:rsidP="00037C81">
            <w:pPr>
              <w:rPr>
                <w:b/>
                <w:bCs/>
              </w:rPr>
            </w:pPr>
            <w:r w:rsidRPr="00037C81">
              <w:rPr>
                <w:b/>
                <w:bCs/>
              </w:rPr>
              <w:t>Type of Record(s)</w:t>
            </w:r>
          </w:p>
        </w:tc>
        <w:tc>
          <w:tcPr>
            <w:tcW w:w="2131" w:type="dxa"/>
            <w:shd w:val="clear" w:color="auto" w:fill="D9D9D9" w:themeFill="background1" w:themeFillShade="D9"/>
            <w:vAlign w:val="center"/>
          </w:tcPr>
          <w:p w14:paraId="5E81E462" w14:textId="77777777" w:rsidR="00E2327A" w:rsidRPr="00037C81" w:rsidRDefault="00E2327A" w:rsidP="00037C81">
            <w:pPr>
              <w:rPr>
                <w:b/>
                <w:bCs/>
              </w:rPr>
            </w:pPr>
            <w:r w:rsidRPr="00037C81">
              <w:rPr>
                <w:b/>
                <w:bCs/>
              </w:rPr>
              <w:t>Authority</w:t>
            </w:r>
          </w:p>
        </w:tc>
        <w:tc>
          <w:tcPr>
            <w:tcW w:w="4969" w:type="dxa"/>
            <w:shd w:val="clear" w:color="auto" w:fill="D9D9D9" w:themeFill="background1" w:themeFillShade="D9"/>
            <w:vAlign w:val="center"/>
          </w:tcPr>
          <w:p w14:paraId="38235BDE" w14:textId="77777777" w:rsidR="00E2327A" w:rsidRPr="00037C81" w:rsidRDefault="00E2327A" w:rsidP="00037C81">
            <w:pPr>
              <w:rPr>
                <w:b/>
                <w:bCs/>
              </w:rPr>
            </w:pPr>
            <w:r w:rsidRPr="00037C81">
              <w:rPr>
                <w:b/>
                <w:bCs/>
              </w:rPr>
              <w:t>Description</w:t>
            </w:r>
          </w:p>
        </w:tc>
      </w:tr>
      <w:tr w:rsidR="00E2327A" w:rsidRPr="00BE4700" w14:paraId="1222F596" w14:textId="77777777" w:rsidTr="00051BEC">
        <w:trPr>
          <w:cantSplit/>
        </w:trPr>
        <w:tc>
          <w:tcPr>
            <w:tcW w:w="2368" w:type="dxa"/>
            <w:shd w:val="clear" w:color="auto" w:fill="auto"/>
          </w:tcPr>
          <w:p w14:paraId="661DA7E4" w14:textId="77777777" w:rsidR="00E2327A" w:rsidRPr="00037C81" w:rsidRDefault="00E2327A" w:rsidP="00037C81">
            <w:pPr>
              <w:rPr>
                <w:b/>
                <w:bCs/>
                <w:iCs/>
              </w:rPr>
            </w:pPr>
            <w:r w:rsidRPr="00037C81">
              <w:rPr>
                <w:b/>
                <w:bCs/>
                <w:iCs/>
              </w:rPr>
              <w:t>Ohio Peace Officer Training Commission certifications exams</w:t>
            </w:r>
          </w:p>
        </w:tc>
        <w:tc>
          <w:tcPr>
            <w:tcW w:w="2131" w:type="dxa"/>
            <w:shd w:val="clear" w:color="auto" w:fill="auto"/>
          </w:tcPr>
          <w:p w14:paraId="1ABEC28D" w14:textId="77777777" w:rsidR="00E2327A" w:rsidRPr="000220B5" w:rsidRDefault="00E2327A" w:rsidP="00037C81">
            <w:pPr>
              <w:rPr>
                <w:iCs/>
              </w:rPr>
            </w:pPr>
            <w:r w:rsidRPr="000220B5">
              <w:rPr>
                <w:iCs/>
              </w:rPr>
              <w:t>R.C. 109.75(L)</w:t>
            </w:r>
          </w:p>
        </w:tc>
        <w:tc>
          <w:tcPr>
            <w:tcW w:w="4969" w:type="dxa"/>
            <w:shd w:val="clear" w:color="auto" w:fill="auto"/>
          </w:tcPr>
          <w:p w14:paraId="233A6434" w14:textId="77777777" w:rsidR="00E2327A" w:rsidRPr="000220B5" w:rsidRDefault="00E2327A" w:rsidP="00037C81">
            <w:pPr>
              <w:rPr>
                <w:iCs/>
              </w:rPr>
            </w:pPr>
            <w:r w:rsidRPr="000220B5">
              <w:rPr>
                <w:iCs/>
              </w:rPr>
              <w:t>Ohio Peace Officer Training Commission certification exams, either before or after completion. NOTE: the results of certification exams are public records.</w:t>
            </w:r>
          </w:p>
        </w:tc>
      </w:tr>
      <w:tr w:rsidR="00E2327A" w:rsidRPr="00BE4700" w14:paraId="76AF2663" w14:textId="77777777" w:rsidTr="00051BEC">
        <w:trPr>
          <w:cantSplit/>
        </w:trPr>
        <w:tc>
          <w:tcPr>
            <w:tcW w:w="2368" w:type="dxa"/>
            <w:shd w:val="clear" w:color="auto" w:fill="auto"/>
          </w:tcPr>
          <w:p w14:paraId="62343509" w14:textId="77777777" w:rsidR="00E2327A" w:rsidRPr="00037C81" w:rsidRDefault="00E2327A" w:rsidP="00037C81">
            <w:pPr>
              <w:rPr>
                <w:b/>
                <w:bCs/>
                <w:iCs/>
              </w:rPr>
            </w:pPr>
            <w:r w:rsidRPr="00037C81">
              <w:rPr>
                <w:b/>
                <w:bCs/>
                <w:iCs/>
              </w:rPr>
              <w:t>Probation/parole/post-release control</w:t>
            </w:r>
          </w:p>
        </w:tc>
        <w:tc>
          <w:tcPr>
            <w:tcW w:w="2131" w:type="dxa"/>
            <w:shd w:val="clear" w:color="auto" w:fill="auto"/>
          </w:tcPr>
          <w:p w14:paraId="07E3874B" w14:textId="77777777" w:rsidR="00E2327A" w:rsidRPr="000220B5" w:rsidRDefault="00E2327A" w:rsidP="00037C81">
            <w:pPr>
              <w:rPr>
                <w:iCs/>
              </w:rPr>
            </w:pPr>
            <w:r w:rsidRPr="000220B5">
              <w:rPr>
                <w:iCs/>
              </w:rPr>
              <w:t>R.C. 149.43(A)(1)(b)</w:t>
            </w:r>
          </w:p>
        </w:tc>
        <w:tc>
          <w:tcPr>
            <w:tcW w:w="4969" w:type="dxa"/>
            <w:shd w:val="clear" w:color="auto" w:fill="auto"/>
          </w:tcPr>
          <w:p w14:paraId="6714BC05" w14:textId="4B55E94F" w:rsidR="00E2327A" w:rsidRPr="000220B5" w:rsidRDefault="00E2327A" w:rsidP="00037C81">
            <w:pPr>
              <w:rPr>
                <w:iCs/>
              </w:rPr>
            </w:pPr>
            <w:r w:rsidRPr="000220B5">
              <w:rPr>
                <w:iCs/>
              </w:rPr>
              <w:t>Records pertaining to probation and parole proceedings or proceedings related to the imposition of community control sanctions,</w:t>
            </w:r>
            <w:r w:rsidRPr="000220B5">
              <w:rPr>
                <w:rStyle w:val="EndnoteReference"/>
                <w:rFonts w:asciiTheme="minorHAnsi" w:hAnsiTheme="minorHAnsi" w:cstheme="minorHAnsi"/>
                <w:iCs/>
              </w:rPr>
              <w:endnoteReference w:id="565"/>
            </w:r>
            <w:r w:rsidRPr="000220B5">
              <w:rPr>
                <w:iCs/>
              </w:rPr>
              <w:t xml:space="preserve"> post-release control sanctions,</w:t>
            </w:r>
            <w:r w:rsidRPr="000220B5">
              <w:rPr>
                <w:rStyle w:val="EndnoteReference"/>
                <w:rFonts w:asciiTheme="minorHAnsi" w:hAnsiTheme="minorHAnsi" w:cstheme="minorHAnsi"/>
                <w:iCs/>
              </w:rPr>
              <w:endnoteReference w:id="566"/>
            </w:r>
            <w:r w:rsidRPr="000220B5">
              <w:rPr>
                <w:iCs/>
              </w:rPr>
              <w:t xml:space="preserve"> or to proceedings related to determinations under R.C. 2967.271 regarding the release or continued incarceration of an offender to whom that section applies. Examples of records covered by this exemption include</w:t>
            </w:r>
            <w:r w:rsidR="00AB6AEB">
              <w:rPr>
                <w:iCs/>
              </w:rPr>
              <w:t xml:space="preserve"> p</w:t>
            </w:r>
            <w:r w:rsidRPr="000220B5">
              <w:rPr>
                <w:iCs/>
              </w:rPr>
              <w:t>re-sentence investigation reports;</w:t>
            </w:r>
            <w:r w:rsidRPr="000220B5">
              <w:rPr>
                <w:rStyle w:val="EndnoteReference"/>
                <w:rFonts w:asciiTheme="minorHAnsi" w:hAnsiTheme="minorHAnsi" w:cstheme="minorHAnsi"/>
                <w:iCs/>
              </w:rPr>
              <w:endnoteReference w:id="567"/>
            </w:r>
            <w:r w:rsidR="00AB6AEB">
              <w:rPr>
                <w:iCs/>
              </w:rPr>
              <w:t xml:space="preserve"> r</w:t>
            </w:r>
            <w:r w:rsidRPr="000220B5">
              <w:rPr>
                <w:iCs/>
              </w:rPr>
              <w:t>ecords relied on to compile a pre-sentence investigation report;</w:t>
            </w:r>
            <w:r w:rsidRPr="000220B5">
              <w:rPr>
                <w:rStyle w:val="EndnoteReference"/>
                <w:rFonts w:asciiTheme="minorHAnsi" w:hAnsiTheme="minorHAnsi" w:cstheme="minorHAnsi"/>
                <w:iCs/>
              </w:rPr>
              <w:endnoteReference w:id="568"/>
            </w:r>
            <w:r w:rsidR="00AB6AEB">
              <w:rPr>
                <w:iCs/>
              </w:rPr>
              <w:t xml:space="preserve"> d</w:t>
            </w:r>
            <w:r w:rsidRPr="000220B5">
              <w:rPr>
                <w:iCs/>
              </w:rPr>
              <w:t>ocuments reviewed by the Parole Board in</w:t>
            </w:r>
            <w:r w:rsidR="00AB6AEB">
              <w:rPr>
                <w:iCs/>
              </w:rPr>
              <w:t xml:space="preserve"> </w:t>
            </w:r>
            <w:r w:rsidRPr="000220B5">
              <w:rPr>
                <w:iCs/>
              </w:rPr>
              <w:t>preparation for a parole hearing;</w:t>
            </w:r>
            <w:r w:rsidRPr="000220B5">
              <w:rPr>
                <w:rStyle w:val="EndnoteReference"/>
                <w:rFonts w:asciiTheme="minorHAnsi" w:hAnsiTheme="minorHAnsi" w:cstheme="minorHAnsi"/>
                <w:iCs/>
              </w:rPr>
              <w:endnoteReference w:id="569"/>
            </w:r>
            <w:r w:rsidRPr="000220B5">
              <w:rPr>
                <w:iCs/>
              </w:rPr>
              <w:t xml:space="preserve"> and</w:t>
            </w:r>
          </w:p>
          <w:p w14:paraId="217DEB0D" w14:textId="0AFF7AC9" w:rsidR="00E2327A" w:rsidRPr="000220B5" w:rsidRDefault="00AB6AEB" w:rsidP="00037C81">
            <w:pPr>
              <w:rPr>
                <w:iCs/>
              </w:rPr>
            </w:pPr>
            <w:r>
              <w:rPr>
                <w:iCs/>
              </w:rPr>
              <w:t>r</w:t>
            </w:r>
            <w:r w:rsidR="00E2327A" w:rsidRPr="000220B5">
              <w:rPr>
                <w:iCs/>
              </w:rPr>
              <w:t>ecords of parole proceedings.</w:t>
            </w:r>
            <w:r w:rsidR="00E2327A" w:rsidRPr="000220B5">
              <w:rPr>
                <w:rStyle w:val="EndnoteReference"/>
                <w:rFonts w:asciiTheme="minorHAnsi" w:hAnsiTheme="minorHAnsi" w:cstheme="minorHAnsi"/>
                <w:iCs/>
              </w:rPr>
              <w:endnoteReference w:id="570"/>
            </w:r>
          </w:p>
        </w:tc>
      </w:tr>
      <w:tr w:rsidR="00E2327A" w:rsidRPr="00BE4700" w14:paraId="5ECA2CB0" w14:textId="77777777" w:rsidTr="00051BEC">
        <w:trPr>
          <w:cantSplit/>
        </w:trPr>
        <w:tc>
          <w:tcPr>
            <w:tcW w:w="2368" w:type="dxa"/>
            <w:shd w:val="clear" w:color="auto" w:fill="auto"/>
          </w:tcPr>
          <w:p w14:paraId="3860ADE9" w14:textId="77777777" w:rsidR="00E2327A" w:rsidRPr="00037C81" w:rsidRDefault="00E2327A" w:rsidP="00037C81">
            <w:pPr>
              <w:rPr>
                <w:b/>
                <w:bCs/>
              </w:rPr>
            </w:pPr>
            <w:r w:rsidRPr="00037C81">
              <w:rPr>
                <w:b/>
                <w:bCs/>
              </w:rPr>
              <w:lastRenderedPageBreak/>
              <w:t>DNA records</w:t>
            </w:r>
          </w:p>
        </w:tc>
        <w:tc>
          <w:tcPr>
            <w:tcW w:w="2131" w:type="dxa"/>
            <w:shd w:val="clear" w:color="auto" w:fill="auto"/>
          </w:tcPr>
          <w:p w14:paraId="6FFC868E" w14:textId="77777777" w:rsidR="00E2327A" w:rsidRPr="00037C81" w:rsidRDefault="00E2327A" w:rsidP="00037C81">
            <w:r w:rsidRPr="00037C81">
              <w:t>R.C. 149.43(A)(1)(j)</w:t>
            </w:r>
          </w:p>
        </w:tc>
        <w:tc>
          <w:tcPr>
            <w:tcW w:w="4969" w:type="dxa"/>
            <w:shd w:val="clear" w:color="auto" w:fill="auto"/>
          </w:tcPr>
          <w:p w14:paraId="45C2D74B" w14:textId="77777777" w:rsidR="00E2327A" w:rsidRPr="00037C81" w:rsidRDefault="00E2327A" w:rsidP="00037C81">
            <w:pPr>
              <w:rPr>
                <w:highlight w:val="yellow"/>
              </w:rPr>
            </w:pPr>
            <w:r w:rsidRPr="00037C81">
              <w:t>DNA records stored in the state DNA database under R.C. 109.573. NOTE: the results of DNA tests of an inmate who obtains post-conviction testing are not exempt under R.C. 2953.81(B).</w:t>
            </w:r>
          </w:p>
        </w:tc>
      </w:tr>
      <w:tr w:rsidR="00E2327A" w:rsidRPr="00BE4700" w14:paraId="5E117A17" w14:textId="77777777" w:rsidTr="00051BEC">
        <w:trPr>
          <w:cantSplit/>
        </w:trPr>
        <w:tc>
          <w:tcPr>
            <w:tcW w:w="2368" w:type="dxa"/>
            <w:shd w:val="clear" w:color="auto" w:fill="auto"/>
          </w:tcPr>
          <w:p w14:paraId="0D2150FB" w14:textId="77777777" w:rsidR="00E2327A" w:rsidRPr="00037C81" w:rsidRDefault="00E2327A" w:rsidP="00037C81">
            <w:pPr>
              <w:rPr>
                <w:b/>
                <w:bCs/>
              </w:rPr>
            </w:pPr>
            <w:r w:rsidRPr="00037C81">
              <w:rPr>
                <w:b/>
                <w:bCs/>
              </w:rPr>
              <w:t>Inmate records</w:t>
            </w:r>
          </w:p>
        </w:tc>
        <w:tc>
          <w:tcPr>
            <w:tcW w:w="2131" w:type="dxa"/>
            <w:shd w:val="clear" w:color="auto" w:fill="auto"/>
          </w:tcPr>
          <w:p w14:paraId="522C5605" w14:textId="77777777" w:rsidR="00E2327A" w:rsidRPr="00037C81" w:rsidRDefault="00E2327A" w:rsidP="00037C81">
            <w:r w:rsidRPr="00037C81">
              <w:t>R.C. 149.43(A)(1)(k)</w:t>
            </w:r>
          </w:p>
        </w:tc>
        <w:tc>
          <w:tcPr>
            <w:tcW w:w="4969" w:type="dxa"/>
            <w:shd w:val="clear" w:color="auto" w:fill="auto"/>
          </w:tcPr>
          <w:p w14:paraId="09ECD76F" w14:textId="77777777" w:rsidR="00E2327A" w:rsidRPr="00037C81" w:rsidRDefault="00E2327A" w:rsidP="00037C81">
            <w:r w:rsidRPr="00037C81">
              <w:t>Inmate records released by the Department of Rehabilitation and Correction to the Department of Youth Services or a court of record under R.C. 5120.21(E).</w:t>
            </w:r>
          </w:p>
        </w:tc>
      </w:tr>
      <w:tr w:rsidR="00E2327A" w:rsidRPr="00EE7E0D" w14:paraId="5EFC32D1" w14:textId="77777777" w:rsidTr="00051BEC">
        <w:trPr>
          <w:cantSplit/>
        </w:trPr>
        <w:tc>
          <w:tcPr>
            <w:tcW w:w="2368" w:type="dxa"/>
            <w:shd w:val="clear" w:color="auto" w:fill="auto"/>
          </w:tcPr>
          <w:p w14:paraId="5F85AA1B" w14:textId="77777777" w:rsidR="00E2327A" w:rsidRPr="00037C81" w:rsidRDefault="00E2327A" w:rsidP="00037C81">
            <w:pPr>
              <w:rPr>
                <w:b/>
                <w:bCs/>
              </w:rPr>
            </w:pPr>
            <w:r w:rsidRPr="00037C81">
              <w:rPr>
                <w:b/>
                <w:bCs/>
              </w:rPr>
              <w:t>Lethal injection</w:t>
            </w:r>
          </w:p>
        </w:tc>
        <w:tc>
          <w:tcPr>
            <w:tcW w:w="2131" w:type="dxa"/>
            <w:shd w:val="clear" w:color="auto" w:fill="auto"/>
          </w:tcPr>
          <w:p w14:paraId="25DBC146" w14:textId="77777777" w:rsidR="00E2327A" w:rsidRPr="00037C81" w:rsidRDefault="00E2327A" w:rsidP="00037C81">
            <w:r w:rsidRPr="00037C81">
              <w:t>R.C. 149.43(A)(1)(cc)</w:t>
            </w:r>
          </w:p>
        </w:tc>
        <w:tc>
          <w:tcPr>
            <w:tcW w:w="4969" w:type="dxa"/>
            <w:shd w:val="clear" w:color="auto" w:fill="auto"/>
          </w:tcPr>
          <w:p w14:paraId="7A9270BE" w14:textId="77777777" w:rsidR="00E2327A" w:rsidRPr="00037C81" w:rsidRDefault="00E2327A" w:rsidP="00037C81">
            <w:r w:rsidRPr="00037C81">
              <w:t>Information and records concerning drugs used for lethal injections under R.C. 2949.221(B) and (C).</w:t>
            </w:r>
          </w:p>
        </w:tc>
      </w:tr>
      <w:tr w:rsidR="00E2327A" w:rsidRPr="00EE7E0D" w14:paraId="28C04C7C" w14:textId="77777777" w:rsidTr="00051BEC">
        <w:trPr>
          <w:cantSplit/>
        </w:trPr>
        <w:tc>
          <w:tcPr>
            <w:tcW w:w="2368" w:type="dxa"/>
            <w:shd w:val="clear" w:color="auto" w:fill="auto"/>
          </w:tcPr>
          <w:p w14:paraId="0C365744" w14:textId="77777777" w:rsidR="00E2327A" w:rsidRPr="00037C81" w:rsidRDefault="00E2327A" w:rsidP="00037C81">
            <w:pPr>
              <w:rPr>
                <w:b/>
                <w:bCs/>
              </w:rPr>
            </w:pPr>
            <w:r w:rsidRPr="00037C81">
              <w:rPr>
                <w:b/>
                <w:bCs/>
              </w:rPr>
              <w:t>Military orders</w:t>
            </w:r>
          </w:p>
        </w:tc>
        <w:tc>
          <w:tcPr>
            <w:tcW w:w="2131" w:type="dxa"/>
            <w:shd w:val="clear" w:color="auto" w:fill="auto"/>
          </w:tcPr>
          <w:p w14:paraId="1BBE8F4A" w14:textId="77777777" w:rsidR="00E2327A" w:rsidRPr="00037C81" w:rsidRDefault="00E2327A" w:rsidP="00037C81">
            <w:r w:rsidRPr="00037C81">
              <w:t>R.C. 149.43(A)(1)(ff)</w:t>
            </w:r>
          </w:p>
        </w:tc>
        <w:tc>
          <w:tcPr>
            <w:tcW w:w="4969" w:type="dxa"/>
            <w:shd w:val="clear" w:color="auto" w:fill="auto"/>
          </w:tcPr>
          <w:p w14:paraId="788BDD93" w14:textId="77777777" w:rsidR="00E2327A" w:rsidRPr="00037C81" w:rsidRDefault="00E2327A" w:rsidP="00037C81">
            <w:r w:rsidRPr="00037C81">
              <w:t xml:space="preserve">Orders for active military service of an individual serving or with previous service in the U.S. armed forces, including a reserve component, or the Ohio organized militia. </w:t>
            </w:r>
          </w:p>
        </w:tc>
      </w:tr>
      <w:tr w:rsidR="00E2327A" w:rsidRPr="00EE7E0D" w14:paraId="421BF4B0" w14:textId="77777777" w:rsidTr="00051BEC">
        <w:trPr>
          <w:cantSplit/>
        </w:trPr>
        <w:tc>
          <w:tcPr>
            <w:tcW w:w="2368" w:type="dxa"/>
            <w:shd w:val="clear" w:color="auto" w:fill="auto"/>
          </w:tcPr>
          <w:p w14:paraId="74430317" w14:textId="6CEB9163" w:rsidR="00E2327A" w:rsidRPr="00037C81" w:rsidRDefault="00783093" w:rsidP="00037C81">
            <w:pPr>
              <w:rPr>
                <w:b/>
                <w:bCs/>
              </w:rPr>
            </w:pPr>
            <w:r>
              <w:rPr>
                <w:b/>
                <w:bCs/>
              </w:rPr>
              <w:t>V</w:t>
            </w:r>
            <w:r w:rsidR="00E2327A" w:rsidRPr="00037C81">
              <w:rPr>
                <w:b/>
                <w:bCs/>
              </w:rPr>
              <w:t xml:space="preserve">ictim </w:t>
            </w:r>
            <w:r>
              <w:rPr>
                <w:b/>
                <w:bCs/>
              </w:rPr>
              <w:t xml:space="preserve">and witness </w:t>
            </w:r>
            <w:r w:rsidR="00E2327A" w:rsidRPr="00037C81">
              <w:rPr>
                <w:b/>
                <w:bCs/>
              </w:rPr>
              <w:t>telephone numbers</w:t>
            </w:r>
          </w:p>
        </w:tc>
        <w:tc>
          <w:tcPr>
            <w:tcW w:w="2131" w:type="dxa"/>
            <w:shd w:val="clear" w:color="auto" w:fill="auto"/>
          </w:tcPr>
          <w:p w14:paraId="49DA8596" w14:textId="77777777" w:rsidR="00E2327A" w:rsidRPr="00037C81" w:rsidRDefault="00E2327A" w:rsidP="00037C81">
            <w:r w:rsidRPr="00037C81">
              <w:t>R.C. 149.43(A)(1)(mm)</w:t>
            </w:r>
          </w:p>
        </w:tc>
        <w:tc>
          <w:tcPr>
            <w:tcW w:w="4969" w:type="dxa"/>
            <w:shd w:val="clear" w:color="auto" w:fill="auto"/>
          </w:tcPr>
          <w:p w14:paraId="5F43ABA0" w14:textId="77777777" w:rsidR="00E2327A" w:rsidRPr="00037C81" w:rsidRDefault="00E2327A" w:rsidP="00037C81">
            <w:r w:rsidRPr="00037C81">
              <w:t>Telephone numbers of victims and witnesses to a crime listed on a law enforcement record or report.</w:t>
            </w:r>
          </w:p>
        </w:tc>
      </w:tr>
      <w:tr w:rsidR="00E2327A" w:rsidRPr="00BE4700" w14:paraId="72BA64D6" w14:textId="77777777" w:rsidTr="00051BEC">
        <w:trPr>
          <w:cantSplit/>
        </w:trPr>
        <w:tc>
          <w:tcPr>
            <w:tcW w:w="2368" w:type="dxa"/>
            <w:shd w:val="clear" w:color="auto" w:fill="auto"/>
          </w:tcPr>
          <w:p w14:paraId="4586DC6E" w14:textId="77777777" w:rsidR="00E2327A" w:rsidRPr="00037C81" w:rsidRDefault="00E2327A" w:rsidP="00037C81">
            <w:pPr>
              <w:rPr>
                <w:b/>
                <w:bCs/>
              </w:rPr>
            </w:pPr>
            <w:r w:rsidRPr="00037C81">
              <w:rPr>
                <w:b/>
                <w:bCs/>
              </w:rPr>
              <w:t>Motor vehicle accident telephone numbers</w:t>
            </w:r>
          </w:p>
        </w:tc>
        <w:tc>
          <w:tcPr>
            <w:tcW w:w="2131" w:type="dxa"/>
            <w:shd w:val="clear" w:color="auto" w:fill="auto"/>
          </w:tcPr>
          <w:p w14:paraId="61C32F4A" w14:textId="77777777" w:rsidR="00E2327A" w:rsidRPr="00037C81" w:rsidRDefault="00E2327A" w:rsidP="00037C81">
            <w:r w:rsidRPr="00037C81">
              <w:t>R.C. 149.43(A)(1)(oo)</w:t>
            </w:r>
          </w:p>
        </w:tc>
        <w:tc>
          <w:tcPr>
            <w:tcW w:w="4969" w:type="dxa"/>
            <w:shd w:val="clear" w:color="auto" w:fill="auto"/>
          </w:tcPr>
          <w:p w14:paraId="17FA2717" w14:textId="77777777" w:rsidR="00E2327A" w:rsidRPr="00037C81" w:rsidRDefault="00E2327A" w:rsidP="00037C81">
            <w:pPr>
              <w:rPr>
                <w:highlight w:val="yellow"/>
              </w:rPr>
            </w:pPr>
            <w:r w:rsidRPr="00037C81">
              <w:t>Telephone numbers of parties to a motor vehicle accident listed on a law enforcement record or report within 30 days of the accident.</w:t>
            </w:r>
          </w:p>
        </w:tc>
      </w:tr>
      <w:tr w:rsidR="00E2327A" w:rsidRPr="00BE4700" w14:paraId="161FE8F4" w14:textId="77777777" w:rsidTr="00051BEC">
        <w:trPr>
          <w:cantSplit/>
        </w:trPr>
        <w:tc>
          <w:tcPr>
            <w:tcW w:w="2368" w:type="dxa"/>
            <w:shd w:val="clear" w:color="auto" w:fill="auto"/>
          </w:tcPr>
          <w:p w14:paraId="73BB4A85" w14:textId="77777777" w:rsidR="00E2327A" w:rsidRPr="00037C81" w:rsidRDefault="00E2327A" w:rsidP="00037C81">
            <w:pPr>
              <w:rPr>
                <w:b/>
                <w:bCs/>
              </w:rPr>
            </w:pPr>
            <w:r w:rsidRPr="00037C81">
              <w:rPr>
                <w:b/>
                <w:bCs/>
              </w:rPr>
              <w:t>Photographs of undercover officers</w:t>
            </w:r>
          </w:p>
        </w:tc>
        <w:tc>
          <w:tcPr>
            <w:tcW w:w="2131" w:type="dxa"/>
            <w:shd w:val="clear" w:color="auto" w:fill="auto"/>
          </w:tcPr>
          <w:p w14:paraId="7326B5FE" w14:textId="77777777" w:rsidR="00E2327A" w:rsidRPr="00037C81" w:rsidRDefault="00E2327A" w:rsidP="00037C81">
            <w:r w:rsidRPr="00037C81">
              <w:t>R.C. 149.43(A)(7)(g)</w:t>
            </w:r>
          </w:p>
        </w:tc>
        <w:tc>
          <w:tcPr>
            <w:tcW w:w="4969" w:type="dxa"/>
            <w:shd w:val="clear" w:color="auto" w:fill="auto"/>
          </w:tcPr>
          <w:p w14:paraId="2F20BDD9" w14:textId="77777777" w:rsidR="00E2327A" w:rsidRPr="00037C81" w:rsidRDefault="00E2327A" w:rsidP="00037C81">
            <w:r w:rsidRPr="00037C81">
              <w:t>Photographs of peace officers with undercover or plain clothes positions or assignments.</w:t>
            </w:r>
          </w:p>
        </w:tc>
      </w:tr>
      <w:tr w:rsidR="00E2327A" w:rsidRPr="00BE4700" w14:paraId="6177D8D4" w14:textId="77777777" w:rsidTr="00051BEC">
        <w:trPr>
          <w:cantSplit/>
        </w:trPr>
        <w:tc>
          <w:tcPr>
            <w:tcW w:w="2368" w:type="dxa"/>
            <w:shd w:val="clear" w:color="auto" w:fill="auto"/>
          </w:tcPr>
          <w:p w14:paraId="6138982E" w14:textId="77777777" w:rsidR="00E2327A" w:rsidRPr="00037C81" w:rsidRDefault="00E2327A" w:rsidP="00037C81">
            <w:pPr>
              <w:rPr>
                <w:b/>
                <w:bCs/>
              </w:rPr>
            </w:pPr>
            <w:r w:rsidRPr="00037C81">
              <w:rPr>
                <w:b/>
                <w:bCs/>
              </w:rPr>
              <w:t>Security records</w:t>
            </w:r>
          </w:p>
        </w:tc>
        <w:tc>
          <w:tcPr>
            <w:tcW w:w="2131" w:type="dxa"/>
            <w:shd w:val="clear" w:color="auto" w:fill="auto"/>
          </w:tcPr>
          <w:p w14:paraId="5332F7BF" w14:textId="77777777" w:rsidR="00E2327A" w:rsidRPr="00037C81" w:rsidRDefault="00E2327A" w:rsidP="00037C81">
            <w:r w:rsidRPr="00037C81">
              <w:t>R.C. 149.433(A)(1)-(2)</w:t>
            </w:r>
          </w:p>
        </w:tc>
        <w:tc>
          <w:tcPr>
            <w:tcW w:w="4969" w:type="dxa"/>
            <w:shd w:val="clear" w:color="auto" w:fill="auto"/>
          </w:tcPr>
          <w:p w14:paraId="458F9D3B" w14:textId="77777777" w:rsidR="00180E03" w:rsidRDefault="00E2327A" w:rsidP="00037C81">
            <w:r w:rsidRPr="00037C81">
              <w:t xml:space="preserve">Information directly used for protecting or maintaining the security of a public office against attack, interference, or sabotage; or to prevent, mitigate, or respond to acts of terrorism. </w:t>
            </w:r>
          </w:p>
          <w:p w14:paraId="1CD8D2E9" w14:textId="77777777" w:rsidR="00AB6AEB" w:rsidRPr="00037C81" w:rsidRDefault="00AB6AEB" w:rsidP="00037C81"/>
          <w:p w14:paraId="65574ED3" w14:textId="6CAF5A3F" w:rsidR="00E2327A" w:rsidRPr="00037C81" w:rsidRDefault="00E2327A" w:rsidP="00037C81">
            <w:r w:rsidRPr="00037C81">
              <w:t>Refer to Chapter Three</w:t>
            </w:r>
            <w:r w:rsidR="00180E03" w:rsidRPr="00037C81">
              <w:t xml:space="preserve">: </w:t>
            </w:r>
            <w:r w:rsidR="00633746" w:rsidRPr="00037C81">
              <w:t>F</w:t>
            </w:r>
            <w:r w:rsidR="00180E03" w:rsidRPr="00037C81">
              <w:t>.4.a. “Security records,”</w:t>
            </w:r>
            <w:r w:rsidRPr="00037C81">
              <w:t xml:space="preserve"> for additional discussion of this exemption.</w:t>
            </w:r>
          </w:p>
        </w:tc>
      </w:tr>
      <w:tr w:rsidR="00E2327A" w:rsidRPr="00BE4700" w14:paraId="58ACAE7C" w14:textId="77777777" w:rsidTr="00051BEC">
        <w:trPr>
          <w:cantSplit/>
        </w:trPr>
        <w:tc>
          <w:tcPr>
            <w:tcW w:w="2368" w:type="dxa"/>
            <w:shd w:val="clear" w:color="auto" w:fill="auto"/>
          </w:tcPr>
          <w:p w14:paraId="4DC63799" w14:textId="77777777" w:rsidR="00E2327A" w:rsidRPr="00037C81" w:rsidRDefault="00E2327A" w:rsidP="00037C81">
            <w:pPr>
              <w:rPr>
                <w:b/>
                <w:bCs/>
              </w:rPr>
            </w:pPr>
            <w:r w:rsidRPr="00037C81">
              <w:rPr>
                <w:b/>
                <w:bCs/>
              </w:rPr>
              <w:t>Infrastructure records</w:t>
            </w:r>
          </w:p>
        </w:tc>
        <w:tc>
          <w:tcPr>
            <w:tcW w:w="2131" w:type="dxa"/>
            <w:shd w:val="clear" w:color="auto" w:fill="auto"/>
          </w:tcPr>
          <w:p w14:paraId="484FC8B7" w14:textId="77777777" w:rsidR="00E2327A" w:rsidRPr="00037C81" w:rsidRDefault="00E2327A" w:rsidP="00037C81">
            <w:r w:rsidRPr="00037C81">
              <w:t>R.C. 149.433(B)(2)-(3)</w:t>
            </w:r>
          </w:p>
        </w:tc>
        <w:tc>
          <w:tcPr>
            <w:tcW w:w="4969" w:type="dxa"/>
            <w:shd w:val="clear" w:color="auto" w:fill="auto"/>
          </w:tcPr>
          <w:p w14:paraId="714EA815" w14:textId="77777777" w:rsidR="00180E03" w:rsidRDefault="00E2327A" w:rsidP="00037C81">
            <w:r w:rsidRPr="00037C81">
              <w:t xml:space="preserve">Information that discloses the configuration of a public office’s critical systems. </w:t>
            </w:r>
          </w:p>
          <w:p w14:paraId="77CD5441" w14:textId="77777777" w:rsidR="00AB6AEB" w:rsidRPr="00037C81" w:rsidRDefault="00AB6AEB" w:rsidP="00037C81"/>
          <w:p w14:paraId="37D3F00B" w14:textId="1E262291" w:rsidR="00E2327A" w:rsidRPr="00037C81" w:rsidRDefault="00E2327A" w:rsidP="00037C81">
            <w:r w:rsidRPr="00037C81">
              <w:t>Refer to Chapter Three:</w:t>
            </w:r>
            <w:r w:rsidR="00180E03" w:rsidRPr="00037C81">
              <w:t xml:space="preserve"> </w:t>
            </w:r>
            <w:r w:rsidR="00633746" w:rsidRPr="00037C81">
              <w:t>F</w:t>
            </w:r>
            <w:r w:rsidR="00180E03" w:rsidRPr="00037C81">
              <w:t>.4.b. “Infrastructure records,”</w:t>
            </w:r>
            <w:r w:rsidRPr="00037C81">
              <w:t xml:space="preserve"> for additional discussion of this exemption.</w:t>
            </w:r>
          </w:p>
        </w:tc>
      </w:tr>
      <w:tr w:rsidR="00E2327A" w:rsidRPr="00BE4700" w14:paraId="7E82B1A2" w14:textId="77777777" w:rsidTr="00051BEC">
        <w:trPr>
          <w:cantSplit/>
        </w:trPr>
        <w:tc>
          <w:tcPr>
            <w:tcW w:w="2368" w:type="dxa"/>
            <w:shd w:val="clear" w:color="auto" w:fill="auto"/>
          </w:tcPr>
          <w:p w14:paraId="73AEB8BD" w14:textId="77777777" w:rsidR="00E2327A" w:rsidRPr="00037C81" w:rsidRDefault="00E2327A" w:rsidP="00037C81">
            <w:pPr>
              <w:rPr>
                <w:b/>
                <w:bCs/>
                <w:iCs/>
              </w:rPr>
            </w:pPr>
            <w:r w:rsidRPr="00037C81">
              <w:rPr>
                <w:b/>
                <w:bCs/>
                <w:iCs/>
              </w:rPr>
              <w:t>Autopsy photos</w:t>
            </w:r>
          </w:p>
        </w:tc>
        <w:tc>
          <w:tcPr>
            <w:tcW w:w="2131" w:type="dxa"/>
            <w:shd w:val="clear" w:color="auto" w:fill="auto"/>
          </w:tcPr>
          <w:p w14:paraId="10F227DE" w14:textId="77777777" w:rsidR="00E2327A" w:rsidRPr="000220B5" w:rsidRDefault="00E2327A" w:rsidP="00037C81">
            <w:pPr>
              <w:rPr>
                <w:iCs/>
              </w:rPr>
            </w:pPr>
            <w:r w:rsidRPr="000220B5">
              <w:rPr>
                <w:iCs/>
              </w:rPr>
              <w:t>R.C. 313.10(D)</w:t>
            </w:r>
          </w:p>
        </w:tc>
        <w:tc>
          <w:tcPr>
            <w:tcW w:w="4969" w:type="dxa"/>
            <w:shd w:val="clear" w:color="auto" w:fill="auto"/>
          </w:tcPr>
          <w:p w14:paraId="34F03735" w14:textId="77777777" w:rsidR="00E2327A" w:rsidRPr="000220B5" w:rsidRDefault="00E2327A" w:rsidP="00037C81">
            <w:pPr>
              <w:rPr>
                <w:iCs/>
              </w:rPr>
            </w:pPr>
            <w:r w:rsidRPr="000220B5">
              <w:rPr>
                <w:iCs/>
              </w:rPr>
              <w:t>Autopsy photos of the decedent. NOTE: a journalist may, upon written request, inspect these records but cannot copy them.</w:t>
            </w:r>
          </w:p>
        </w:tc>
      </w:tr>
      <w:tr w:rsidR="00E2327A" w:rsidRPr="00BE4700" w14:paraId="728F4E50" w14:textId="77777777" w:rsidTr="00051BEC">
        <w:trPr>
          <w:cantSplit/>
        </w:trPr>
        <w:tc>
          <w:tcPr>
            <w:tcW w:w="2368" w:type="dxa"/>
            <w:shd w:val="clear" w:color="auto" w:fill="auto"/>
          </w:tcPr>
          <w:p w14:paraId="76E59BB2" w14:textId="77777777" w:rsidR="00E2327A" w:rsidRPr="00037C81" w:rsidRDefault="00E2327A" w:rsidP="00037C81">
            <w:pPr>
              <w:rPr>
                <w:b/>
                <w:bCs/>
                <w:iCs/>
              </w:rPr>
            </w:pPr>
            <w:r w:rsidRPr="00037C81">
              <w:rPr>
                <w:b/>
                <w:bCs/>
                <w:iCs/>
              </w:rPr>
              <w:t>Security of electronic records</w:t>
            </w:r>
          </w:p>
        </w:tc>
        <w:tc>
          <w:tcPr>
            <w:tcW w:w="2131" w:type="dxa"/>
            <w:shd w:val="clear" w:color="auto" w:fill="auto"/>
          </w:tcPr>
          <w:p w14:paraId="6192E1A4" w14:textId="77777777" w:rsidR="00E2327A" w:rsidRPr="000220B5" w:rsidRDefault="00E2327A" w:rsidP="00037C81">
            <w:pPr>
              <w:rPr>
                <w:iCs/>
              </w:rPr>
            </w:pPr>
            <w:r w:rsidRPr="000220B5">
              <w:rPr>
                <w:iCs/>
              </w:rPr>
              <w:t>R.C. 1306.23</w:t>
            </w:r>
          </w:p>
        </w:tc>
        <w:tc>
          <w:tcPr>
            <w:tcW w:w="4969" w:type="dxa"/>
            <w:shd w:val="clear" w:color="auto" w:fill="auto"/>
          </w:tcPr>
          <w:p w14:paraId="5AE732A8" w14:textId="77777777" w:rsidR="00E2327A" w:rsidRPr="000220B5" w:rsidRDefault="00E2327A" w:rsidP="00037C81">
            <w:pPr>
              <w:rPr>
                <w:iCs/>
              </w:rPr>
            </w:pPr>
            <w:r w:rsidRPr="000220B5">
              <w:rPr>
                <w:iCs/>
              </w:rPr>
              <w:t>Information that would jeopardize the state’s continued use or security of any computer or telecommunications devices or services associated with electronic signatures, electronic records, or electronic transactions.</w:t>
            </w:r>
          </w:p>
        </w:tc>
      </w:tr>
      <w:tr w:rsidR="00E2327A" w:rsidRPr="00BE4700" w14:paraId="5278D788" w14:textId="77777777" w:rsidTr="00051BEC">
        <w:trPr>
          <w:cantSplit/>
        </w:trPr>
        <w:tc>
          <w:tcPr>
            <w:tcW w:w="2368" w:type="dxa"/>
            <w:shd w:val="clear" w:color="auto" w:fill="auto"/>
          </w:tcPr>
          <w:p w14:paraId="7EBC59DB" w14:textId="77777777" w:rsidR="00E2327A" w:rsidRPr="00037C81" w:rsidRDefault="00E2327A" w:rsidP="00037C81">
            <w:pPr>
              <w:rPr>
                <w:b/>
                <w:bCs/>
                <w:iCs/>
              </w:rPr>
            </w:pPr>
            <w:r w:rsidRPr="00037C81">
              <w:rPr>
                <w:b/>
                <w:bCs/>
                <w:iCs/>
              </w:rPr>
              <w:lastRenderedPageBreak/>
              <w:t>Name of person making report of abuse</w:t>
            </w:r>
          </w:p>
        </w:tc>
        <w:tc>
          <w:tcPr>
            <w:tcW w:w="2131" w:type="dxa"/>
            <w:shd w:val="clear" w:color="auto" w:fill="auto"/>
          </w:tcPr>
          <w:p w14:paraId="1AD01E12" w14:textId="77777777" w:rsidR="00E2327A" w:rsidRPr="000220B5" w:rsidRDefault="00E2327A" w:rsidP="00037C81">
            <w:pPr>
              <w:rPr>
                <w:iCs/>
              </w:rPr>
            </w:pPr>
            <w:r w:rsidRPr="000220B5">
              <w:rPr>
                <w:iCs/>
              </w:rPr>
              <w:t>R.C. 2151.421(I)(1)</w:t>
            </w:r>
          </w:p>
        </w:tc>
        <w:tc>
          <w:tcPr>
            <w:tcW w:w="4969" w:type="dxa"/>
            <w:shd w:val="clear" w:color="auto" w:fill="auto"/>
          </w:tcPr>
          <w:p w14:paraId="3D1E6797" w14:textId="77777777" w:rsidR="00E2327A" w:rsidRPr="000220B5" w:rsidRDefault="00E2327A" w:rsidP="00037C81">
            <w:pPr>
              <w:rPr>
                <w:iCs/>
              </w:rPr>
            </w:pPr>
            <w:r w:rsidRPr="000220B5">
              <w:rPr>
                <w:iCs/>
              </w:rPr>
              <w:t>Report made by someone with knowledge of child abuse or neglect to either the public children services agency or a peace officer in the county in which the child resides; includes the name of the person who made the report.</w:t>
            </w:r>
          </w:p>
        </w:tc>
      </w:tr>
      <w:tr w:rsidR="00E2327A" w:rsidRPr="00BE4700" w14:paraId="73F37DBD" w14:textId="77777777" w:rsidTr="00051BEC">
        <w:trPr>
          <w:cantSplit/>
        </w:trPr>
        <w:tc>
          <w:tcPr>
            <w:tcW w:w="2368" w:type="dxa"/>
            <w:shd w:val="clear" w:color="auto" w:fill="auto"/>
          </w:tcPr>
          <w:p w14:paraId="00F167C8" w14:textId="77777777" w:rsidR="00E2327A" w:rsidRPr="00037C81" w:rsidRDefault="00E2327A" w:rsidP="00037C81">
            <w:pPr>
              <w:rPr>
                <w:b/>
                <w:bCs/>
                <w:iCs/>
              </w:rPr>
            </w:pPr>
            <w:r w:rsidRPr="00037C81">
              <w:rPr>
                <w:b/>
                <w:bCs/>
                <w:iCs/>
              </w:rPr>
              <w:t>Disclosure of officer’s home address in pending criminal case</w:t>
            </w:r>
          </w:p>
        </w:tc>
        <w:tc>
          <w:tcPr>
            <w:tcW w:w="2131" w:type="dxa"/>
            <w:shd w:val="clear" w:color="auto" w:fill="auto"/>
          </w:tcPr>
          <w:p w14:paraId="4827224C" w14:textId="77777777" w:rsidR="00E2327A" w:rsidRPr="000220B5" w:rsidRDefault="00E2327A" w:rsidP="00037C81">
            <w:pPr>
              <w:rPr>
                <w:iCs/>
              </w:rPr>
            </w:pPr>
            <w:r w:rsidRPr="000220B5">
              <w:rPr>
                <w:iCs/>
              </w:rPr>
              <w:t>R.C. 2921.24(A)</w:t>
            </w:r>
          </w:p>
        </w:tc>
        <w:tc>
          <w:tcPr>
            <w:tcW w:w="4969" w:type="dxa"/>
            <w:shd w:val="clear" w:color="auto" w:fill="auto"/>
          </w:tcPr>
          <w:p w14:paraId="205B91C2" w14:textId="77777777" w:rsidR="00E2327A" w:rsidRPr="000220B5" w:rsidRDefault="00E2327A" w:rsidP="00037C81">
            <w:pPr>
              <w:rPr>
                <w:iCs/>
              </w:rPr>
            </w:pPr>
            <w:r w:rsidRPr="000220B5">
              <w:rPr>
                <w:iCs/>
              </w:rPr>
              <w:t>Home addresses of any peace officer, parole officer, prosecuting attorney, assistant prosecuting attorney, correctional employee, or youth services employee who is a witness or arresting officer in a pending criminal case.</w:t>
            </w:r>
          </w:p>
        </w:tc>
      </w:tr>
      <w:tr w:rsidR="00E2327A" w:rsidRPr="00BE4700" w14:paraId="0CDB4CD2" w14:textId="77777777" w:rsidTr="00051BEC">
        <w:trPr>
          <w:cantSplit/>
        </w:trPr>
        <w:tc>
          <w:tcPr>
            <w:tcW w:w="2368" w:type="dxa"/>
            <w:shd w:val="clear" w:color="auto" w:fill="auto"/>
          </w:tcPr>
          <w:p w14:paraId="5F2BB9B0" w14:textId="77777777" w:rsidR="00E2327A" w:rsidRPr="00037C81" w:rsidRDefault="00E2327A" w:rsidP="00037C81">
            <w:pPr>
              <w:rPr>
                <w:b/>
                <w:bCs/>
                <w:iCs/>
              </w:rPr>
            </w:pPr>
            <w:r w:rsidRPr="00037C81">
              <w:rPr>
                <w:b/>
                <w:bCs/>
                <w:iCs/>
              </w:rPr>
              <w:t>Disclosure of officer’s home address during examination in court</w:t>
            </w:r>
          </w:p>
        </w:tc>
        <w:tc>
          <w:tcPr>
            <w:tcW w:w="2131" w:type="dxa"/>
            <w:shd w:val="clear" w:color="auto" w:fill="auto"/>
          </w:tcPr>
          <w:p w14:paraId="2B7F82DC" w14:textId="77777777" w:rsidR="00E2327A" w:rsidRPr="000220B5" w:rsidRDefault="00E2327A" w:rsidP="00037C81">
            <w:pPr>
              <w:rPr>
                <w:iCs/>
              </w:rPr>
            </w:pPr>
            <w:r w:rsidRPr="000220B5">
              <w:rPr>
                <w:iCs/>
              </w:rPr>
              <w:t>R.C. 2921.25(A)</w:t>
            </w:r>
          </w:p>
        </w:tc>
        <w:tc>
          <w:tcPr>
            <w:tcW w:w="4969" w:type="dxa"/>
            <w:shd w:val="clear" w:color="auto" w:fill="auto"/>
          </w:tcPr>
          <w:p w14:paraId="55CBF74E" w14:textId="77777777" w:rsidR="00E2327A" w:rsidRPr="000220B5" w:rsidRDefault="00E2327A" w:rsidP="00037C81">
            <w:pPr>
              <w:rPr>
                <w:iCs/>
              </w:rPr>
            </w:pPr>
            <w:r w:rsidRPr="000220B5">
              <w:rPr>
                <w:iCs/>
              </w:rPr>
              <w:t>A peace officer, parole officer, prosecuting attorney, assistant prosecuting attorney, correctional employee, or youth services employee cannot be required to disclose their home address during examination in a criminal court case, unless court determines defendant has a right to the disclosure.</w:t>
            </w:r>
          </w:p>
        </w:tc>
      </w:tr>
      <w:tr w:rsidR="00E2327A" w:rsidRPr="00BE4700" w14:paraId="7062B312" w14:textId="77777777" w:rsidTr="00051BEC">
        <w:trPr>
          <w:cantSplit/>
        </w:trPr>
        <w:tc>
          <w:tcPr>
            <w:tcW w:w="2368" w:type="dxa"/>
            <w:shd w:val="clear" w:color="auto" w:fill="auto"/>
          </w:tcPr>
          <w:p w14:paraId="541ED3D4" w14:textId="77777777" w:rsidR="00E2327A" w:rsidRPr="00037C81" w:rsidRDefault="00E2327A" w:rsidP="00037C81">
            <w:pPr>
              <w:rPr>
                <w:b/>
                <w:bCs/>
                <w:iCs/>
              </w:rPr>
            </w:pPr>
            <w:r w:rsidRPr="00037C81">
              <w:rPr>
                <w:b/>
                <w:bCs/>
                <w:iCs/>
              </w:rPr>
              <w:t>Sealed court records</w:t>
            </w:r>
          </w:p>
        </w:tc>
        <w:tc>
          <w:tcPr>
            <w:tcW w:w="2131" w:type="dxa"/>
            <w:shd w:val="clear" w:color="auto" w:fill="auto"/>
          </w:tcPr>
          <w:p w14:paraId="3DB1470E" w14:textId="77777777" w:rsidR="00E2327A" w:rsidRPr="000220B5" w:rsidRDefault="00E2327A" w:rsidP="00037C81">
            <w:pPr>
              <w:rPr>
                <w:iCs/>
              </w:rPr>
            </w:pPr>
            <w:r w:rsidRPr="000220B5">
              <w:rPr>
                <w:iCs/>
              </w:rPr>
              <w:t>R.C. 2953.52</w:t>
            </w:r>
          </w:p>
        </w:tc>
        <w:tc>
          <w:tcPr>
            <w:tcW w:w="4969" w:type="dxa"/>
            <w:shd w:val="clear" w:color="auto" w:fill="auto"/>
          </w:tcPr>
          <w:p w14:paraId="54FFB229" w14:textId="77777777" w:rsidR="00E2327A" w:rsidRPr="000220B5" w:rsidRDefault="00E2327A" w:rsidP="00037C81">
            <w:pPr>
              <w:rPr>
                <w:iCs/>
              </w:rPr>
            </w:pPr>
            <w:r w:rsidRPr="000220B5">
              <w:rPr>
                <w:iCs/>
              </w:rPr>
              <w:t>Court records relating to criminal convictions that have been properly expunged or sealed.</w:t>
            </w:r>
          </w:p>
        </w:tc>
      </w:tr>
      <w:tr w:rsidR="00E2327A" w:rsidRPr="00BE4700" w14:paraId="3AF7CD41" w14:textId="77777777" w:rsidTr="00051BEC">
        <w:trPr>
          <w:cantSplit/>
        </w:trPr>
        <w:tc>
          <w:tcPr>
            <w:tcW w:w="2368" w:type="dxa"/>
            <w:shd w:val="clear" w:color="auto" w:fill="auto"/>
          </w:tcPr>
          <w:p w14:paraId="157CB420" w14:textId="77777777" w:rsidR="00E2327A" w:rsidRPr="00037C81" w:rsidRDefault="00E2327A" w:rsidP="00037C81">
            <w:pPr>
              <w:rPr>
                <w:b/>
                <w:bCs/>
                <w:iCs/>
              </w:rPr>
            </w:pPr>
            <w:r w:rsidRPr="00037C81">
              <w:rPr>
                <w:b/>
                <w:bCs/>
                <w:iCs/>
              </w:rPr>
              <w:t>State Highway Patrol accident reports</w:t>
            </w:r>
          </w:p>
        </w:tc>
        <w:tc>
          <w:tcPr>
            <w:tcW w:w="2131" w:type="dxa"/>
            <w:shd w:val="clear" w:color="auto" w:fill="auto"/>
          </w:tcPr>
          <w:p w14:paraId="6C16E964" w14:textId="77777777" w:rsidR="00E2327A" w:rsidRPr="000220B5" w:rsidRDefault="00E2327A" w:rsidP="00037C81">
            <w:pPr>
              <w:rPr>
                <w:iCs/>
              </w:rPr>
            </w:pPr>
            <w:r w:rsidRPr="000220B5">
              <w:rPr>
                <w:iCs/>
              </w:rPr>
              <w:t>R.C. 5502.12</w:t>
            </w:r>
          </w:p>
        </w:tc>
        <w:tc>
          <w:tcPr>
            <w:tcW w:w="4969" w:type="dxa"/>
            <w:shd w:val="clear" w:color="auto" w:fill="auto"/>
          </w:tcPr>
          <w:p w14:paraId="4604A341" w14:textId="77777777" w:rsidR="00E2327A" w:rsidRPr="000220B5" w:rsidRDefault="00E2327A" w:rsidP="00037C81">
            <w:pPr>
              <w:rPr>
                <w:iCs/>
              </w:rPr>
            </w:pPr>
            <w:r w:rsidRPr="000220B5">
              <w:rPr>
                <w:iCs/>
              </w:rPr>
              <w:t>State Highway Patrol reports, statements, and photographs related to accidents it investigates.</w:t>
            </w:r>
          </w:p>
        </w:tc>
      </w:tr>
      <w:tr w:rsidR="00E2327A" w:rsidRPr="00BE4700" w14:paraId="7727117E" w14:textId="77777777" w:rsidTr="00051BEC">
        <w:trPr>
          <w:cantSplit/>
        </w:trPr>
        <w:tc>
          <w:tcPr>
            <w:tcW w:w="2368" w:type="dxa"/>
            <w:shd w:val="clear" w:color="auto" w:fill="auto"/>
          </w:tcPr>
          <w:p w14:paraId="4F8A0BE2" w14:textId="77777777" w:rsidR="00E2327A" w:rsidRPr="00037C81" w:rsidRDefault="00E2327A" w:rsidP="00037C81">
            <w:pPr>
              <w:rPr>
                <w:b/>
                <w:bCs/>
                <w:iCs/>
              </w:rPr>
            </w:pPr>
            <w:r w:rsidRPr="00037C81">
              <w:rPr>
                <w:b/>
                <w:bCs/>
                <w:iCs/>
              </w:rPr>
              <w:t>Grand Jury records</w:t>
            </w:r>
          </w:p>
        </w:tc>
        <w:tc>
          <w:tcPr>
            <w:tcW w:w="2131" w:type="dxa"/>
            <w:shd w:val="clear" w:color="auto" w:fill="auto"/>
          </w:tcPr>
          <w:p w14:paraId="7DF6ABB3" w14:textId="77777777" w:rsidR="00E2327A" w:rsidRPr="000220B5" w:rsidRDefault="00E2327A" w:rsidP="00037C81">
            <w:pPr>
              <w:rPr>
                <w:iCs/>
              </w:rPr>
            </w:pPr>
            <w:r w:rsidRPr="000220B5">
              <w:rPr>
                <w:iCs/>
              </w:rPr>
              <w:t>Crim.R. 6(E)</w:t>
            </w:r>
          </w:p>
        </w:tc>
        <w:tc>
          <w:tcPr>
            <w:tcW w:w="4969" w:type="dxa"/>
            <w:shd w:val="clear" w:color="auto" w:fill="auto"/>
          </w:tcPr>
          <w:p w14:paraId="7B25E09E" w14:textId="77777777" w:rsidR="00E2327A" w:rsidRPr="000220B5" w:rsidRDefault="00E2327A" w:rsidP="00037C81">
            <w:pPr>
              <w:rPr>
                <w:iCs/>
              </w:rPr>
            </w:pPr>
            <w:r w:rsidRPr="000220B5">
              <w:rPr>
                <w:iCs/>
              </w:rPr>
              <w:t>Deliberations of grand jury and vote of a grand juror.</w:t>
            </w:r>
          </w:p>
        </w:tc>
      </w:tr>
      <w:tr w:rsidR="00E2327A" w:rsidRPr="00BE4700" w14:paraId="582DD8B4" w14:textId="77777777" w:rsidTr="00051BEC">
        <w:trPr>
          <w:cantSplit/>
        </w:trPr>
        <w:tc>
          <w:tcPr>
            <w:tcW w:w="2368" w:type="dxa"/>
            <w:shd w:val="clear" w:color="auto" w:fill="auto"/>
          </w:tcPr>
          <w:p w14:paraId="30D717F8" w14:textId="77777777" w:rsidR="00E2327A" w:rsidRPr="00037C81" w:rsidRDefault="00E2327A" w:rsidP="00037C81">
            <w:pPr>
              <w:rPr>
                <w:b/>
                <w:bCs/>
                <w:iCs/>
              </w:rPr>
            </w:pPr>
            <w:r w:rsidRPr="00037C81">
              <w:rPr>
                <w:b/>
                <w:bCs/>
                <w:iCs/>
              </w:rPr>
              <w:t>Bureau of Alcohol, Tobacco, Firearms and Explosives (ATF) trace reports</w:t>
            </w:r>
          </w:p>
        </w:tc>
        <w:tc>
          <w:tcPr>
            <w:tcW w:w="2131" w:type="dxa"/>
            <w:shd w:val="clear" w:color="auto" w:fill="auto"/>
          </w:tcPr>
          <w:p w14:paraId="46BF4F0C" w14:textId="77777777" w:rsidR="00E2327A" w:rsidRPr="000220B5" w:rsidRDefault="00E2327A" w:rsidP="00037C81">
            <w:pPr>
              <w:rPr>
                <w:iCs/>
              </w:rPr>
            </w:pPr>
            <w:r w:rsidRPr="000220B5">
              <w:rPr>
                <w:iCs/>
              </w:rPr>
              <w:t>Consolidated Appropriations Act of 2005, Pub. L. No. 108-477, 118 Stat. 2809, 2859 (2004); Consolidated Appropriations Act of 2008, Pub. L. No. 110-161, 121 Stat. 2859 (2004)</w:t>
            </w:r>
          </w:p>
        </w:tc>
        <w:tc>
          <w:tcPr>
            <w:tcW w:w="4969" w:type="dxa"/>
            <w:shd w:val="clear" w:color="auto" w:fill="auto"/>
          </w:tcPr>
          <w:p w14:paraId="344863EA" w14:textId="77777777" w:rsidR="00E2327A" w:rsidRPr="000220B5" w:rsidRDefault="00E2327A" w:rsidP="00037C81">
            <w:pPr>
              <w:rPr>
                <w:iCs/>
              </w:rPr>
            </w:pPr>
            <w:r w:rsidRPr="000220B5">
              <w:rPr>
                <w:iCs/>
              </w:rPr>
              <w:t>ATF firearms trace reports. See also Higgins v. U.S. Dept. of Justice, 919 F.Supp.2d 131, 144-45 (D.D.C. 2013).</w:t>
            </w:r>
          </w:p>
        </w:tc>
      </w:tr>
    </w:tbl>
    <w:p w14:paraId="71DF6347" w14:textId="77777777" w:rsidR="00E2327A" w:rsidRPr="006E100D" w:rsidRDefault="00E2327A" w:rsidP="00E2327A">
      <w:pPr>
        <w:jc w:val="both"/>
        <w:rPr>
          <w:sz w:val="28"/>
          <w:szCs w:val="28"/>
        </w:rPr>
      </w:pPr>
    </w:p>
    <w:p w14:paraId="3515CC1B" w14:textId="4BEC8727" w:rsidR="006B5C29" w:rsidRPr="006B5C29" w:rsidRDefault="00A03E56" w:rsidP="00056CCE">
      <w:pPr>
        <w:pStyle w:val="Heading2"/>
      </w:pPr>
      <w:bookmarkStart w:id="468" w:name="_Toc159851540"/>
      <w:r w:rsidRPr="006B5C29">
        <w:t>C.</w:t>
      </w:r>
      <w:r w:rsidRPr="006B5C29">
        <w:tab/>
      </w:r>
      <w:r w:rsidR="00E2327A" w:rsidRPr="006B5C29">
        <w:t>Examples of Mandatory Exemptions Encountered in Law Enforcement</w:t>
      </w:r>
      <w:bookmarkEnd w:id="468"/>
    </w:p>
    <w:p w14:paraId="6AA43CB5" w14:textId="65D85B4A" w:rsidR="00E2327A" w:rsidRDefault="00E2327A" w:rsidP="007120C3">
      <w:pPr>
        <w:spacing w:line="220" w:lineRule="exact"/>
        <w:ind w:left="360"/>
        <w:jc w:val="both"/>
        <w:rPr>
          <w:rFonts w:asciiTheme="minorHAnsi" w:hAnsiTheme="minorHAnsi" w:cstheme="minorHAnsi"/>
        </w:rPr>
      </w:pPr>
      <w:r>
        <w:rPr>
          <w:rFonts w:asciiTheme="minorHAnsi" w:hAnsiTheme="minorHAnsi" w:cstheme="minorHAnsi"/>
        </w:rPr>
        <w:t xml:space="preserve">Below are examples of mandatory exemptions </w:t>
      </w:r>
      <w:r w:rsidRPr="00EB1C6C">
        <w:rPr>
          <w:rFonts w:asciiTheme="minorHAnsi" w:hAnsiTheme="minorHAnsi" w:cstheme="minorHAnsi"/>
        </w:rPr>
        <w:t xml:space="preserve">that may apply to law enforcement related records. </w:t>
      </w:r>
      <w:r w:rsidRPr="00590323">
        <w:t>Mandatory exemptions prohibit public offices from releasing certain types of records or information in records</w:t>
      </w:r>
      <w:r w:rsidR="00D64510">
        <w:t>,</w:t>
      </w:r>
      <w:r w:rsidRPr="00590323">
        <w:t xml:space="preserve"> </w:t>
      </w:r>
      <w:r>
        <w:t>and c</w:t>
      </w:r>
      <w:r w:rsidRPr="00590323">
        <w:t xml:space="preserve">ivil or criminal penalties may be imposed for improper release. </w:t>
      </w:r>
      <w:r w:rsidR="00633746">
        <w:t xml:space="preserve">This list is not exhaustive. </w:t>
      </w:r>
      <w:r w:rsidR="00633746" w:rsidRPr="00D81A09">
        <w:t xml:space="preserve">Refer to </w:t>
      </w:r>
      <w:r w:rsidR="00633746" w:rsidRPr="00633746">
        <w:t>Chapter Three, “Exemptions</w:t>
      </w:r>
      <w:r w:rsidR="00633746">
        <w:t xml:space="preserve"> to the Required Release of Public Records,” and Chapter Five, “Other </w:t>
      </w:r>
      <w:r w:rsidR="00633746" w:rsidRPr="00590323">
        <w:t xml:space="preserve">Categories of </w:t>
      </w:r>
      <w:r w:rsidR="00633746">
        <w:t>Records,</w:t>
      </w:r>
      <w:r w:rsidR="00633746" w:rsidRPr="00590323">
        <w:t>”</w:t>
      </w:r>
      <w:r w:rsidR="00633746" w:rsidRPr="00EB1C6C">
        <w:rPr>
          <w:rFonts w:asciiTheme="minorHAnsi" w:hAnsiTheme="minorHAnsi" w:cstheme="minorHAnsi"/>
        </w:rPr>
        <w:t xml:space="preserve"> </w:t>
      </w:r>
      <w:r w:rsidR="00633746" w:rsidRPr="00D81A09">
        <w:t>for</w:t>
      </w:r>
      <w:r w:rsidR="00633746">
        <w:t xml:space="preserve"> additional examples, as well as </w:t>
      </w:r>
      <w:hyperlink r:id="rId47" w:history="1">
        <w:r w:rsidR="00633746" w:rsidRPr="00BE50A6">
          <w:rPr>
            <w:rStyle w:val="Hyperlink"/>
          </w:rPr>
          <w:t>Appendix A</w:t>
        </w:r>
      </w:hyperlink>
      <w:r w:rsidR="00633746">
        <w:t xml:space="preserve"> of this Manual</w:t>
      </w:r>
      <w:r w:rsidR="00633746" w:rsidRPr="00D81A09">
        <w:t>.</w:t>
      </w:r>
    </w:p>
    <w:p w14:paraId="39B9EE34" w14:textId="77777777" w:rsidR="00E2327A" w:rsidRDefault="00E2327A" w:rsidP="00E2327A"/>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592"/>
        <w:gridCol w:w="6077"/>
      </w:tblGrid>
      <w:tr w:rsidR="00E2327A" w:rsidRPr="00704A17" w14:paraId="4706C1CA" w14:textId="77777777" w:rsidTr="00051BEC">
        <w:trPr>
          <w:cantSplit/>
          <w:trHeight w:val="576"/>
          <w:tblHeader/>
        </w:trPr>
        <w:tc>
          <w:tcPr>
            <w:tcW w:w="2434" w:type="dxa"/>
            <w:shd w:val="clear" w:color="auto" w:fill="D9D9D9" w:themeFill="background1" w:themeFillShade="D9"/>
            <w:vAlign w:val="center"/>
          </w:tcPr>
          <w:p w14:paraId="2CF423CC" w14:textId="77777777" w:rsidR="00E2327A" w:rsidRPr="00037C81" w:rsidRDefault="00E2327A" w:rsidP="00037C81">
            <w:pPr>
              <w:rPr>
                <w:b/>
                <w:bCs/>
              </w:rPr>
            </w:pPr>
            <w:r w:rsidRPr="00037C81">
              <w:rPr>
                <w:b/>
                <w:bCs/>
              </w:rPr>
              <w:lastRenderedPageBreak/>
              <w:t>Type of Record(s)</w:t>
            </w:r>
          </w:p>
        </w:tc>
        <w:tc>
          <w:tcPr>
            <w:tcW w:w="1592" w:type="dxa"/>
            <w:shd w:val="clear" w:color="auto" w:fill="D9D9D9" w:themeFill="background1" w:themeFillShade="D9"/>
            <w:vAlign w:val="center"/>
          </w:tcPr>
          <w:p w14:paraId="2D0E19F5" w14:textId="77777777" w:rsidR="00E2327A" w:rsidRPr="00037C81" w:rsidRDefault="00E2327A" w:rsidP="00037C81">
            <w:pPr>
              <w:rPr>
                <w:b/>
                <w:bCs/>
              </w:rPr>
            </w:pPr>
            <w:r w:rsidRPr="00037C81">
              <w:rPr>
                <w:b/>
                <w:bCs/>
              </w:rPr>
              <w:t>Authority</w:t>
            </w:r>
          </w:p>
        </w:tc>
        <w:tc>
          <w:tcPr>
            <w:tcW w:w="6077" w:type="dxa"/>
            <w:shd w:val="clear" w:color="auto" w:fill="D9D9D9" w:themeFill="background1" w:themeFillShade="D9"/>
            <w:vAlign w:val="center"/>
          </w:tcPr>
          <w:p w14:paraId="1106A579" w14:textId="77777777" w:rsidR="00E2327A" w:rsidRPr="00037C81" w:rsidRDefault="00E2327A" w:rsidP="00037C81">
            <w:pPr>
              <w:rPr>
                <w:b/>
                <w:bCs/>
              </w:rPr>
            </w:pPr>
            <w:r w:rsidRPr="00037C81">
              <w:rPr>
                <w:b/>
                <w:bCs/>
              </w:rPr>
              <w:t>Description</w:t>
            </w:r>
          </w:p>
        </w:tc>
      </w:tr>
      <w:tr w:rsidR="00E2327A" w:rsidRPr="00547315" w14:paraId="291ECF71" w14:textId="77777777" w:rsidTr="00051BEC">
        <w:trPr>
          <w:cantSplit/>
        </w:trPr>
        <w:tc>
          <w:tcPr>
            <w:tcW w:w="2434" w:type="dxa"/>
            <w:shd w:val="clear" w:color="auto" w:fill="auto"/>
          </w:tcPr>
          <w:p w14:paraId="69452A03" w14:textId="77777777" w:rsidR="00E2327A" w:rsidRPr="00037C81" w:rsidRDefault="00E2327A" w:rsidP="00037C81">
            <w:pPr>
              <w:rPr>
                <w:b/>
                <w:bCs/>
                <w:iCs/>
              </w:rPr>
            </w:pPr>
            <w:r w:rsidRPr="00037C81">
              <w:rPr>
                <w:b/>
                <w:bCs/>
                <w:iCs/>
              </w:rPr>
              <w:t>Ohio Law Enforcement Gateway (OHLEG)</w:t>
            </w:r>
          </w:p>
        </w:tc>
        <w:tc>
          <w:tcPr>
            <w:tcW w:w="1592" w:type="dxa"/>
            <w:shd w:val="clear" w:color="auto" w:fill="auto"/>
          </w:tcPr>
          <w:p w14:paraId="1D69A7CF" w14:textId="77777777" w:rsidR="00E2327A" w:rsidRPr="00056CCE" w:rsidRDefault="00E2327A" w:rsidP="00037C81">
            <w:pPr>
              <w:rPr>
                <w:iCs/>
              </w:rPr>
            </w:pPr>
            <w:r w:rsidRPr="00056CCE">
              <w:rPr>
                <w:iCs/>
              </w:rPr>
              <w:t>R.C. 109.57(D)(1)(b)</w:t>
            </w:r>
          </w:p>
        </w:tc>
        <w:tc>
          <w:tcPr>
            <w:tcW w:w="6077" w:type="dxa"/>
            <w:shd w:val="clear" w:color="auto" w:fill="auto"/>
          </w:tcPr>
          <w:p w14:paraId="79576732" w14:textId="77777777" w:rsidR="00E2327A" w:rsidRPr="00056CCE" w:rsidRDefault="00E2327A" w:rsidP="00037C81">
            <w:pPr>
              <w:rPr>
                <w:iCs/>
              </w:rPr>
            </w:pPr>
            <w:r w:rsidRPr="00056CCE">
              <w:rPr>
                <w:iCs/>
              </w:rPr>
              <w:t>Information, data, statistics, and search audit trails obtained from the Ohio Law Enforcement Gateway (OHLEG) database.</w:t>
            </w:r>
          </w:p>
        </w:tc>
      </w:tr>
      <w:tr w:rsidR="00E2327A" w:rsidRPr="00547315" w14:paraId="5B1EE0F8" w14:textId="77777777" w:rsidTr="00051BEC">
        <w:trPr>
          <w:cantSplit/>
        </w:trPr>
        <w:tc>
          <w:tcPr>
            <w:tcW w:w="2434" w:type="dxa"/>
            <w:shd w:val="clear" w:color="auto" w:fill="auto"/>
          </w:tcPr>
          <w:p w14:paraId="1E08F9A5" w14:textId="77777777" w:rsidR="00E2327A" w:rsidRPr="00037C81" w:rsidRDefault="00E2327A" w:rsidP="00037C81">
            <w:pPr>
              <w:rPr>
                <w:rFonts w:eastAsia="Times New Roman"/>
                <w:b/>
                <w:bCs/>
                <w:iCs/>
              </w:rPr>
            </w:pPr>
            <w:r w:rsidRPr="00037C81">
              <w:rPr>
                <w:b/>
                <w:bCs/>
                <w:iCs/>
              </w:rPr>
              <w:t>Law Enforcement Agencies Databased Systems (LEADS)</w:t>
            </w:r>
          </w:p>
        </w:tc>
        <w:tc>
          <w:tcPr>
            <w:tcW w:w="1592" w:type="dxa"/>
            <w:shd w:val="clear" w:color="auto" w:fill="auto"/>
          </w:tcPr>
          <w:p w14:paraId="595DEF61" w14:textId="77777777" w:rsidR="00E2327A" w:rsidRPr="00056CCE" w:rsidRDefault="00E2327A" w:rsidP="00037C81">
            <w:pPr>
              <w:rPr>
                <w:iCs/>
              </w:rPr>
            </w:pPr>
            <w:r w:rsidRPr="00056CCE">
              <w:rPr>
                <w:iCs/>
              </w:rPr>
              <w:t>R.C. 109.57; and O.A.C. 4501:2-10-06(C)</w:t>
            </w:r>
          </w:p>
        </w:tc>
        <w:tc>
          <w:tcPr>
            <w:tcW w:w="6077" w:type="dxa"/>
            <w:shd w:val="clear" w:color="auto" w:fill="auto"/>
          </w:tcPr>
          <w:p w14:paraId="03B53E2C" w14:textId="77777777" w:rsidR="00E2327A" w:rsidRPr="00056CCE" w:rsidRDefault="00E2327A" w:rsidP="00037C81">
            <w:pPr>
              <w:rPr>
                <w:iCs/>
              </w:rPr>
            </w:pPr>
            <w:r w:rsidRPr="00056CCE">
              <w:rPr>
                <w:iCs/>
              </w:rPr>
              <w:t>Information or documents obtained through LEADS; incorporates information obtained through Computerized Criminal History (CCH) and National Crime Information Center (NCIC) systems; includes Bureau of Criminal Identification and Investigation (BCI) numbers as a CCH field.</w:t>
            </w:r>
          </w:p>
        </w:tc>
      </w:tr>
      <w:tr w:rsidR="00E2327A" w:rsidRPr="00547315" w14:paraId="4091EF6B" w14:textId="77777777" w:rsidTr="00051BEC">
        <w:trPr>
          <w:cantSplit/>
        </w:trPr>
        <w:tc>
          <w:tcPr>
            <w:tcW w:w="2434" w:type="dxa"/>
            <w:shd w:val="clear" w:color="auto" w:fill="auto"/>
          </w:tcPr>
          <w:p w14:paraId="4AA972C5" w14:textId="77777777" w:rsidR="00E2327A" w:rsidRPr="00037C81" w:rsidRDefault="00E2327A" w:rsidP="00037C81">
            <w:pPr>
              <w:rPr>
                <w:b/>
                <w:bCs/>
                <w:iCs/>
              </w:rPr>
            </w:pPr>
            <w:r w:rsidRPr="00037C81">
              <w:rPr>
                <w:b/>
                <w:bCs/>
                <w:iCs/>
              </w:rPr>
              <w:t>Fingerprints</w:t>
            </w:r>
          </w:p>
        </w:tc>
        <w:tc>
          <w:tcPr>
            <w:tcW w:w="1592" w:type="dxa"/>
            <w:shd w:val="clear" w:color="auto" w:fill="auto"/>
          </w:tcPr>
          <w:p w14:paraId="61A4BFE3" w14:textId="77777777" w:rsidR="00E2327A" w:rsidRPr="00056CCE" w:rsidRDefault="00E2327A" w:rsidP="00037C81">
            <w:pPr>
              <w:rPr>
                <w:iCs/>
              </w:rPr>
            </w:pPr>
            <w:r w:rsidRPr="00056CCE">
              <w:rPr>
                <w:iCs/>
              </w:rPr>
              <w:t>R.C. 109.57(D)</w:t>
            </w:r>
          </w:p>
        </w:tc>
        <w:tc>
          <w:tcPr>
            <w:tcW w:w="6077" w:type="dxa"/>
            <w:shd w:val="clear" w:color="auto" w:fill="auto"/>
            <w:vAlign w:val="center"/>
          </w:tcPr>
          <w:p w14:paraId="08625CE2" w14:textId="77777777" w:rsidR="00E2327A" w:rsidRPr="00056CCE" w:rsidRDefault="00E2327A" w:rsidP="00037C81">
            <w:pPr>
              <w:rPr>
                <w:iCs/>
              </w:rPr>
            </w:pPr>
            <w:r w:rsidRPr="00056CCE">
              <w:rPr>
                <w:iCs/>
              </w:rPr>
              <w:t>Fingerprints, fingerprint impressions, and fingerprint cards.</w:t>
            </w:r>
          </w:p>
        </w:tc>
      </w:tr>
      <w:tr w:rsidR="00E2327A" w:rsidRPr="00547315" w14:paraId="0C4BDFDD" w14:textId="77777777" w:rsidTr="00051BEC">
        <w:trPr>
          <w:cantSplit/>
        </w:trPr>
        <w:tc>
          <w:tcPr>
            <w:tcW w:w="2434" w:type="dxa"/>
            <w:shd w:val="clear" w:color="auto" w:fill="auto"/>
          </w:tcPr>
          <w:p w14:paraId="399AA0E1" w14:textId="77777777" w:rsidR="00E2327A" w:rsidRPr="00037C81" w:rsidRDefault="00E2327A" w:rsidP="00037C81">
            <w:pPr>
              <w:rPr>
                <w:b/>
                <w:bCs/>
                <w:iCs/>
              </w:rPr>
            </w:pPr>
            <w:r w:rsidRPr="00037C81">
              <w:rPr>
                <w:b/>
                <w:bCs/>
                <w:iCs/>
              </w:rPr>
              <w:t>Fingerprint database</w:t>
            </w:r>
          </w:p>
        </w:tc>
        <w:tc>
          <w:tcPr>
            <w:tcW w:w="1592" w:type="dxa"/>
            <w:shd w:val="clear" w:color="auto" w:fill="auto"/>
          </w:tcPr>
          <w:p w14:paraId="7C1ABCBD" w14:textId="77777777" w:rsidR="00E2327A" w:rsidRPr="00056CCE" w:rsidRDefault="00E2327A" w:rsidP="00037C81">
            <w:pPr>
              <w:rPr>
                <w:iCs/>
              </w:rPr>
            </w:pPr>
            <w:r w:rsidRPr="00056CCE">
              <w:rPr>
                <w:iCs/>
              </w:rPr>
              <w:t>R.C. 109.5721(E)</w:t>
            </w:r>
          </w:p>
        </w:tc>
        <w:tc>
          <w:tcPr>
            <w:tcW w:w="6077" w:type="dxa"/>
            <w:shd w:val="clear" w:color="auto" w:fill="auto"/>
          </w:tcPr>
          <w:p w14:paraId="28C7992B" w14:textId="77777777" w:rsidR="00E2327A" w:rsidRPr="00056CCE" w:rsidRDefault="00E2327A" w:rsidP="00037C81">
            <w:pPr>
              <w:rPr>
                <w:rFonts w:asciiTheme="minorHAnsi" w:hAnsiTheme="minorHAnsi" w:cstheme="minorHAnsi"/>
                <w:iCs/>
              </w:rPr>
            </w:pPr>
            <w:r w:rsidRPr="00056CCE">
              <w:rPr>
                <w:rFonts w:asciiTheme="minorHAnsi" w:hAnsiTheme="minorHAnsi" w:cstheme="minorHAnsi"/>
                <w:iCs/>
              </w:rPr>
              <w:t xml:space="preserve">Information in </w:t>
            </w:r>
            <w:r w:rsidRPr="00056CCE">
              <w:rPr>
                <w:iCs/>
              </w:rPr>
              <w:t>the Retained Applicant Fingerprint Database maintained by BCI.</w:t>
            </w:r>
          </w:p>
        </w:tc>
      </w:tr>
      <w:tr w:rsidR="00E2327A" w:rsidRPr="00B92224" w14:paraId="3B7352FF" w14:textId="77777777" w:rsidTr="00051BEC">
        <w:trPr>
          <w:cantSplit/>
        </w:trPr>
        <w:tc>
          <w:tcPr>
            <w:tcW w:w="2434" w:type="dxa"/>
            <w:shd w:val="clear" w:color="auto" w:fill="auto"/>
          </w:tcPr>
          <w:p w14:paraId="55D7E193" w14:textId="77777777" w:rsidR="00E2327A" w:rsidRPr="00037C81" w:rsidRDefault="00E2327A" w:rsidP="00037C81">
            <w:pPr>
              <w:rPr>
                <w:b/>
                <w:bCs/>
                <w:iCs/>
              </w:rPr>
            </w:pPr>
            <w:r w:rsidRPr="00037C81">
              <w:rPr>
                <w:b/>
                <w:bCs/>
                <w:iCs/>
              </w:rPr>
              <w:t>Certain information BCI receives</w:t>
            </w:r>
          </w:p>
        </w:tc>
        <w:tc>
          <w:tcPr>
            <w:tcW w:w="1592" w:type="dxa"/>
            <w:shd w:val="clear" w:color="auto" w:fill="auto"/>
          </w:tcPr>
          <w:p w14:paraId="55F59865" w14:textId="77777777" w:rsidR="00E2327A" w:rsidRPr="00056CCE" w:rsidRDefault="00E2327A" w:rsidP="00037C81">
            <w:pPr>
              <w:rPr>
                <w:iCs/>
              </w:rPr>
            </w:pPr>
            <w:r w:rsidRPr="00056CCE">
              <w:rPr>
                <w:iCs/>
              </w:rPr>
              <w:t>109.573(E), (G)</w:t>
            </w:r>
          </w:p>
          <w:p w14:paraId="49E44C48" w14:textId="77777777" w:rsidR="00E2327A" w:rsidRPr="00056CCE" w:rsidRDefault="00E2327A" w:rsidP="00037C81">
            <w:pPr>
              <w:rPr>
                <w:iCs/>
              </w:rPr>
            </w:pPr>
          </w:p>
        </w:tc>
        <w:tc>
          <w:tcPr>
            <w:tcW w:w="6077" w:type="dxa"/>
            <w:shd w:val="clear" w:color="auto" w:fill="auto"/>
          </w:tcPr>
          <w:p w14:paraId="564F4E15" w14:textId="77777777" w:rsidR="00E2327A" w:rsidRPr="00056CCE" w:rsidRDefault="00E2327A" w:rsidP="00037C81">
            <w:pPr>
              <w:rPr>
                <w:iCs/>
              </w:rPr>
            </w:pPr>
            <w:r w:rsidRPr="00056CCE">
              <w:rPr>
                <w:iCs/>
              </w:rPr>
              <w:t>Certain DNA-related records, fingerprints, photographs, and personal information BCI receives.</w:t>
            </w:r>
          </w:p>
        </w:tc>
      </w:tr>
      <w:tr w:rsidR="00E2327A" w:rsidRPr="00547315" w14:paraId="61249A7D" w14:textId="77777777" w:rsidTr="00051BEC">
        <w:trPr>
          <w:cantSplit/>
        </w:trPr>
        <w:tc>
          <w:tcPr>
            <w:tcW w:w="2434" w:type="dxa"/>
            <w:shd w:val="clear" w:color="auto" w:fill="auto"/>
          </w:tcPr>
          <w:p w14:paraId="5243D288" w14:textId="77777777" w:rsidR="00E2327A" w:rsidRPr="00037C81" w:rsidRDefault="00E2327A" w:rsidP="00037C81">
            <w:pPr>
              <w:rPr>
                <w:b/>
                <w:bCs/>
                <w:iCs/>
              </w:rPr>
            </w:pPr>
            <w:r w:rsidRPr="00037C81">
              <w:rPr>
                <w:b/>
                <w:bCs/>
                <w:iCs/>
              </w:rPr>
              <w:t>Ohio Automated Rx Reporting System (OARRS)</w:t>
            </w:r>
          </w:p>
        </w:tc>
        <w:tc>
          <w:tcPr>
            <w:tcW w:w="1592" w:type="dxa"/>
            <w:shd w:val="clear" w:color="auto" w:fill="auto"/>
          </w:tcPr>
          <w:p w14:paraId="0EF099B4" w14:textId="77777777" w:rsidR="00E2327A" w:rsidRPr="00056CCE" w:rsidRDefault="00E2327A" w:rsidP="00037C81">
            <w:pPr>
              <w:rPr>
                <w:iCs/>
                <w:highlight w:val="yellow"/>
              </w:rPr>
            </w:pPr>
            <w:r w:rsidRPr="00056CCE">
              <w:rPr>
                <w:iCs/>
              </w:rPr>
              <w:t>R.C. 4729.80</w:t>
            </w:r>
          </w:p>
        </w:tc>
        <w:tc>
          <w:tcPr>
            <w:tcW w:w="6077" w:type="dxa"/>
            <w:shd w:val="clear" w:color="auto" w:fill="auto"/>
          </w:tcPr>
          <w:p w14:paraId="3F455041" w14:textId="77777777" w:rsidR="00E2327A" w:rsidRPr="00056CCE" w:rsidRDefault="00E2327A" w:rsidP="00037C81">
            <w:pPr>
              <w:rPr>
                <w:iCs/>
              </w:rPr>
            </w:pPr>
            <w:r w:rsidRPr="00056CCE">
              <w:rPr>
                <w:iCs/>
              </w:rPr>
              <w:t>Information contained in and obtained from the drug database established by the State Board of Pharmacy.</w:t>
            </w:r>
          </w:p>
        </w:tc>
      </w:tr>
    </w:tbl>
    <w:p w14:paraId="0E012960" w14:textId="77777777" w:rsidR="006E100D" w:rsidRPr="000D535D" w:rsidRDefault="006E100D" w:rsidP="00D64510">
      <w:pPr>
        <w:pStyle w:val="Heading2"/>
        <w:ind w:firstLine="0"/>
        <w:rPr>
          <w:sz w:val="16"/>
          <w:szCs w:val="16"/>
        </w:rPr>
      </w:pPr>
    </w:p>
    <w:p w14:paraId="6991A6CE" w14:textId="1D908289" w:rsidR="006E100D" w:rsidRPr="006E100D" w:rsidRDefault="006B5C29" w:rsidP="00056CCE">
      <w:pPr>
        <w:pStyle w:val="Heading2"/>
      </w:pPr>
      <w:bookmarkStart w:id="469" w:name="_Toc159851541"/>
      <w:r w:rsidRPr="006B5C29">
        <w:t>D.</w:t>
      </w:r>
      <w:r w:rsidRPr="006B5C29">
        <w:tab/>
      </w:r>
      <w:r w:rsidR="00E2327A" w:rsidRPr="006B5C29">
        <w:t>Exemptions Applicable to Law Enforcement Officers</w:t>
      </w:r>
      <w:bookmarkEnd w:id="469"/>
    </w:p>
    <w:p w14:paraId="59331BDE" w14:textId="23F72715" w:rsidR="00E2327A" w:rsidRDefault="00E2327A" w:rsidP="006E100D">
      <w:pPr>
        <w:spacing w:line="220" w:lineRule="exact"/>
        <w:ind w:left="360"/>
        <w:jc w:val="both"/>
      </w:pPr>
      <w:r>
        <w:t>Below are examples of exemptions that may appl</w:t>
      </w:r>
      <w:r w:rsidR="00D64510">
        <w:t>y</w:t>
      </w:r>
      <w:r>
        <w:t xml:space="preserve"> to law enforcement officers and other covered professionals. Many of these exemptions may apply to records in employee personnel files. These exemptions are not exclusive to law enforcement and apply to other public officials and employees.</w:t>
      </w:r>
    </w:p>
    <w:p w14:paraId="18C0EDCA" w14:textId="77777777" w:rsidR="00E2327A" w:rsidRDefault="00E2327A" w:rsidP="006E100D">
      <w:pPr>
        <w:spacing w:line="220" w:lineRule="exact"/>
        <w:ind w:left="360"/>
        <w:jc w:val="both"/>
      </w:pPr>
    </w:p>
    <w:p w14:paraId="3C6F2591" w14:textId="56079930" w:rsidR="00E2327A" w:rsidRDefault="00E2327A" w:rsidP="006E100D">
      <w:pPr>
        <w:spacing w:line="220" w:lineRule="exact"/>
        <w:ind w:left="360"/>
        <w:jc w:val="both"/>
        <w:rPr>
          <w:rFonts w:asciiTheme="minorHAnsi" w:hAnsiTheme="minorHAnsi" w:cstheme="minorHAnsi"/>
        </w:rPr>
      </w:pPr>
      <w:r w:rsidRPr="00334396">
        <w:t xml:space="preserve">This list is not exhaustive. </w:t>
      </w:r>
      <w:r w:rsidRPr="00334396">
        <w:rPr>
          <w:rFonts w:asciiTheme="minorHAnsi" w:hAnsiTheme="minorHAnsi" w:cstheme="minorHAnsi"/>
        </w:rPr>
        <w:t xml:space="preserve">Refer to </w:t>
      </w:r>
      <w:r w:rsidRPr="00334396">
        <w:t>Chapter</w:t>
      </w:r>
      <w:r w:rsidR="00180E03" w:rsidRPr="00334396">
        <w:t xml:space="preserve"> Five: A. “Employment Records</w:t>
      </w:r>
      <w:r w:rsidRPr="00334396">
        <w:t>,</w:t>
      </w:r>
      <w:r w:rsidR="00180E03" w:rsidRPr="00334396">
        <w:t>”</w:t>
      </w:r>
      <w:r w:rsidRPr="00334396">
        <w:t xml:space="preserve"> </w:t>
      </w:r>
      <w:r w:rsidRPr="00334396">
        <w:rPr>
          <w:rFonts w:asciiTheme="minorHAnsi" w:hAnsiTheme="minorHAnsi" w:cstheme="minorHAnsi"/>
        </w:rPr>
        <w:t xml:space="preserve">for discussion of </w:t>
      </w:r>
      <w:r w:rsidR="00334396" w:rsidRPr="00334396">
        <w:rPr>
          <w:rFonts w:asciiTheme="minorHAnsi" w:hAnsiTheme="minorHAnsi" w:cstheme="minorHAnsi"/>
        </w:rPr>
        <w:t>additional</w:t>
      </w:r>
      <w:r w:rsidRPr="00334396">
        <w:rPr>
          <w:rFonts w:asciiTheme="minorHAnsi" w:hAnsiTheme="minorHAnsi" w:cstheme="minorHAnsi"/>
        </w:rPr>
        <w:t xml:space="preserve"> exemptions that may apply to employment records and personnel files.</w:t>
      </w:r>
    </w:p>
    <w:p w14:paraId="0F00F496" w14:textId="77777777" w:rsidR="00E2327A" w:rsidRPr="00012CB9" w:rsidRDefault="00E2327A" w:rsidP="006E100D">
      <w:pPr>
        <w:spacing w:line="220" w:lineRule="exact"/>
        <w:jc w:val="both"/>
        <w:rPr>
          <w:rFonts w:asciiTheme="minorHAnsi" w:hAnsiTheme="minorHAnsi" w:cstheme="minorHAnsi"/>
        </w:rPr>
      </w:pPr>
    </w:p>
    <w:p w14:paraId="54EF13AD" w14:textId="61BF3947" w:rsidR="006E100D" w:rsidRPr="006E100D" w:rsidRDefault="006B5C29" w:rsidP="00322085">
      <w:pPr>
        <w:pStyle w:val="Heading3"/>
      </w:pPr>
      <w:bookmarkStart w:id="470" w:name="_Toc159851542"/>
      <w:r>
        <w:t>1.</w:t>
      </w:r>
      <w:r>
        <w:tab/>
      </w:r>
      <w:r w:rsidR="00E2327A">
        <w:t>Background investigations, evaluations, and disciplinary records</w:t>
      </w:r>
      <w:bookmarkEnd w:id="470"/>
    </w:p>
    <w:p w14:paraId="3606DA3A" w14:textId="77777777" w:rsidR="00E2327A" w:rsidRDefault="00E2327A" w:rsidP="007120C3">
      <w:pPr>
        <w:spacing w:line="220" w:lineRule="exact"/>
        <w:ind w:left="360"/>
        <w:jc w:val="both"/>
        <w:rPr>
          <w:szCs w:val="26"/>
        </w:rPr>
      </w:pPr>
      <w:r>
        <w:rPr>
          <w:szCs w:val="26"/>
        </w:rPr>
        <w:t>There is no exemption that covers background investigation records. Specific statutes may exempt defined background investigation materials kept by specific public offices.</w:t>
      </w:r>
      <w:r>
        <w:rPr>
          <w:rStyle w:val="EndnoteReference"/>
        </w:rPr>
        <w:endnoteReference w:id="571"/>
      </w:r>
      <w:r>
        <w:rPr>
          <w:szCs w:val="26"/>
        </w:rPr>
        <w:t xml:space="preserve"> For example, criminal history “rap sheets” obtained from the federal National Crime Information Center system (NCIC) or through the state Law Enforcement Automated Data System (LEADS) are subject to several statutory exemptions.</w:t>
      </w:r>
      <w:r>
        <w:rPr>
          <w:rStyle w:val="EndnoteReference"/>
        </w:rPr>
        <w:endnoteReference w:id="572"/>
      </w:r>
    </w:p>
    <w:p w14:paraId="3FEEA95A" w14:textId="77777777" w:rsidR="00E2327A" w:rsidRDefault="00E2327A" w:rsidP="007120C3">
      <w:pPr>
        <w:spacing w:line="220" w:lineRule="exact"/>
        <w:ind w:left="360"/>
        <w:jc w:val="both"/>
        <w:rPr>
          <w:szCs w:val="26"/>
        </w:rPr>
      </w:pPr>
    </w:p>
    <w:p w14:paraId="41E3CA12" w14:textId="77777777" w:rsidR="00E2327A" w:rsidRDefault="00E2327A" w:rsidP="007120C3">
      <w:pPr>
        <w:spacing w:line="220" w:lineRule="exact"/>
        <w:ind w:left="360"/>
        <w:jc w:val="both"/>
        <w:rPr>
          <w:szCs w:val="26"/>
        </w:rPr>
      </w:pPr>
      <w:r>
        <w:rPr>
          <w:szCs w:val="26"/>
        </w:rPr>
        <w:t xml:space="preserve">There is also no exemption that covers evaluations and disciplinary records. The CLEIRs exemption does not apply to routine law enforcement discipline or personnel matters, even when such matters are the </w:t>
      </w:r>
      <w:r w:rsidRPr="00BB287C">
        <w:rPr>
          <w:szCs w:val="26"/>
        </w:rPr>
        <w:t>subject of an internal investigation within a law enforcement agency.</w:t>
      </w:r>
      <w:r w:rsidRPr="00BB287C">
        <w:rPr>
          <w:rStyle w:val="EndnoteReference"/>
        </w:rPr>
        <w:endnoteReference w:id="573"/>
      </w:r>
    </w:p>
    <w:p w14:paraId="5ACBEF5A" w14:textId="77777777" w:rsidR="00E2327A" w:rsidRDefault="00E2327A" w:rsidP="00E2327A">
      <w:pPr>
        <w:spacing w:line="220" w:lineRule="exact"/>
        <w:jc w:val="both"/>
        <w:rPr>
          <w:szCs w:val="26"/>
        </w:rPr>
      </w:pPr>
    </w:p>
    <w:p w14:paraId="07E2B49E" w14:textId="4C09C4A6" w:rsidR="00E2327A" w:rsidRPr="00056CCE" w:rsidRDefault="006B5C29" w:rsidP="00056CCE">
      <w:pPr>
        <w:pStyle w:val="Heading3"/>
      </w:pPr>
      <w:bookmarkStart w:id="471" w:name="_Toc159851543"/>
      <w:r>
        <w:t>2.</w:t>
      </w:r>
      <w:r>
        <w:tab/>
      </w:r>
      <w:r w:rsidR="00E2327A">
        <w:t>Medical records</w:t>
      </w:r>
      <w:bookmarkEnd w:id="471"/>
    </w:p>
    <w:p w14:paraId="1F37BE22" w14:textId="77777777" w:rsidR="00E2327A" w:rsidRPr="00063446" w:rsidRDefault="00E2327A" w:rsidP="007120C3">
      <w:pPr>
        <w:spacing w:line="220" w:lineRule="exact"/>
        <w:ind w:left="360"/>
        <w:jc w:val="both"/>
      </w:pPr>
      <w:r w:rsidRPr="00063446">
        <w:rPr>
          <w:szCs w:val="26"/>
        </w:rPr>
        <w:t>The exemption for medical records only applies to records generated and maintained in the process of medical treatment.</w:t>
      </w:r>
      <w:r w:rsidRPr="00063446">
        <w:rPr>
          <w:rStyle w:val="EndnoteReference"/>
          <w:szCs w:val="26"/>
        </w:rPr>
        <w:endnoteReference w:id="574"/>
      </w:r>
      <w:r w:rsidRPr="00063446">
        <w:rPr>
          <w:szCs w:val="26"/>
        </w:rPr>
        <w:t xml:space="preserve"> However, a separate exemption applies to “medical information” pertaining to those professionals covered under R.C. 149.43(A)(7).</w:t>
      </w:r>
      <w:r w:rsidRPr="00063446">
        <w:rPr>
          <w:rStyle w:val="EndnoteReference"/>
          <w:szCs w:val="26"/>
        </w:rPr>
        <w:endnoteReference w:id="575"/>
      </w:r>
    </w:p>
    <w:p w14:paraId="3885E2B0" w14:textId="77777777" w:rsidR="00E2327A" w:rsidRPr="00063446" w:rsidRDefault="00E2327A" w:rsidP="007120C3">
      <w:pPr>
        <w:spacing w:line="220" w:lineRule="exact"/>
        <w:ind w:left="360"/>
        <w:jc w:val="both"/>
      </w:pPr>
    </w:p>
    <w:p w14:paraId="03564698" w14:textId="49AF5D5A" w:rsidR="00E2327A" w:rsidRDefault="00E2327A" w:rsidP="007120C3">
      <w:pPr>
        <w:spacing w:line="220" w:lineRule="exact"/>
        <w:ind w:left="360"/>
        <w:jc w:val="both"/>
      </w:pPr>
      <w:r>
        <w:t>T</w:t>
      </w:r>
      <w:r w:rsidRPr="00063446">
        <w:t>he federal Health Insurance Portability and Accountability</w:t>
      </w:r>
      <w:r>
        <w:t xml:space="preserve"> Act (HIPAA) does not apply to records in employer personnel files, but the federal Family and Medical Leave Act (FMLA) or the Americans </w:t>
      </w:r>
      <w:r w:rsidR="00611596">
        <w:t>with</w:t>
      </w:r>
      <w:r>
        <w:t xml:space="preserve"> Disabilities Act (ADA) may apply to medical-related information in personnel files.</w:t>
      </w:r>
    </w:p>
    <w:p w14:paraId="616EF136" w14:textId="77777777" w:rsidR="006B5C29" w:rsidRPr="001933F8" w:rsidRDefault="006B5C29" w:rsidP="007120C3">
      <w:pPr>
        <w:spacing w:line="220" w:lineRule="exact"/>
        <w:ind w:left="360"/>
        <w:jc w:val="both"/>
      </w:pPr>
    </w:p>
    <w:p w14:paraId="1FDEE1BA" w14:textId="2C9774D0" w:rsidR="00E2327A" w:rsidRDefault="006B5C29" w:rsidP="00322085">
      <w:pPr>
        <w:pStyle w:val="Heading3"/>
      </w:pPr>
      <w:bookmarkStart w:id="472" w:name="_Toc159851544"/>
      <w:r>
        <w:lastRenderedPageBreak/>
        <w:t>3.</w:t>
      </w:r>
      <w:r>
        <w:tab/>
      </w:r>
      <w:r w:rsidR="00E2327A">
        <w:t>Physical fitness, psychiatric, and polygraph examinations</w:t>
      </w:r>
      <w:bookmarkEnd w:id="472"/>
    </w:p>
    <w:p w14:paraId="4486725D" w14:textId="77777777" w:rsidR="00E2327A" w:rsidRPr="00063446" w:rsidRDefault="00E2327A" w:rsidP="007120C3">
      <w:pPr>
        <w:spacing w:line="220" w:lineRule="exact"/>
        <w:ind w:left="360"/>
        <w:jc w:val="both"/>
        <w:rPr>
          <w:szCs w:val="26"/>
        </w:rPr>
      </w:pPr>
      <w:r>
        <w:rPr>
          <w:szCs w:val="26"/>
        </w:rPr>
        <w:t>Many law enforcement offices conduct physical fitness examinations, psychiatric or psychological examinations, or polygraph examinations of prospective or current employees. Because t</w:t>
      </w:r>
      <w:r w:rsidRPr="00063446">
        <w:rPr>
          <w:szCs w:val="26"/>
        </w:rPr>
        <w:t xml:space="preserve">he </w:t>
      </w:r>
      <w:r>
        <w:rPr>
          <w:szCs w:val="26"/>
        </w:rPr>
        <w:t xml:space="preserve">exemption in the </w:t>
      </w:r>
      <w:r w:rsidRPr="00063446">
        <w:rPr>
          <w:szCs w:val="26"/>
        </w:rPr>
        <w:t xml:space="preserve">Public Records Act </w:t>
      </w:r>
      <w:r>
        <w:rPr>
          <w:szCs w:val="26"/>
        </w:rPr>
        <w:t xml:space="preserve">for </w:t>
      </w:r>
      <w:r w:rsidRPr="00063446">
        <w:rPr>
          <w:szCs w:val="26"/>
        </w:rPr>
        <w:t xml:space="preserve">“medical records” </w:t>
      </w:r>
      <w:r>
        <w:rPr>
          <w:szCs w:val="26"/>
        </w:rPr>
        <w:t xml:space="preserve">is </w:t>
      </w:r>
      <w:r w:rsidRPr="00063446">
        <w:rPr>
          <w:szCs w:val="26"/>
        </w:rPr>
        <w:t xml:space="preserve">limited to records generated and maintained in the process of medical </w:t>
      </w:r>
      <w:r w:rsidRPr="00063446">
        <w:rPr>
          <w:i/>
          <w:szCs w:val="26"/>
        </w:rPr>
        <w:t>treatment</w:t>
      </w:r>
      <w:r>
        <w:rPr>
          <w:szCs w:val="26"/>
        </w:rPr>
        <w:t>, these types of records generally are not covered by this exemption.</w:t>
      </w:r>
      <w:r w:rsidRPr="00063446">
        <w:rPr>
          <w:szCs w:val="26"/>
        </w:rPr>
        <w:t xml:space="preserve"> Accordingly, records of examinations performed for the purpose of determining fitness for hiring or for continued employment, including psychiatric</w:t>
      </w:r>
      <w:r w:rsidRPr="00063446">
        <w:rPr>
          <w:rStyle w:val="EndnoteReference"/>
        </w:rPr>
        <w:endnoteReference w:id="576"/>
      </w:r>
      <w:r w:rsidRPr="00063446">
        <w:rPr>
          <w:szCs w:val="26"/>
        </w:rPr>
        <w:t xml:space="preserve"> and psychological</w:t>
      </w:r>
      <w:r w:rsidRPr="00063446">
        <w:rPr>
          <w:rStyle w:val="EndnoteReference"/>
        </w:rPr>
        <w:endnoteReference w:id="577"/>
      </w:r>
      <w:r w:rsidRPr="00063446">
        <w:rPr>
          <w:szCs w:val="26"/>
        </w:rPr>
        <w:t xml:space="preserve"> examinations, are not exempted from disclosure as “medical records.” Similarly, polygraph, or “lie detector” examinations are not “medical records,” and do not fall under the CLEIRs exemption when performed in connection with hiring.</w:t>
      </w:r>
      <w:r w:rsidRPr="00063446">
        <w:rPr>
          <w:rStyle w:val="EndnoteReference"/>
        </w:rPr>
        <w:endnoteReference w:id="578"/>
      </w:r>
      <w:r w:rsidRPr="00063446">
        <w:rPr>
          <w:szCs w:val="26"/>
        </w:rPr>
        <w:t xml:space="preserve">  </w:t>
      </w:r>
    </w:p>
    <w:p w14:paraId="74DE32CC" w14:textId="77777777" w:rsidR="00E2327A" w:rsidRPr="00063446" w:rsidRDefault="00E2327A" w:rsidP="007120C3">
      <w:pPr>
        <w:spacing w:line="220" w:lineRule="exact"/>
        <w:ind w:left="360"/>
        <w:jc w:val="both"/>
        <w:rPr>
          <w:szCs w:val="26"/>
        </w:rPr>
      </w:pPr>
    </w:p>
    <w:p w14:paraId="38909E4B" w14:textId="5BA313FD" w:rsidR="00056CCE" w:rsidRDefault="00E2327A" w:rsidP="00D64510">
      <w:pPr>
        <w:spacing w:line="220" w:lineRule="exact"/>
        <w:ind w:left="360"/>
        <w:jc w:val="both"/>
        <w:rPr>
          <w:szCs w:val="26"/>
        </w:rPr>
      </w:pPr>
      <w:r>
        <w:rPr>
          <w:szCs w:val="26"/>
        </w:rPr>
        <w:t xml:space="preserve">However, federal law may exempt some examinations from disclosure. </w:t>
      </w:r>
      <w:r w:rsidRPr="00063446">
        <w:rPr>
          <w:szCs w:val="26"/>
        </w:rPr>
        <w:t>The federal Americans With Disabilities Act (ADA) and its implementing regulations</w:t>
      </w:r>
      <w:r w:rsidRPr="00063446">
        <w:rPr>
          <w:rStyle w:val="EndnoteReference"/>
        </w:rPr>
        <w:endnoteReference w:id="579"/>
      </w:r>
      <w:r w:rsidRPr="00063446">
        <w:rPr>
          <w:szCs w:val="26"/>
        </w:rPr>
        <w:t xml:space="preserve"> permit employers to require employees and applicants to whom they have offered employment to undergo medical examination and/or inquiry into their ability to perform job-related functions.</w:t>
      </w:r>
      <w:r w:rsidRPr="00063446">
        <w:rPr>
          <w:rStyle w:val="EndnoteReference"/>
        </w:rPr>
        <w:endnoteReference w:id="580"/>
      </w:r>
      <w:r w:rsidRPr="00063446">
        <w:rPr>
          <w:szCs w:val="26"/>
        </w:rPr>
        <w:t xml:space="preserve"> Information regarding medical condition or history must be collected and kept on separate forms and in separate medical files and must be treated as confidential, except as otherwise provided by the ADA.</w:t>
      </w:r>
      <w:r w:rsidRPr="00063446">
        <w:rPr>
          <w:rStyle w:val="EndnoteReference"/>
        </w:rPr>
        <w:endnoteReference w:id="581"/>
      </w:r>
      <w:r w:rsidRPr="00063446">
        <w:rPr>
          <w:szCs w:val="26"/>
        </w:rPr>
        <w:t xml:space="preserve"> These records may be exempted from disclosure under the so-called “catch-all” provision of the Public Records Act as “records the release of which is prohibited by state or federal law.”</w:t>
      </w:r>
      <w:r w:rsidRPr="00063446">
        <w:rPr>
          <w:rStyle w:val="EndnoteReference"/>
        </w:rPr>
        <w:endnoteReference w:id="582"/>
      </w:r>
      <w:r w:rsidRPr="00063446">
        <w:rPr>
          <w:szCs w:val="26"/>
        </w:rPr>
        <w:t xml:space="preserve"> As non-public records, the examinations may constitute “confidential personal information” under Ohio’s Personal Information Systems Act.</w:t>
      </w:r>
      <w:r w:rsidRPr="00063446">
        <w:rPr>
          <w:rStyle w:val="EndnoteReference"/>
        </w:rPr>
        <w:endnoteReference w:id="583"/>
      </w:r>
      <w:r w:rsidRPr="00063446">
        <w:rPr>
          <w:szCs w:val="26"/>
        </w:rPr>
        <w:t xml:space="preserve"> </w:t>
      </w:r>
    </w:p>
    <w:p w14:paraId="31A07FA5" w14:textId="77777777" w:rsidR="006B5C29" w:rsidRPr="00063446" w:rsidRDefault="006B5C29" w:rsidP="007120C3">
      <w:pPr>
        <w:spacing w:line="220" w:lineRule="exact"/>
        <w:ind w:left="360"/>
        <w:jc w:val="both"/>
        <w:rPr>
          <w:szCs w:val="26"/>
        </w:rPr>
      </w:pPr>
    </w:p>
    <w:p w14:paraId="0BC1A8C8" w14:textId="767D4204" w:rsidR="00E2327A" w:rsidRDefault="006B5C29" w:rsidP="00322085">
      <w:pPr>
        <w:pStyle w:val="Heading3"/>
      </w:pPr>
      <w:bookmarkStart w:id="473" w:name="_Toc159851545"/>
      <w:r>
        <w:t>4.</w:t>
      </w:r>
      <w:r>
        <w:tab/>
      </w:r>
      <w:r w:rsidR="00E2327A">
        <w:t>Bargaining agreements</w:t>
      </w:r>
      <w:bookmarkEnd w:id="473"/>
    </w:p>
    <w:p w14:paraId="1F74AB5E" w14:textId="77777777" w:rsidR="00E2327A" w:rsidRDefault="00E2327A" w:rsidP="007120C3">
      <w:pPr>
        <w:spacing w:line="220" w:lineRule="exact"/>
        <w:ind w:left="360"/>
        <w:jc w:val="both"/>
        <w:rPr>
          <w:szCs w:val="26"/>
        </w:rPr>
      </w:pPr>
      <w:r>
        <w:rPr>
          <w:szCs w:val="26"/>
        </w:rPr>
        <w:t>Collective bargaining agreements are public records. Like other contracts and agreements, parties cannot include provisions in collective bargaining agreements that make public records confidential or otherwise contract around public records obligations. Any such provision in a collective bargaining agreement will be invalid.</w:t>
      </w:r>
      <w:r>
        <w:rPr>
          <w:rStyle w:val="EndnoteReference"/>
        </w:rPr>
        <w:endnoteReference w:id="584"/>
      </w:r>
      <w:r>
        <w:rPr>
          <w:szCs w:val="26"/>
        </w:rPr>
        <w:t xml:space="preserve"> For example</w:t>
      </w:r>
      <w:r w:rsidRPr="00063446">
        <w:rPr>
          <w:szCs w:val="26"/>
        </w:rPr>
        <w:t xml:space="preserve">, </w:t>
      </w:r>
      <w:r>
        <w:rPr>
          <w:szCs w:val="26"/>
        </w:rPr>
        <w:t xml:space="preserve">the Supreme Court of Ohio invalidated </w:t>
      </w:r>
      <w:r w:rsidRPr="00063446">
        <w:rPr>
          <w:szCs w:val="26"/>
        </w:rPr>
        <w:t xml:space="preserve">a </w:t>
      </w:r>
      <w:r>
        <w:rPr>
          <w:szCs w:val="26"/>
        </w:rPr>
        <w:t xml:space="preserve">provision of a </w:t>
      </w:r>
      <w:r w:rsidRPr="00063446">
        <w:rPr>
          <w:szCs w:val="26"/>
        </w:rPr>
        <w:t xml:space="preserve">collective bargaining agreement between a city and its police force </w:t>
      </w:r>
      <w:r>
        <w:rPr>
          <w:szCs w:val="26"/>
        </w:rPr>
        <w:t xml:space="preserve">that </w:t>
      </w:r>
      <w:r w:rsidRPr="00063446">
        <w:rPr>
          <w:szCs w:val="26"/>
        </w:rPr>
        <w:t>required the city to ensure confidentiality of officers’ personnel records.</w:t>
      </w:r>
      <w:r>
        <w:rPr>
          <w:rStyle w:val="EndnoteReference"/>
          <w:szCs w:val="26"/>
        </w:rPr>
        <w:endnoteReference w:id="585"/>
      </w:r>
    </w:p>
    <w:p w14:paraId="6F2C8F03" w14:textId="77777777" w:rsidR="007120C3" w:rsidRPr="00063446" w:rsidRDefault="007120C3" w:rsidP="007120C3">
      <w:pPr>
        <w:spacing w:line="220" w:lineRule="exact"/>
        <w:ind w:left="360"/>
        <w:jc w:val="both"/>
        <w:rPr>
          <w:szCs w:val="26"/>
        </w:rPr>
      </w:pPr>
    </w:p>
    <w:p w14:paraId="59DEFD27" w14:textId="733DE2B6" w:rsidR="00E2327A" w:rsidRPr="00CB19C7" w:rsidRDefault="006B5C29" w:rsidP="00322085">
      <w:pPr>
        <w:pStyle w:val="Heading3"/>
      </w:pPr>
      <w:bookmarkStart w:id="474" w:name="_Toc159851546"/>
      <w:r>
        <w:t>5.</w:t>
      </w:r>
      <w:r>
        <w:tab/>
      </w:r>
      <w:r w:rsidR="00E2327A" w:rsidRPr="00CB19C7">
        <w:t xml:space="preserve">Residential and </w:t>
      </w:r>
      <w:r w:rsidR="00236FD5">
        <w:t>f</w:t>
      </w:r>
      <w:r w:rsidR="00E2327A" w:rsidRPr="00CB19C7">
        <w:t xml:space="preserve">amilial </w:t>
      </w:r>
      <w:r w:rsidR="00236FD5">
        <w:t>i</w:t>
      </w:r>
      <w:r w:rsidR="00E2327A" w:rsidRPr="00CB19C7">
        <w:t xml:space="preserve">nformation of </w:t>
      </w:r>
      <w:r w:rsidR="00236FD5">
        <w:t>c</w:t>
      </w:r>
      <w:r w:rsidR="00E2327A" w:rsidRPr="00CB19C7">
        <w:t xml:space="preserve">overed </w:t>
      </w:r>
      <w:r w:rsidR="00236FD5">
        <w:t>p</w:t>
      </w:r>
      <w:r w:rsidR="00E2327A" w:rsidRPr="00CB19C7">
        <w:t>rofessions</w:t>
      </w:r>
      <w:bookmarkEnd w:id="474"/>
    </w:p>
    <w:p w14:paraId="7DC8B897" w14:textId="7D6BFB50" w:rsidR="00B504A3" w:rsidRDefault="00E2327A" w:rsidP="006B5C29">
      <w:pPr>
        <w:spacing w:line="220" w:lineRule="exact"/>
        <w:ind w:left="360"/>
        <w:jc w:val="both"/>
      </w:pPr>
      <w:r w:rsidRPr="006346D5">
        <w:t xml:space="preserve">The Public Records Act </w:t>
      </w:r>
      <w:r>
        <w:t>exempts from disclosure “</w:t>
      </w:r>
      <w:r w:rsidRPr="006346D5">
        <w:t>residential and familial information</w:t>
      </w:r>
      <w:r>
        <w:t>”</w:t>
      </w:r>
      <w:r w:rsidRPr="006346D5">
        <w:t xml:space="preserve"> </w:t>
      </w:r>
      <w:r>
        <w:t>of</w:t>
      </w:r>
      <w:r w:rsidRPr="006346D5">
        <w:t xml:space="preserve"> certain professionals or employees</w:t>
      </w:r>
      <w:r>
        <w:t xml:space="preserve"> identified in the Act.</w:t>
      </w:r>
      <w:r>
        <w:rPr>
          <w:rStyle w:val="EndnoteReference"/>
        </w:rPr>
        <w:endnoteReference w:id="586"/>
      </w:r>
      <w:r>
        <w:t xml:space="preserve"> </w:t>
      </w:r>
      <w:r w:rsidRPr="002B5577">
        <w:t xml:space="preserve">For purposes of this section, “covered professions” </w:t>
      </w:r>
      <w:r>
        <w:t xml:space="preserve">or “covered employee” </w:t>
      </w:r>
      <w:r w:rsidRPr="002B5577">
        <w:t>describe all persons covered under the</w:t>
      </w:r>
      <w:r>
        <w:t xml:space="preserve"> </w:t>
      </w:r>
      <w:r w:rsidRPr="002B5577">
        <w:t>exemption.</w:t>
      </w:r>
      <w:r>
        <w:t xml:space="preserve"> The covered professions and employees include:</w:t>
      </w:r>
    </w:p>
    <w:p w14:paraId="0E4CDEDF" w14:textId="77777777" w:rsidR="000E7261" w:rsidRDefault="000E7261" w:rsidP="006B5C29">
      <w:pPr>
        <w:spacing w:line="220" w:lineRule="exact"/>
        <w:ind w:left="360"/>
        <w:jc w:val="both"/>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4117"/>
      </w:tblGrid>
      <w:tr w:rsidR="00B504A3" w14:paraId="56BB04C9" w14:textId="77777777" w:rsidTr="000E7261">
        <w:tc>
          <w:tcPr>
            <w:tcW w:w="3803" w:type="dxa"/>
          </w:tcPr>
          <w:p w14:paraId="79EA916B" w14:textId="5E250249" w:rsidR="00B504A3" w:rsidRDefault="00B504A3" w:rsidP="000E7261">
            <w:pPr>
              <w:spacing w:before="60" w:after="60" w:line="220" w:lineRule="exact"/>
            </w:pPr>
            <w:r w:rsidRPr="002421E7">
              <w:t>•</w:t>
            </w:r>
            <w:r>
              <w:t xml:space="preserve"> Peace officers</w:t>
            </w:r>
            <w:r>
              <w:rPr>
                <w:rStyle w:val="EndnoteReference"/>
              </w:rPr>
              <w:endnoteReference w:id="587"/>
            </w:r>
          </w:p>
        </w:tc>
        <w:tc>
          <w:tcPr>
            <w:tcW w:w="4117" w:type="dxa"/>
          </w:tcPr>
          <w:p w14:paraId="36D9A5D1" w14:textId="08255000" w:rsidR="00B504A3" w:rsidRDefault="00B504A3" w:rsidP="000E7261">
            <w:pPr>
              <w:spacing w:before="60" w:after="60" w:line="220" w:lineRule="exact"/>
            </w:pPr>
            <w:r w:rsidRPr="002421E7">
              <w:t>•</w:t>
            </w:r>
            <w:r w:rsidR="00236FD5">
              <w:t xml:space="preserve"> </w:t>
            </w:r>
            <w:r>
              <w:t>Parole officers and probation officers</w:t>
            </w:r>
          </w:p>
        </w:tc>
      </w:tr>
      <w:tr w:rsidR="00B504A3" w14:paraId="7C75AA8A" w14:textId="77777777" w:rsidTr="000E7261">
        <w:tc>
          <w:tcPr>
            <w:tcW w:w="3803" w:type="dxa"/>
          </w:tcPr>
          <w:p w14:paraId="5FB38642" w14:textId="35A29656" w:rsidR="00B504A3" w:rsidRDefault="00B504A3" w:rsidP="000E7261">
            <w:pPr>
              <w:spacing w:before="60" w:after="60" w:line="220" w:lineRule="exact"/>
            </w:pPr>
            <w:r w:rsidRPr="002421E7">
              <w:t>•</w:t>
            </w:r>
            <w:r>
              <w:t xml:space="preserve"> Correctional employees</w:t>
            </w:r>
            <w:r>
              <w:rPr>
                <w:rStyle w:val="EndnoteReference"/>
              </w:rPr>
              <w:endnoteReference w:id="588"/>
            </w:r>
          </w:p>
        </w:tc>
        <w:tc>
          <w:tcPr>
            <w:tcW w:w="4117" w:type="dxa"/>
          </w:tcPr>
          <w:p w14:paraId="053279C2" w14:textId="7291B109" w:rsidR="00B504A3" w:rsidRDefault="00B504A3" w:rsidP="000E7261">
            <w:pPr>
              <w:spacing w:before="60" w:after="60" w:line="220" w:lineRule="exact"/>
            </w:pPr>
            <w:r w:rsidRPr="002421E7">
              <w:t>•</w:t>
            </w:r>
            <w:r>
              <w:t xml:space="preserve"> Bailiffs</w:t>
            </w:r>
          </w:p>
        </w:tc>
      </w:tr>
      <w:tr w:rsidR="00B504A3" w14:paraId="735EC5D4" w14:textId="77777777" w:rsidTr="000E7261">
        <w:tc>
          <w:tcPr>
            <w:tcW w:w="3803" w:type="dxa"/>
          </w:tcPr>
          <w:p w14:paraId="491C70A2" w14:textId="336AA8C8" w:rsidR="00B504A3" w:rsidRDefault="00236FD5" w:rsidP="000E7261">
            <w:pPr>
              <w:spacing w:before="60" w:after="60" w:line="220" w:lineRule="exact"/>
            </w:pPr>
            <w:r w:rsidRPr="002421E7">
              <w:t>•</w:t>
            </w:r>
            <w:r>
              <w:t xml:space="preserve"> Firefighters</w:t>
            </w:r>
            <w:r>
              <w:rPr>
                <w:rStyle w:val="EndnoteReference"/>
              </w:rPr>
              <w:endnoteReference w:id="589"/>
            </w:r>
          </w:p>
        </w:tc>
        <w:tc>
          <w:tcPr>
            <w:tcW w:w="4117" w:type="dxa"/>
          </w:tcPr>
          <w:p w14:paraId="6319E478" w14:textId="5D39C29D" w:rsidR="00B504A3" w:rsidRDefault="00B504A3" w:rsidP="000E7261">
            <w:pPr>
              <w:spacing w:before="60" w:after="60" w:line="220" w:lineRule="exact"/>
            </w:pPr>
            <w:r w:rsidRPr="002421E7">
              <w:t>•</w:t>
            </w:r>
            <w:r>
              <w:t xml:space="preserve"> Prosecutors and assistant prosecutors</w:t>
            </w:r>
          </w:p>
        </w:tc>
      </w:tr>
      <w:tr w:rsidR="00B504A3" w14:paraId="47DFDF7D" w14:textId="77777777" w:rsidTr="000E7261">
        <w:tc>
          <w:tcPr>
            <w:tcW w:w="3803" w:type="dxa"/>
          </w:tcPr>
          <w:p w14:paraId="15D847FC" w14:textId="2AEAE157" w:rsidR="00B504A3" w:rsidRDefault="00B504A3" w:rsidP="000E7261">
            <w:pPr>
              <w:spacing w:before="60" w:after="60" w:line="220" w:lineRule="exact"/>
            </w:pPr>
            <w:r w:rsidRPr="002421E7">
              <w:t>•</w:t>
            </w:r>
            <w:r w:rsidR="00236FD5">
              <w:t xml:space="preserve"> </w:t>
            </w:r>
            <w:r>
              <w:t>Emergency service telecommunicators</w:t>
            </w:r>
            <w:r>
              <w:rPr>
                <w:rStyle w:val="EndnoteReference"/>
              </w:rPr>
              <w:endnoteReference w:id="590"/>
            </w:r>
          </w:p>
        </w:tc>
        <w:tc>
          <w:tcPr>
            <w:tcW w:w="4117" w:type="dxa"/>
          </w:tcPr>
          <w:p w14:paraId="254E4CAA" w14:textId="152C3AB5" w:rsidR="00B504A3" w:rsidRDefault="00236FD5" w:rsidP="000E7261">
            <w:pPr>
              <w:spacing w:before="60" w:after="60" w:line="220" w:lineRule="exact"/>
            </w:pPr>
            <w:r w:rsidRPr="002421E7">
              <w:t>•</w:t>
            </w:r>
            <w:r>
              <w:t xml:space="preserve"> Regional psychiatric hospital employees</w:t>
            </w:r>
            <w:r>
              <w:rPr>
                <w:rStyle w:val="EndnoteReference"/>
              </w:rPr>
              <w:endnoteReference w:id="591"/>
            </w:r>
          </w:p>
        </w:tc>
      </w:tr>
      <w:tr w:rsidR="00B504A3" w14:paraId="12C01626" w14:textId="77777777" w:rsidTr="000E7261">
        <w:tc>
          <w:tcPr>
            <w:tcW w:w="3803" w:type="dxa"/>
          </w:tcPr>
          <w:p w14:paraId="728D8E0E" w14:textId="1DD9CF2F" w:rsidR="00B504A3" w:rsidRDefault="00236FD5" w:rsidP="000E7261">
            <w:pPr>
              <w:spacing w:before="60" w:after="60" w:line="220" w:lineRule="exact"/>
            </w:pPr>
            <w:r w:rsidRPr="002421E7">
              <w:t>•</w:t>
            </w:r>
            <w:r>
              <w:t xml:space="preserve"> County or multicounty corrections officers</w:t>
            </w:r>
            <w:r>
              <w:rPr>
                <w:rStyle w:val="EndnoteReference"/>
              </w:rPr>
              <w:endnoteReference w:id="592"/>
            </w:r>
          </w:p>
        </w:tc>
        <w:tc>
          <w:tcPr>
            <w:tcW w:w="4117" w:type="dxa"/>
          </w:tcPr>
          <w:p w14:paraId="3B8FB283" w14:textId="5C9CBD23" w:rsidR="00B504A3" w:rsidRDefault="00236FD5" w:rsidP="000E7261">
            <w:pPr>
              <w:spacing w:before="60" w:after="60" w:line="220" w:lineRule="exact"/>
            </w:pPr>
            <w:r w:rsidRPr="002421E7">
              <w:t>•</w:t>
            </w:r>
            <w:r>
              <w:t xml:space="preserve"> Designated Ohio national guard members</w:t>
            </w:r>
            <w:r>
              <w:rPr>
                <w:rStyle w:val="EndnoteReference"/>
              </w:rPr>
              <w:endnoteReference w:id="593"/>
            </w:r>
          </w:p>
        </w:tc>
      </w:tr>
      <w:tr w:rsidR="00B504A3" w14:paraId="044F9016" w14:textId="77777777" w:rsidTr="000E7261">
        <w:tc>
          <w:tcPr>
            <w:tcW w:w="3803" w:type="dxa"/>
          </w:tcPr>
          <w:p w14:paraId="54A57F92" w14:textId="11D5DAFA" w:rsidR="00B504A3" w:rsidRDefault="00B504A3" w:rsidP="000E7261">
            <w:pPr>
              <w:spacing w:before="60" w:after="60" w:line="220" w:lineRule="exact"/>
            </w:pPr>
            <w:r w:rsidRPr="002421E7">
              <w:t>•</w:t>
            </w:r>
            <w:r>
              <w:t xml:space="preserve"> Forensic mental health providers</w:t>
            </w:r>
            <w:r>
              <w:rPr>
                <w:rStyle w:val="EndnoteReference"/>
              </w:rPr>
              <w:endnoteReference w:id="594"/>
            </w:r>
          </w:p>
        </w:tc>
        <w:tc>
          <w:tcPr>
            <w:tcW w:w="4117" w:type="dxa"/>
          </w:tcPr>
          <w:p w14:paraId="6C1BDF39" w14:textId="5CD4E2FB" w:rsidR="00B504A3" w:rsidRDefault="00236FD5" w:rsidP="000E7261">
            <w:pPr>
              <w:spacing w:before="60" w:after="60" w:line="220" w:lineRule="exact"/>
            </w:pPr>
            <w:r w:rsidRPr="002421E7">
              <w:t>•</w:t>
            </w:r>
            <w:r>
              <w:t xml:space="preserve"> Judges and magistrates</w:t>
            </w:r>
          </w:p>
        </w:tc>
      </w:tr>
      <w:tr w:rsidR="00B504A3" w14:paraId="524E7788" w14:textId="77777777" w:rsidTr="000E7261">
        <w:tc>
          <w:tcPr>
            <w:tcW w:w="3803" w:type="dxa"/>
          </w:tcPr>
          <w:p w14:paraId="419031F5" w14:textId="7A643EE1" w:rsidR="00B504A3" w:rsidRDefault="00B504A3" w:rsidP="000E7261">
            <w:pPr>
              <w:spacing w:before="60" w:after="60" w:line="220" w:lineRule="exact"/>
            </w:pPr>
            <w:r w:rsidRPr="002421E7">
              <w:t>•</w:t>
            </w:r>
            <w:r>
              <w:t xml:space="preserve"> Mental health evaluation providers</w:t>
            </w:r>
            <w:r>
              <w:rPr>
                <w:rStyle w:val="EndnoteReference"/>
              </w:rPr>
              <w:endnoteReference w:id="595"/>
            </w:r>
          </w:p>
        </w:tc>
        <w:tc>
          <w:tcPr>
            <w:tcW w:w="4117" w:type="dxa"/>
          </w:tcPr>
          <w:p w14:paraId="53D94C3C" w14:textId="0410D87C" w:rsidR="00B504A3" w:rsidRDefault="00236FD5" w:rsidP="000E7261">
            <w:pPr>
              <w:spacing w:before="60" w:after="60" w:line="220" w:lineRule="exact"/>
            </w:pPr>
            <w:r w:rsidRPr="002421E7">
              <w:t>•</w:t>
            </w:r>
            <w:r>
              <w:t xml:space="preserve"> State Board of Pharmacy employees</w:t>
            </w:r>
          </w:p>
        </w:tc>
      </w:tr>
      <w:tr w:rsidR="00B504A3" w14:paraId="57E53A96" w14:textId="77777777" w:rsidTr="000E7261">
        <w:tc>
          <w:tcPr>
            <w:tcW w:w="3803" w:type="dxa"/>
          </w:tcPr>
          <w:p w14:paraId="1A1D2876" w14:textId="436FBF18" w:rsidR="00B504A3" w:rsidRDefault="00B504A3" w:rsidP="000E7261">
            <w:pPr>
              <w:spacing w:before="60" w:after="60" w:line="220" w:lineRule="exact"/>
            </w:pPr>
            <w:r w:rsidRPr="002421E7">
              <w:t>•</w:t>
            </w:r>
            <w:r>
              <w:t xml:space="preserve"> Protective services workers</w:t>
            </w:r>
            <w:r>
              <w:rPr>
                <w:rStyle w:val="EndnoteReference"/>
              </w:rPr>
              <w:endnoteReference w:id="596"/>
            </w:r>
          </w:p>
        </w:tc>
        <w:tc>
          <w:tcPr>
            <w:tcW w:w="4117" w:type="dxa"/>
          </w:tcPr>
          <w:p w14:paraId="6BA5EF96" w14:textId="7AE48BC1" w:rsidR="00B504A3" w:rsidRDefault="00B504A3" w:rsidP="000E7261">
            <w:pPr>
              <w:spacing w:before="60" w:after="60" w:line="220" w:lineRule="exact"/>
            </w:pPr>
            <w:r w:rsidRPr="002421E7">
              <w:t>•</w:t>
            </w:r>
            <w:r>
              <w:t xml:space="preserve"> Federal law enforcement officers</w:t>
            </w:r>
            <w:r>
              <w:rPr>
                <w:rStyle w:val="EndnoteReference"/>
              </w:rPr>
              <w:endnoteReference w:id="597"/>
            </w:r>
          </w:p>
        </w:tc>
      </w:tr>
      <w:tr w:rsidR="00B504A3" w14:paraId="3D1F216B" w14:textId="77777777" w:rsidTr="000E7261">
        <w:tc>
          <w:tcPr>
            <w:tcW w:w="3803" w:type="dxa"/>
          </w:tcPr>
          <w:p w14:paraId="0D6A2129" w14:textId="5712063D" w:rsidR="00B504A3" w:rsidRDefault="00B504A3" w:rsidP="000E7261">
            <w:pPr>
              <w:spacing w:before="60" w:after="60" w:line="220" w:lineRule="exact"/>
            </w:pPr>
            <w:r w:rsidRPr="002421E7">
              <w:t>•</w:t>
            </w:r>
            <w:r>
              <w:t xml:space="preserve"> Investigators of the Bureau of Identification and Investigation</w:t>
            </w:r>
            <w:r>
              <w:rPr>
                <w:rStyle w:val="EndnoteReference"/>
              </w:rPr>
              <w:endnoteReference w:id="598"/>
            </w:r>
          </w:p>
        </w:tc>
        <w:tc>
          <w:tcPr>
            <w:tcW w:w="4117" w:type="dxa"/>
          </w:tcPr>
          <w:p w14:paraId="3B86CACE" w14:textId="0A06B6E4" w:rsidR="00B504A3" w:rsidRDefault="00B504A3" w:rsidP="000E7261">
            <w:pPr>
              <w:spacing w:before="60" w:after="60" w:line="220" w:lineRule="exact"/>
            </w:pPr>
            <w:r w:rsidRPr="002421E7">
              <w:t>•</w:t>
            </w:r>
            <w:r>
              <w:t xml:space="preserve"> Community-based correctional facility and youth services employees</w:t>
            </w:r>
            <w:r>
              <w:rPr>
                <w:rStyle w:val="EndnoteReference"/>
              </w:rPr>
              <w:endnoteReference w:id="599"/>
            </w:r>
          </w:p>
        </w:tc>
      </w:tr>
      <w:tr w:rsidR="00B504A3" w14:paraId="581D4D34" w14:textId="77777777" w:rsidTr="000E7261">
        <w:trPr>
          <w:trHeight w:val="47"/>
        </w:trPr>
        <w:tc>
          <w:tcPr>
            <w:tcW w:w="3803" w:type="dxa"/>
          </w:tcPr>
          <w:p w14:paraId="701B1EB5" w14:textId="5BC008C2" w:rsidR="00B504A3" w:rsidRDefault="00B504A3" w:rsidP="000E7261">
            <w:pPr>
              <w:spacing w:before="60" w:after="60" w:line="220" w:lineRule="exact"/>
            </w:pPr>
            <w:r w:rsidRPr="002421E7">
              <w:lastRenderedPageBreak/>
              <w:t>•</w:t>
            </w:r>
            <w:r>
              <w:t xml:space="preserve"> Medical directors or members of a cooperating employees physician advisory board of an emergency medical service organization</w:t>
            </w:r>
          </w:p>
        </w:tc>
        <w:tc>
          <w:tcPr>
            <w:tcW w:w="4117" w:type="dxa"/>
          </w:tcPr>
          <w:p w14:paraId="5B75FAA4" w14:textId="797FFF4D" w:rsidR="00B504A3" w:rsidRDefault="00B504A3" w:rsidP="000E7261">
            <w:pPr>
              <w:spacing w:before="60" w:after="60" w:line="220" w:lineRule="exact"/>
            </w:pPr>
            <w:r w:rsidRPr="002421E7">
              <w:t>•</w:t>
            </w:r>
            <w:r>
              <w:t xml:space="preserve"> Emergency medical technicians</w:t>
            </w:r>
            <w:r>
              <w:rPr>
                <w:rStyle w:val="EndnoteReference"/>
              </w:rPr>
              <w:endnoteReference w:id="600"/>
            </w:r>
          </w:p>
        </w:tc>
      </w:tr>
    </w:tbl>
    <w:p w14:paraId="43AC3C19" w14:textId="77777777" w:rsidR="007120C3" w:rsidRDefault="007120C3" w:rsidP="00236FD5">
      <w:pPr>
        <w:spacing w:line="220" w:lineRule="exact"/>
        <w:jc w:val="both"/>
      </w:pPr>
    </w:p>
    <w:p w14:paraId="49A2D246" w14:textId="242849CC" w:rsidR="00E2327A" w:rsidRDefault="00E2327A" w:rsidP="007120C3">
      <w:pPr>
        <w:spacing w:line="220" w:lineRule="exact"/>
        <w:ind w:left="360"/>
        <w:jc w:val="both"/>
      </w:pPr>
      <w:r>
        <w:t>“Residential and familial information” means information that discloses any of the following about a covered profession or covered employee:</w:t>
      </w:r>
    </w:p>
    <w:p w14:paraId="09FEE52E" w14:textId="77777777" w:rsidR="00614FD3" w:rsidRDefault="00614FD3" w:rsidP="00236FD5">
      <w:pPr>
        <w:spacing w:line="220" w:lineRule="exact"/>
        <w:ind w:left="1080"/>
        <w:jc w:val="both"/>
      </w:pPr>
    </w:p>
    <w:p w14:paraId="7C7DA084" w14:textId="77777777" w:rsidR="00236FD5" w:rsidRDefault="00614FD3" w:rsidP="00614FD3">
      <w:pPr>
        <w:spacing w:line="220" w:lineRule="exact"/>
        <w:ind w:left="1440" w:hanging="360"/>
        <w:jc w:val="both"/>
      </w:pPr>
      <w:r w:rsidRPr="002421E7">
        <w:t>•</w:t>
      </w:r>
      <w:r>
        <w:tab/>
      </w:r>
      <w:r w:rsidRPr="000F7229">
        <w:t>Address of the covered employee’s actual personal residence, except for state or political subdivision.</w:t>
      </w:r>
      <w:r>
        <w:rPr>
          <w:rStyle w:val="EndnoteReference"/>
        </w:rPr>
        <w:endnoteReference w:id="601"/>
      </w:r>
      <w:r w:rsidRPr="000F7229">
        <w:t xml:space="preserve"> </w:t>
      </w:r>
    </w:p>
    <w:p w14:paraId="334E22C2" w14:textId="77777777" w:rsidR="00236FD5" w:rsidRDefault="00236FD5" w:rsidP="00236FD5">
      <w:pPr>
        <w:spacing w:line="220" w:lineRule="exact"/>
        <w:ind w:left="1440"/>
        <w:jc w:val="both"/>
      </w:pPr>
    </w:p>
    <w:p w14:paraId="3EC6B329" w14:textId="7A83F4AA" w:rsidR="00614FD3" w:rsidRDefault="00614FD3" w:rsidP="00236FD5">
      <w:pPr>
        <w:spacing w:line="220" w:lineRule="exact"/>
        <w:ind w:left="1440"/>
        <w:jc w:val="both"/>
      </w:pPr>
      <w:r w:rsidRPr="000F7229">
        <w:t xml:space="preserve">NOTE: </w:t>
      </w:r>
      <w:r>
        <w:t>b</w:t>
      </w:r>
      <w:r w:rsidRPr="000F7229">
        <w:t xml:space="preserve">ecause prosecuting attorneys and judges are elected officials, the actual personal residential addresses of elected prosecuting attorneys and judges are </w:t>
      </w:r>
      <w:r w:rsidRPr="00236FD5">
        <w:rPr>
          <w:i/>
          <w:iCs/>
        </w:rPr>
        <w:t>not</w:t>
      </w:r>
      <w:r w:rsidRPr="000F7229">
        <w:t xml:space="preserve"> exemp</w:t>
      </w:r>
      <w:r>
        <w:t>t</w:t>
      </w:r>
      <w:r w:rsidRPr="000F7229">
        <w:t xml:space="preserve"> from disclosure</w:t>
      </w:r>
      <w:r>
        <w:t xml:space="preserve"> under</w:t>
      </w:r>
      <w:r w:rsidRPr="000F7229">
        <w:t xml:space="preserve"> R.C. 149.43(A)(8)(a)(i).</w:t>
      </w:r>
    </w:p>
    <w:p w14:paraId="60A23967" w14:textId="77777777" w:rsidR="00614FD3" w:rsidRDefault="00614FD3" w:rsidP="00614FD3">
      <w:pPr>
        <w:spacing w:line="220" w:lineRule="exact"/>
        <w:ind w:left="1440" w:hanging="360"/>
        <w:jc w:val="both"/>
      </w:pPr>
    </w:p>
    <w:p w14:paraId="2A562F32" w14:textId="57982FD6" w:rsidR="00614FD3" w:rsidRDefault="00614FD3" w:rsidP="00614FD3">
      <w:pPr>
        <w:spacing w:line="220" w:lineRule="exact"/>
        <w:ind w:left="1440" w:hanging="360"/>
        <w:jc w:val="both"/>
      </w:pPr>
      <w:r w:rsidRPr="00614FD3">
        <w:t>•</w:t>
      </w:r>
      <w:r w:rsidR="00236FD5">
        <w:tab/>
      </w:r>
      <w:r w:rsidRPr="00614FD3">
        <w:t>Residential</w:t>
      </w:r>
      <w:r w:rsidRPr="000F7229">
        <w:t xml:space="preserve"> address, residential phone number, and emergency phone number of the spouse, former spouse, or child</w:t>
      </w:r>
      <w:r>
        <w:rPr>
          <w:rStyle w:val="EndnoteReference"/>
        </w:rPr>
        <w:endnoteReference w:id="602"/>
      </w:r>
      <w:r w:rsidRPr="000F7229">
        <w:t xml:space="preserve"> of a covered employee</w:t>
      </w:r>
      <w:r>
        <w:t>.</w:t>
      </w:r>
      <w:r>
        <w:rPr>
          <w:rStyle w:val="EndnoteReference"/>
        </w:rPr>
        <w:endnoteReference w:id="603"/>
      </w:r>
    </w:p>
    <w:p w14:paraId="2A654F1C" w14:textId="77777777" w:rsidR="00614FD3" w:rsidRDefault="00614FD3" w:rsidP="00614FD3">
      <w:pPr>
        <w:spacing w:line="220" w:lineRule="exact"/>
        <w:ind w:left="1440" w:hanging="360"/>
        <w:jc w:val="both"/>
      </w:pPr>
    </w:p>
    <w:p w14:paraId="798C39CF" w14:textId="047009E6" w:rsidR="00614FD3" w:rsidRDefault="00614FD3" w:rsidP="00614FD3">
      <w:pPr>
        <w:spacing w:line="220" w:lineRule="exact"/>
        <w:ind w:left="1440" w:hanging="360"/>
        <w:jc w:val="both"/>
      </w:pPr>
      <w:r w:rsidRPr="00614FD3">
        <w:t>•</w:t>
      </w:r>
      <w:r w:rsidR="00236FD5">
        <w:tab/>
      </w:r>
      <w:r w:rsidRPr="00614FD3">
        <w:t>Any information of a covered employee that is compiled from referral to or participation in an employee assistance program.</w:t>
      </w:r>
      <w:r>
        <w:rPr>
          <w:rStyle w:val="EndnoteReference"/>
        </w:rPr>
        <w:endnoteReference w:id="604"/>
      </w:r>
    </w:p>
    <w:p w14:paraId="1182DE2B" w14:textId="77777777" w:rsidR="00614FD3" w:rsidRDefault="00614FD3" w:rsidP="00614FD3">
      <w:pPr>
        <w:spacing w:line="220" w:lineRule="exact"/>
        <w:ind w:left="1440" w:hanging="360"/>
        <w:jc w:val="both"/>
      </w:pPr>
    </w:p>
    <w:p w14:paraId="4945E2F3" w14:textId="59387845" w:rsidR="00614FD3" w:rsidRDefault="00614FD3" w:rsidP="00614FD3">
      <w:pPr>
        <w:spacing w:line="220" w:lineRule="exact"/>
        <w:ind w:left="1440" w:hanging="360"/>
        <w:jc w:val="both"/>
        <w:rPr>
          <w:rFonts w:asciiTheme="minorHAnsi" w:hAnsiTheme="minorHAnsi" w:cstheme="minorHAnsi"/>
        </w:rPr>
      </w:pPr>
      <w:r w:rsidRPr="00614FD3">
        <w:t>•</w:t>
      </w:r>
      <w:r w:rsidR="00236FD5">
        <w:tab/>
      </w:r>
      <w:r w:rsidRPr="00614FD3">
        <w:rPr>
          <w:rFonts w:asciiTheme="minorHAnsi" w:hAnsiTheme="minorHAnsi" w:cstheme="minorHAnsi"/>
        </w:rPr>
        <w:t>Any medical information of a covered employee.</w:t>
      </w:r>
      <w:r>
        <w:rPr>
          <w:rStyle w:val="EndnoteReference"/>
          <w:rFonts w:asciiTheme="minorHAnsi" w:hAnsiTheme="minorHAnsi" w:cstheme="minorHAnsi"/>
        </w:rPr>
        <w:endnoteReference w:id="605"/>
      </w:r>
    </w:p>
    <w:p w14:paraId="2E13EB21" w14:textId="77777777" w:rsidR="00236FD5" w:rsidRDefault="00236FD5" w:rsidP="00614FD3">
      <w:pPr>
        <w:spacing w:line="220" w:lineRule="exact"/>
        <w:ind w:left="1440" w:hanging="360"/>
        <w:jc w:val="both"/>
      </w:pPr>
    </w:p>
    <w:p w14:paraId="75618107" w14:textId="4D30220F" w:rsidR="00614FD3" w:rsidRDefault="00614FD3" w:rsidP="00614FD3">
      <w:pPr>
        <w:spacing w:line="220" w:lineRule="exact"/>
        <w:ind w:left="1440" w:hanging="360"/>
        <w:jc w:val="both"/>
      </w:pPr>
      <w:r w:rsidRPr="00614FD3">
        <w:t>•</w:t>
      </w:r>
      <w:r w:rsidR="00236FD5">
        <w:tab/>
      </w:r>
      <w:r w:rsidRPr="00614FD3">
        <w:t>The name of any beneficiary of employment benefits of a covered employee, including, but not limited to, life insurance benefits.</w:t>
      </w:r>
      <w:r>
        <w:rPr>
          <w:rStyle w:val="EndnoteReference"/>
        </w:rPr>
        <w:endnoteReference w:id="606"/>
      </w:r>
    </w:p>
    <w:p w14:paraId="4574E78E" w14:textId="77777777" w:rsidR="00614FD3" w:rsidRDefault="00614FD3" w:rsidP="00614FD3">
      <w:pPr>
        <w:spacing w:line="220" w:lineRule="exact"/>
        <w:ind w:left="1440" w:hanging="360"/>
        <w:jc w:val="both"/>
      </w:pPr>
    </w:p>
    <w:p w14:paraId="098006BA" w14:textId="4A9787D1" w:rsidR="00614FD3" w:rsidRDefault="00614FD3" w:rsidP="00614FD3">
      <w:pPr>
        <w:spacing w:line="220" w:lineRule="exact"/>
        <w:ind w:left="1440" w:hanging="360"/>
        <w:jc w:val="both"/>
      </w:pPr>
      <w:r w:rsidRPr="00614FD3">
        <w:t>•</w:t>
      </w:r>
      <w:r w:rsidR="00236FD5">
        <w:tab/>
      </w:r>
      <w:r w:rsidRPr="00614FD3">
        <w:t>The identity and amount of any charitable or employment benefit deduction of a covered employee.</w:t>
      </w:r>
      <w:r>
        <w:rPr>
          <w:rStyle w:val="EndnoteReference"/>
        </w:rPr>
        <w:endnoteReference w:id="607"/>
      </w:r>
    </w:p>
    <w:p w14:paraId="5F3681FE" w14:textId="77777777" w:rsidR="00614FD3" w:rsidRDefault="00614FD3" w:rsidP="00614FD3">
      <w:pPr>
        <w:spacing w:line="220" w:lineRule="exact"/>
        <w:ind w:left="1440" w:hanging="360"/>
        <w:jc w:val="both"/>
      </w:pPr>
    </w:p>
    <w:p w14:paraId="65F99AC3" w14:textId="32424C1F" w:rsidR="00614FD3" w:rsidRDefault="00614FD3" w:rsidP="00614FD3">
      <w:pPr>
        <w:spacing w:line="220" w:lineRule="exact"/>
        <w:ind w:left="1440" w:hanging="360"/>
        <w:jc w:val="both"/>
      </w:pPr>
      <w:r w:rsidRPr="00614FD3">
        <w:t>•</w:t>
      </w:r>
      <w:r w:rsidR="00236FD5">
        <w:tab/>
      </w:r>
      <w:r w:rsidRPr="00614FD3">
        <w:t>A photograph of a peace officer who holds a position that may include undercover or plain clothes positions or assignments.</w:t>
      </w:r>
      <w:r>
        <w:rPr>
          <w:rStyle w:val="EndnoteReference"/>
        </w:rPr>
        <w:endnoteReference w:id="608"/>
      </w:r>
    </w:p>
    <w:p w14:paraId="13BBFB10" w14:textId="77777777" w:rsidR="00614FD3" w:rsidRDefault="00614FD3" w:rsidP="00614FD3">
      <w:pPr>
        <w:spacing w:line="220" w:lineRule="exact"/>
        <w:ind w:left="1440" w:hanging="360"/>
        <w:jc w:val="both"/>
      </w:pPr>
    </w:p>
    <w:p w14:paraId="3B5337FC" w14:textId="1851E3FB" w:rsidR="00614FD3" w:rsidRDefault="00614FD3" w:rsidP="00614FD3">
      <w:pPr>
        <w:spacing w:line="220" w:lineRule="exact"/>
        <w:ind w:left="1440" w:hanging="360"/>
        <w:jc w:val="both"/>
      </w:pPr>
      <w:r w:rsidRPr="00614FD3">
        <w:t>•</w:t>
      </w:r>
      <w:r w:rsidR="00236FD5">
        <w:tab/>
      </w:r>
      <w:r w:rsidRPr="00614FD3">
        <w:t>Social security numbers and numbers for bank accounts and debit and credit cards.</w:t>
      </w:r>
      <w:r>
        <w:rPr>
          <w:rStyle w:val="EndnoteReference"/>
        </w:rPr>
        <w:endnoteReference w:id="609"/>
      </w:r>
      <w:r w:rsidRPr="00614FD3">
        <w:t xml:space="preserve"> </w:t>
      </w:r>
      <w:r w:rsidR="00236FD5">
        <w:t>T</w:t>
      </w:r>
      <w:r w:rsidRPr="00614FD3">
        <w:t xml:space="preserve">his exemption applies to </w:t>
      </w:r>
      <w:r w:rsidRPr="00236FD5">
        <w:rPr>
          <w:i/>
        </w:rPr>
        <w:t>both</w:t>
      </w:r>
      <w:r w:rsidRPr="00614FD3">
        <w:t xml:space="preserve"> a covered employee and their spouse, former spouse, and children.</w:t>
      </w:r>
    </w:p>
    <w:p w14:paraId="072AEB81" w14:textId="77777777" w:rsidR="00614FD3" w:rsidRDefault="00614FD3" w:rsidP="00614FD3">
      <w:pPr>
        <w:spacing w:line="220" w:lineRule="exact"/>
        <w:ind w:left="1440" w:hanging="360"/>
        <w:jc w:val="both"/>
      </w:pPr>
    </w:p>
    <w:p w14:paraId="5D6037CB" w14:textId="4133D195" w:rsidR="00614FD3" w:rsidRDefault="00614FD3" w:rsidP="00614FD3">
      <w:pPr>
        <w:spacing w:line="220" w:lineRule="exact"/>
        <w:ind w:left="1440" w:hanging="360"/>
        <w:jc w:val="both"/>
      </w:pPr>
      <w:r w:rsidRPr="00614FD3">
        <w:t>•</w:t>
      </w:r>
      <w:r w:rsidR="00236FD5">
        <w:tab/>
      </w:r>
      <w:r w:rsidRPr="00614FD3">
        <w:t>Name, name of employer, and address of employer.</w:t>
      </w:r>
      <w:r>
        <w:rPr>
          <w:rStyle w:val="EndnoteReference"/>
        </w:rPr>
        <w:endnoteReference w:id="610"/>
      </w:r>
      <w:r w:rsidRPr="00614FD3">
        <w:t xml:space="preserve"> </w:t>
      </w:r>
      <w:r w:rsidR="00236FD5">
        <w:t>T</w:t>
      </w:r>
      <w:r w:rsidRPr="00614FD3">
        <w:t xml:space="preserve">his exemption </w:t>
      </w:r>
      <w:r w:rsidRPr="00236FD5">
        <w:rPr>
          <w:i/>
        </w:rPr>
        <w:t>only</w:t>
      </w:r>
      <w:r w:rsidRPr="00614FD3">
        <w:t xml:space="preserve"> applies to a covered employee’s spouse, former spouse, and children.</w:t>
      </w:r>
    </w:p>
    <w:p w14:paraId="68200F89" w14:textId="77777777" w:rsidR="00E2327A" w:rsidRDefault="00E2327A" w:rsidP="00E2327A">
      <w:pPr>
        <w:spacing w:line="220" w:lineRule="exact"/>
        <w:jc w:val="both"/>
      </w:pPr>
    </w:p>
    <w:p w14:paraId="3100E28C" w14:textId="77777777" w:rsidR="00E2327A" w:rsidRDefault="00E2327A" w:rsidP="007120C3">
      <w:pPr>
        <w:spacing w:line="220" w:lineRule="exact"/>
        <w:ind w:left="360"/>
        <w:jc w:val="both"/>
      </w:pPr>
      <w:r>
        <w:t>The Attorney General has opined that this exemption applies only to records that both 1) contain the information listed in the statute and 2) disclose the relationship of the information to a peace officer or a spouse, former spouse, or child of the peace officer.</w:t>
      </w:r>
      <w:r w:rsidRPr="00FD753B">
        <w:t xml:space="preserve"> </w:t>
      </w:r>
      <w:r>
        <w:t>Further, the exemption applies only to information contained in a record that presents a reasonable expectation of privacy; it does not extend to records kept by a county recorder or other public official for general public access where there is no reasonable basis for asserting a privacy interest and no expectation that the information will be identifiable as peace officer residential and familial information.</w:t>
      </w:r>
      <w:r>
        <w:rPr>
          <w:rStyle w:val="EndnoteReference"/>
        </w:rPr>
        <w:endnoteReference w:id="611"/>
      </w:r>
    </w:p>
    <w:p w14:paraId="09FFDE4B" w14:textId="77777777" w:rsidR="00E2327A" w:rsidRDefault="00E2327A" w:rsidP="00E2327A">
      <w:pPr>
        <w:spacing w:line="220" w:lineRule="exact"/>
        <w:jc w:val="both"/>
      </w:pPr>
    </w:p>
    <w:p w14:paraId="37FF9706" w14:textId="5DEC23CD" w:rsidR="00E2327A" w:rsidRDefault="00E2327A" w:rsidP="007120C3">
      <w:pPr>
        <w:spacing w:line="220" w:lineRule="exact"/>
        <w:ind w:left="360"/>
        <w:jc w:val="both"/>
      </w:pPr>
      <w:r>
        <w:t>Individuals in these covered professions can also request redaction of their actual residential address from any records made available by public offices to the general public on the internet. A person must make this request in writing on a form developed by the Attorney General.</w:t>
      </w:r>
      <w:r>
        <w:rPr>
          <w:rStyle w:val="EndnoteReference"/>
        </w:rPr>
        <w:endnoteReference w:id="612"/>
      </w:r>
      <w:r>
        <w:t xml:space="preserve"> Refer </w:t>
      </w:r>
      <w:r w:rsidRPr="00E002FB">
        <w:t>to Chapter</w:t>
      </w:r>
      <w:r w:rsidR="007D66D5" w:rsidRPr="00E002FB">
        <w:t xml:space="preserve"> Three</w:t>
      </w:r>
      <w:r w:rsidR="00E002FB" w:rsidRPr="00E002FB">
        <w:t>:</w:t>
      </w:r>
      <w:r w:rsidR="007D66D5" w:rsidRPr="00E002FB">
        <w:t xml:space="preserve"> F.1.b.</w:t>
      </w:r>
      <w:r w:rsidRPr="00E002FB">
        <w:t>, “Personal information listed online,” for additional discussion of this provision.</w:t>
      </w:r>
    </w:p>
    <w:p w14:paraId="51B1165E" w14:textId="77777777" w:rsidR="000D535D" w:rsidRDefault="000D535D" w:rsidP="007120C3">
      <w:pPr>
        <w:spacing w:line="220" w:lineRule="exact"/>
        <w:ind w:left="360"/>
        <w:jc w:val="both"/>
      </w:pPr>
    </w:p>
    <w:p w14:paraId="528703C8" w14:textId="77777777" w:rsidR="000D535D" w:rsidRDefault="000D535D" w:rsidP="007120C3">
      <w:pPr>
        <w:spacing w:line="220" w:lineRule="exact"/>
        <w:ind w:left="360"/>
        <w:jc w:val="both"/>
      </w:pPr>
    </w:p>
    <w:p w14:paraId="46BA0338" w14:textId="77777777" w:rsidR="007120C3" w:rsidRDefault="007120C3" w:rsidP="007120C3">
      <w:pPr>
        <w:spacing w:line="220" w:lineRule="exact"/>
        <w:ind w:left="360"/>
        <w:jc w:val="both"/>
      </w:pPr>
    </w:p>
    <w:p w14:paraId="6351885C" w14:textId="44CFE85B" w:rsidR="00E2327A" w:rsidRPr="00C90857" w:rsidRDefault="00746A3D" w:rsidP="00322085">
      <w:pPr>
        <w:pStyle w:val="Heading3"/>
      </w:pPr>
      <w:bookmarkStart w:id="475" w:name="_Toc159851547"/>
      <w:r w:rsidRPr="00236FD5">
        <w:rPr>
          <w:iCs/>
        </w:rPr>
        <w:lastRenderedPageBreak/>
        <w:t>6.</w:t>
      </w:r>
      <w:r>
        <w:tab/>
      </w:r>
      <w:r w:rsidR="00E2327A">
        <w:t xml:space="preserve">Constitutional </w:t>
      </w:r>
      <w:r w:rsidR="00236FD5">
        <w:t>r</w:t>
      </w:r>
      <w:r w:rsidR="00E2327A">
        <w:t xml:space="preserve">ight to </w:t>
      </w:r>
      <w:r w:rsidR="00236FD5">
        <w:t>p</w:t>
      </w:r>
      <w:r w:rsidR="00E2327A" w:rsidRPr="00C90857">
        <w:t>rivacy</w:t>
      </w:r>
      <w:bookmarkEnd w:id="475"/>
    </w:p>
    <w:p w14:paraId="7F50AEFB" w14:textId="045E0983" w:rsidR="006B5C29" w:rsidRDefault="00E2327A" w:rsidP="00385A64">
      <w:pPr>
        <w:spacing w:line="220" w:lineRule="exact"/>
        <w:ind w:left="360"/>
        <w:jc w:val="both"/>
        <w:rPr>
          <w:rFonts w:cs="Calibri"/>
          <w:iCs/>
        </w:rPr>
      </w:pPr>
      <w:r>
        <w:rPr>
          <w:rFonts w:cs="Calibri"/>
          <w:iCs/>
        </w:rPr>
        <w:t>A</w:t>
      </w:r>
      <w:r w:rsidRPr="00ED7C65">
        <w:rPr>
          <w:rFonts w:cs="Calibri"/>
          <w:iCs/>
        </w:rPr>
        <w:t xml:space="preserve"> constitutional right of privacy is not a recognized exemption to disclosure of </w:t>
      </w:r>
      <w:r>
        <w:rPr>
          <w:rFonts w:cs="Calibri"/>
          <w:iCs/>
        </w:rPr>
        <w:t xml:space="preserve">law enforcement officers’ </w:t>
      </w:r>
      <w:r w:rsidRPr="00ED7C65">
        <w:rPr>
          <w:rFonts w:cs="Calibri"/>
          <w:iCs/>
        </w:rPr>
        <w:t>identity or information.</w:t>
      </w:r>
      <w:r>
        <w:rPr>
          <w:rFonts w:cs="Calibri"/>
          <w:iCs/>
        </w:rPr>
        <w:t xml:space="preserve"> As explained in more detail in Chapter </w:t>
      </w:r>
      <w:r w:rsidR="00180E03">
        <w:rPr>
          <w:rFonts w:cs="Calibri"/>
          <w:iCs/>
        </w:rPr>
        <w:t>Three: F.1, “Exemptions affecting personal privacy</w:t>
      </w:r>
      <w:r>
        <w:rPr>
          <w:rFonts w:cs="Calibri"/>
          <w:iCs/>
        </w:rPr>
        <w:t>,</w:t>
      </w:r>
      <w:r w:rsidR="00180E03">
        <w:rPr>
          <w:rFonts w:cs="Calibri"/>
          <w:iCs/>
        </w:rPr>
        <w:t>”</w:t>
      </w:r>
      <w:r>
        <w:rPr>
          <w:rFonts w:cs="Calibri"/>
          <w:iCs/>
        </w:rPr>
        <w:t xml:space="preserve"> courts have recognized an officer’s constitutional right to privacy in limited and narrow circumstances. In </w:t>
      </w:r>
      <w:r>
        <w:rPr>
          <w:rFonts w:cs="Calibri"/>
          <w:i/>
        </w:rPr>
        <w:t>Kallstrom v. Columbus</w:t>
      </w:r>
      <w:r>
        <w:rPr>
          <w:rFonts w:cs="Calibri"/>
          <w:iCs/>
        </w:rPr>
        <w:t xml:space="preserve">, </w:t>
      </w:r>
      <w:bookmarkStart w:id="476" w:name="_Hlk156744908"/>
      <w:r>
        <w:rPr>
          <w:rFonts w:cs="Calibri"/>
          <w:iCs/>
        </w:rPr>
        <w:t xml:space="preserve">the U.S. Court of Appeals for the Sixth Circuit </w:t>
      </w:r>
      <w:bookmarkEnd w:id="476"/>
      <w:r>
        <w:rPr>
          <w:rFonts w:cs="Calibri"/>
          <w:iCs/>
        </w:rPr>
        <w:t>recognized the officers’ fundamental constitutional rights to personal security and bodily integrity when it held that the Public Records Act did not require disclosure of the officers’ personnel files to an attorney representing members of a criminal gang.</w:t>
      </w:r>
      <w:r>
        <w:rPr>
          <w:rStyle w:val="EndnoteReference"/>
          <w:rFonts w:cs="Calibri"/>
          <w:iCs/>
        </w:rPr>
        <w:endnoteReference w:id="613"/>
      </w:r>
      <w:r>
        <w:rPr>
          <w:rFonts w:cs="Calibri"/>
          <w:iCs/>
        </w:rPr>
        <w:t xml:space="preserve"> </w:t>
      </w:r>
      <w:r w:rsidRPr="008D541E">
        <w:rPr>
          <w:rFonts w:cs="Calibri"/>
          <w:iCs/>
        </w:rPr>
        <w:t xml:space="preserve">Following </w:t>
      </w:r>
      <w:r w:rsidRPr="008C03E7">
        <w:rPr>
          <w:rFonts w:cs="Calibri"/>
          <w:i/>
        </w:rPr>
        <w:t>Kallstrom</w:t>
      </w:r>
      <w:r w:rsidRPr="008D541E">
        <w:rPr>
          <w:rFonts w:cs="Calibri"/>
          <w:iCs/>
        </w:rPr>
        <w:t xml:space="preserve">, the Supreme Court </w:t>
      </w:r>
      <w:r>
        <w:rPr>
          <w:rFonts w:cs="Calibri"/>
          <w:iCs/>
        </w:rPr>
        <w:t xml:space="preserve">of Ohio affirmed a public office’s decision to deny the request of a criminal defendant who asked for the personal information of a police officer based on the </w:t>
      </w:r>
      <w:r w:rsidRPr="008D541E">
        <w:rPr>
          <w:rFonts w:cs="Calibri"/>
          <w:iCs/>
        </w:rPr>
        <w:t>officer</w:t>
      </w:r>
      <w:r>
        <w:rPr>
          <w:rFonts w:cs="Calibri"/>
          <w:iCs/>
        </w:rPr>
        <w:t>’</w:t>
      </w:r>
      <w:r w:rsidRPr="008D541E">
        <w:rPr>
          <w:rFonts w:cs="Calibri"/>
          <w:iCs/>
        </w:rPr>
        <w:t>s</w:t>
      </w:r>
      <w:r>
        <w:rPr>
          <w:rFonts w:cs="Calibri"/>
          <w:iCs/>
        </w:rPr>
        <w:t xml:space="preserve"> </w:t>
      </w:r>
      <w:r w:rsidRPr="008D541E">
        <w:rPr>
          <w:rFonts w:cs="Calibri"/>
          <w:iCs/>
        </w:rPr>
        <w:t>constitutional right to privacy.</w:t>
      </w:r>
      <w:r>
        <w:rPr>
          <w:rStyle w:val="EndnoteReference"/>
          <w:rFonts w:cs="Calibri"/>
          <w:iCs/>
        </w:rPr>
        <w:endnoteReference w:id="614"/>
      </w:r>
      <w:r w:rsidRPr="008D541E">
        <w:rPr>
          <w:rFonts w:cs="Calibri"/>
          <w:iCs/>
        </w:rPr>
        <w:t xml:space="preserve"> </w:t>
      </w:r>
    </w:p>
    <w:p w14:paraId="0F97F607" w14:textId="74A6007F" w:rsidR="00E2327A" w:rsidRPr="006E100D" w:rsidRDefault="00746A3D" w:rsidP="00322085">
      <w:pPr>
        <w:pStyle w:val="Heading2"/>
      </w:pPr>
      <w:bookmarkStart w:id="477" w:name="_Toc159851548"/>
      <w:r w:rsidRPr="006E100D">
        <w:rPr>
          <w:iCs/>
        </w:rPr>
        <w:t>E</w:t>
      </w:r>
      <w:r w:rsidRPr="006E100D">
        <w:t>.</w:t>
      </w:r>
      <w:r w:rsidRPr="006E100D">
        <w:tab/>
      </w:r>
      <w:r w:rsidR="00E2327A" w:rsidRPr="006E100D">
        <w:t>Exemptions Applicable to Victims and Witnesses</w:t>
      </w:r>
      <w:bookmarkEnd w:id="477"/>
    </w:p>
    <w:p w14:paraId="121BFC5E" w14:textId="269F8B28" w:rsidR="005A29C8" w:rsidRPr="00C863A1" w:rsidRDefault="00E2327A" w:rsidP="00385A64">
      <w:pPr>
        <w:spacing w:before="220" w:after="220" w:line="220" w:lineRule="exact"/>
        <w:ind w:left="360"/>
        <w:contextualSpacing/>
        <w:jc w:val="both"/>
      </w:pPr>
      <w:r>
        <w:t xml:space="preserve">There is no general exemption </w:t>
      </w:r>
      <w:r w:rsidR="00F506BD">
        <w:t xml:space="preserve">to public records disclosure </w:t>
      </w:r>
      <w:r>
        <w:t>for information relating to crime witness</w:t>
      </w:r>
      <w:r w:rsidR="00F506BD">
        <w:t>es</w:t>
      </w:r>
      <w:r>
        <w:t xml:space="preserve">. Rather, there are exemptions that apply to specific information relating to witnesses. Records relating to crime victims receive additional protection. Not only are there specific statutory exemptions that apply to crime victims, but Marsy’s Law enacts confidentiality </w:t>
      </w:r>
      <w:r w:rsidR="00F506BD">
        <w:t>provisions for certain victims’ information in “case documents</w:t>
      </w:r>
      <w:r>
        <w:t>.</w:t>
      </w:r>
      <w:r w:rsidR="00F506BD">
        <w:t>”</w:t>
      </w:r>
      <w:r>
        <w:t xml:space="preserve"> </w:t>
      </w:r>
    </w:p>
    <w:p w14:paraId="740165E6" w14:textId="56A6AD32" w:rsidR="00E2327A" w:rsidRPr="002B5577" w:rsidRDefault="006B5C29" w:rsidP="00322085">
      <w:pPr>
        <w:pStyle w:val="Heading3"/>
      </w:pPr>
      <w:bookmarkStart w:id="478" w:name="_Toc159851549"/>
      <w:r>
        <w:t>1.</w:t>
      </w:r>
      <w:r>
        <w:tab/>
      </w:r>
      <w:r w:rsidR="00E2327A" w:rsidRPr="0032611B">
        <w:t xml:space="preserve">Examples of discretionary exemptions applicable to victims and </w:t>
      </w:r>
      <w:r w:rsidR="00056CCE">
        <w:tab/>
      </w:r>
      <w:r w:rsidR="00056CCE">
        <w:tab/>
      </w:r>
      <w:r w:rsidR="00E2327A" w:rsidRPr="0032611B">
        <w:t>witnesses</w:t>
      </w:r>
      <w:bookmarkEnd w:id="478"/>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95"/>
        <w:gridCol w:w="5308"/>
      </w:tblGrid>
      <w:tr w:rsidR="00E2327A" w:rsidRPr="00704A17" w14:paraId="7AD440BE" w14:textId="77777777" w:rsidTr="00051BEC">
        <w:trPr>
          <w:cantSplit/>
          <w:trHeight w:val="576"/>
          <w:tblHeader/>
        </w:trPr>
        <w:tc>
          <w:tcPr>
            <w:tcW w:w="2065" w:type="dxa"/>
            <w:shd w:val="clear" w:color="auto" w:fill="D9D9D9" w:themeFill="background1" w:themeFillShade="D9"/>
            <w:vAlign w:val="center"/>
          </w:tcPr>
          <w:p w14:paraId="74AF10ED" w14:textId="77777777" w:rsidR="00E2327A" w:rsidRPr="00037C81" w:rsidRDefault="00E2327A" w:rsidP="00037C81">
            <w:pPr>
              <w:rPr>
                <w:b/>
                <w:bCs/>
              </w:rPr>
            </w:pPr>
            <w:bookmarkStart w:id="479" w:name="_Hlk158886995"/>
            <w:r w:rsidRPr="00037C81">
              <w:rPr>
                <w:b/>
                <w:bCs/>
              </w:rPr>
              <w:t>Type of Record(s)</w:t>
            </w:r>
          </w:p>
        </w:tc>
        <w:tc>
          <w:tcPr>
            <w:tcW w:w="2095" w:type="dxa"/>
            <w:shd w:val="clear" w:color="auto" w:fill="D9D9D9" w:themeFill="background1" w:themeFillShade="D9"/>
            <w:vAlign w:val="center"/>
          </w:tcPr>
          <w:p w14:paraId="7B295558" w14:textId="77777777" w:rsidR="00E2327A" w:rsidRPr="00037C81" w:rsidRDefault="00E2327A" w:rsidP="00037C81">
            <w:pPr>
              <w:rPr>
                <w:b/>
                <w:bCs/>
              </w:rPr>
            </w:pPr>
            <w:r w:rsidRPr="00037C81">
              <w:rPr>
                <w:b/>
                <w:bCs/>
              </w:rPr>
              <w:t>Authority</w:t>
            </w:r>
          </w:p>
        </w:tc>
        <w:tc>
          <w:tcPr>
            <w:tcW w:w="5308" w:type="dxa"/>
            <w:shd w:val="clear" w:color="auto" w:fill="D9D9D9" w:themeFill="background1" w:themeFillShade="D9"/>
            <w:vAlign w:val="center"/>
          </w:tcPr>
          <w:p w14:paraId="7BBC1DE8" w14:textId="77777777" w:rsidR="00E2327A" w:rsidRPr="00037C81" w:rsidRDefault="00E2327A" w:rsidP="00037C81">
            <w:pPr>
              <w:rPr>
                <w:b/>
                <w:bCs/>
              </w:rPr>
            </w:pPr>
            <w:r w:rsidRPr="00037C81">
              <w:rPr>
                <w:b/>
                <w:bCs/>
              </w:rPr>
              <w:t>Description</w:t>
            </w:r>
          </w:p>
        </w:tc>
      </w:tr>
      <w:tr w:rsidR="00E2327A" w:rsidRPr="002B2C2E" w14:paraId="6B182A4B" w14:textId="77777777" w:rsidTr="00051BEC">
        <w:trPr>
          <w:cantSplit/>
        </w:trPr>
        <w:tc>
          <w:tcPr>
            <w:tcW w:w="2065" w:type="dxa"/>
            <w:shd w:val="clear" w:color="auto" w:fill="auto"/>
          </w:tcPr>
          <w:p w14:paraId="3BC4B5C8" w14:textId="77777777" w:rsidR="00E2327A" w:rsidRPr="00037C81" w:rsidRDefault="00E2327A" w:rsidP="00037C81">
            <w:pPr>
              <w:rPr>
                <w:b/>
                <w:bCs/>
              </w:rPr>
            </w:pPr>
            <w:r w:rsidRPr="00037C81">
              <w:rPr>
                <w:b/>
                <w:bCs/>
              </w:rPr>
              <w:t>Sexual assault examination kits</w:t>
            </w:r>
          </w:p>
        </w:tc>
        <w:tc>
          <w:tcPr>
            <w:tcW w:w="2095" w:type="dxa"/>
            <w:shd w:val="clear" w:color="auto" w:fill="auto"/>
          </w:tcPr>
          <w:p w14:paraId="047E7DC5" w14:textId="77777777" w:rsidR="00E2327A" w:rsidRPr="00037C81" w:rsidRDefault="00E2327A" w:rsidP="00037C81">
            <w:r w:rsidRPr="00037C81">
              <w:t>R.C. 109.68(F)</w:t>
            </w:r>
          </w:p>
        </w:tc>
        <w:tc>
          <w:tcPr>
            <w:tcW w:w="5308" w:type="dxa"/>
            <w:shd w:val="clear" w:color="auto" w:fill="auto"/>
          </w:tcPr>
          <w:p w14:paraId="03ABA651" w14:textId="77777777" w:rsidR="00E2327A" w:rsidRPr="00037C81" w:rsidRDefault="00E2327A" w:rsidP="00037C81">
            <w:r w:rsidRPr="00037C81">
              <w:t>Information contained in the statewide sexual assault examination kit tracking system.</w:t>
            </w:r>
          </w:p>
        </w:tc>
      </w:tr>
      <w:tr w:rsidR="00E2327A" w:rsidRPr="002B2C2E" w14:paraId="380CC6A3" w14:textId="77777777" w:rsidTr="00051BEC">
        <w:trPr>
          <w:cantSplit/>
        </w:trPr>
        <w:tc>
          <w:tcPr>
            <w:tcW w:w="2065" w:type="dxa"/>
            <w:shd w:val="clear" w:color="auto" w:fill="auto"/>
          </w:tcPr>
          <w:p w14:paraId="191B7A48" w14:textId="77777777" w:rsidR="00E2327A" w:rsidRPr="00037C81" w:rsidRDefault="00E2327A" w:rsidP="00037C81">
            <w:pPr>
              <w:rPr>
                <w:b/>
                <w:bCs/>
              </w:rPr>
            </w:pPr>
            <w:r w:rsidRPr="00037C81">
              <w:rPr>
                <w:b/>
                <w:bCs/>
              </w:rPr>
              <w:t>Death of minor</w:t>
            </w:r>
          </w:p>
        </w:tc>
        <w:tc>
          <w:tcPr>
            <w:tcW w:w="2095" w:type="dxa"/>
            <w:shd w:val="clear" w:color="auto" w:fill="auto"/>
          </w:tcPr>
          <w:p w14:paraId="4E2ED986" w14:textId="77777777" w:rsidR="00E2327A" w:rsidRPr="00037C81" w:rsidRDefault="00E2327A" w:rsidP="00037C81">
            <w:r w:rsidRPr="00037C81">
              <w:t>R.C. 149.43(A)(1)(t)</w:t>
            </w:r>
          </w:p>
        </w:tc>
        <w:tc>
          <w:tcPr>
            <w:tcW w:w="5308" w:type="dxa"/>
            <w:shd w:val="clear" w:color="auto" w:fill="auto"/>
          </w:tcPr>
          <w:p w14:paraId="765BBA73" w14:textId="77777777" w:rsidR="00E2327A" w:rsidRPr="00037C81" w:rsidRDefault="00E2327A" w:rsidP="00037C81">
            <w:r w:rsidRPr="00037C81">
              <w:t xml:space="preserve">Records and information provided to executive director of a public children services agency or prosecutor regarding the death of a minor from possible abuse, neglect, or other criminal conduct. </w:t>
            </w:r>
          </w:p>
        </w:tc>
      </w:tr>
      <w:tr w:rsidR="00E2327A" w:rsidRPr="00704A17" w14:paraId="484253A8" w14:textId="77777777" w:rsidTr="00051BEC">
        <w:trPr>
          <w:cantSplit/>
        </w:trPr>
        <w:tc>
          <w:tcPr>
            <w:tcW w:w="2065" w:type="dxa"/>
            <w:shd w:val="clear" w:color="auto" w:fill="auto"/>
          </w:tcPr>
          <w:p w14:paraId="5D2D349A" w14:textId="77777777" w:rsidR="00E2327A" w:rsidRPr="00037C81" w:rsidRDefault="00E2327A" w:rsidP="00037C81">
            <w:pPr>
              <w:rPr>
                <w:b/>
                <w:bCs/>
              </w:rPr>
            </w:pPr>
            <w:r w:rsidRPr="00037C81">
              <w:rPr>
                <w:b/>
                <w:bCs/>
              </w:rPr>
              <w:t>Secretary of State’s address confidentiality program</w:t>
            </w:r>
          </w:p>
        </w:tc>
        <w:tc>
          <w:tcPr>
            <w:tcW w:w="2095" w:type="dxa"/>
            <w:shd w:val="clear" w:color="auto" w:fill="auto"/>
          </w:tcPr>
          <w:p w14:paraId="2A47EC89" w14:textId="77777777" w:rsidR="00E2327A" w:rsidRPr="00037C81" w:rsidRDefault="00E2327A" w:rsidP="00037C81">
            <w:r w:rsidRPr="00037C81">
              <w:t>R.C. 149.43(A)(1)(ee)</w:t>
            </w:r>
          </w:p>
        </w:tc>
        <w:tc>
          <w:tcPr>
            <w:tcW w:w="5308" w:type="dxa"/>
            <w:shd w:val="clear" w:color="auto" w:fill="auto"/>
          </w:tcPr>
          <w:p w14:paraId="244A0F86" w14:textId="77777777" w:rsidR="00E2327A" w:rsidRPr="00037C81" w:rsidRDefault="00E2327A" w:rsidP="00037C81">
            <w:r w:rsidRPr="00037C81">
              <w:t>Name, address, and other personally identifiable information of a participant in the Secretary of State’s Address Confidentiality Program under R.C. 111.41-R.C. 111.47.</w:t>
            </w:r>
          </w:p>
        </w:tc>
      </w:tr>
      <w:tr w:rsidR="00E2327A" w:rsidRPr="00704A17" w14:paraId="74A6CC03" w14:textId="77777777" w:rsidTr="00051BEC">
        <w:trPr>
          <w:cantSplit/>
        </w:trPr>
        <w:tc>
          <w:tcPr>
            <w:tcW w:w="2065" w:type="dxa"/>
            <w:shd w:val="clear" w:color="auto" w:fill="auto"/>
          </w:tcPr>
          <w:p w14:paraId="339034EA" w14:textId="77777777" w:rsidR="00E2327A" w:rsidRPr="00037C81" w:rsidRDefault="00E2327A" w:rsidP="00037C81">
            <w:pPr>
              <w:rPr>
                <w:b/>
                <w:bCs/>
              </w:rPr>
            </w:pPr>
            <w:r w:rsidRPr="00037C81">
              <w:rPr>
                <w:b/>
                <w:bCs/>
              </w:rPr>
              <w:t>Depictions of victims by photograph, film, videotape, or printed or digital image</w:t>
            </w:r>
          </w:p>
        </w:tc>
        <w:tc>
          <w:tcPr>
            <w:tcW w:w="2095" w:type="dxa"/>
            <w:shd w:val="clear" w:color="auto" w:fill="auto"/>
          </w:tcPr>
          <w:p w14:paraId="3E4AC987" w14:textId="604BDAC8" w:rsidR="00E2327A" w:rsidRPr="00037C81" w:rsidRDefault="00E2327A" w:rsidP="00037C81">
            <w:r w:rsidRPr="00037C81">
              <w:t>R.C. 149.43(A)(1)(ii)</w:t>
            </w:r>
          </w:p>
        </w:tc>
        <w:tc>
          <w:tcPr>
            <w:tcW w:w="5308" w:type="dxa"/>
            <w:shd w:val="clear" w:color="auto" w:fill="auto"/>
          </w:tcPr>
          <w:p w14:paraId="562215AF" w14:textId="77777777" w:rsidR="00E2327A" w:rsidRPr="00037C81" w:rsidRDefault="00E2327A" w:rsidP="00037C81">
            <w:r w:rsidRPr="00037C81">
              <w:t>Depictions by photograph, film, videotape, or printed or digital image of either “a victim of an offense the release of which would be, to a reasonable person of ordinary sensibilities, an offensive and objectionable intrusion into the victim’s expectation of bodily privacy and integrity” or “captures or depicts the victim of a sexually oriented offense, as defined in section R.C. 2950.01, at the actual occurrence of that offense.</w:t>
            </w:r>
          </w:p>
        </w:tc>
      </w:tr>
      <w:tr w:rsidR="00E2327A" w:rsidRPr="002B2C2E" w14:paraId="3773AA5D" w14:textId="77777777" w:rsidTr="00051BEC">
        <w:trPr>
          <w:cantSplit/>
        </w:trPr>
        <w:tc>
          <w:tcPr>
            <w:tcW w:w="2065" w:type="dxa"/>
            <w:shd w:val="clear" w:color="auto" w:fill="auto"/>
          </w:tcPr>
          <w:p w14:paraId="3DED8F71" w14:textId="00F94F65" w:rsidR="00E2327A" w:rsidRPr="00037C81" w:rsidRDefault="00783093" w:rsidP="00037C81">
            <w:pPr>
              <w:rPr>
                <w:b/>
                <w:bCs/>
              </w:rPr>
            </w:pPr>
            <w:r>
              <w:rPr>
                <w:b/>
                <w:bCs/>
              </w:rPr>
              <w:t>V</w:t>
            </w:r>
            <w:r w:rsidR="00E2327A" w:rsidRPr="00037C81">
              <w:rPr>
                <w:b/>
                <w:bCs/>
              </w:rPr>
              <w:t xml:space="preserve">ictim </w:t>
            </w:r>
            <w:r>
              <w:rPr>
                <w:b/>
                <w:bCs/>
              </w:rPr>
              <w:t xml:space="preserve">and witness </w:t>
            </w:r>
            <w:r w:rsidR="00E2327A" w:rsidRPr="00037C81">
              <w:rPr>
                <w:b/>
                <w:bCs/>
              </w:rPr>
              <w:t>telephone numbers</w:t>
            </w:r>
          </w:p>
        </w:tc>
        <w:tc>
          <w:tcPr>
            <w:tcW w:w="2095" w:type="dxa"/>
            <w:shd w:val="clear" w:color="auto" w:fill="auto"/>
          </w:tcPr>
          <w:p w14:paraId="5DA4C1BC" w14:textId="77777777" w:rsidR="00E2327A" w:rsidRPr="00037C81" w:rsidRDefault="00E2327A" w:rsidP="00037C81">
            <w:r w:rsidRPr="00037C81">
              <w:t>R.C. 149.43(A)(1)(mm)</w:t>
            </w:r>
          </w:p>
        </w:tc>
        <w:tc>
          <w:tcPr>
            <w:tcW w:w="5308" w:type="dxa"/>
            <w:shd w:val="clear" w:color="auto" w:fill="auto"/>
          </w:tcPr>
          <w:p w14:paraId="14A9216A" w14:textId="77777777" w:rsidR="00E2327A" w:rsidRPr="00037C81" w:rsidRDefault="00E2327A" w:rsidP="00037C81">
            <w:r w:rsidRPr="00037C81">
              <w:t>Telephone numbers of victims and witnesses to a crime listed on a law enforcement record or report.</w:t>
            </w:r>
          </w:p>
        </w:tc>
      </w:tr>
      <w:tr w:rsidR="00E2327A" w:rsidRPr="002B2C2E" w14:paraId="775C0D6D" w14:textId="77777777" w:rsidTr="00051BEC">
        <w:trPr>
          <w:cantSplit/>
        </w:trPr>
        <w:tc>
          <w:tcPr>
            <w:tcW w:w="2065" w:type="dxa"/>
            <w:shd w:val="clear" w:color="auto" w:fill="auto"/>
          </w:tcPr>
          <w:p w14:paraId="6B5B76DE" w14:textId="77777777" w:rsidR="00E2327A" w:rsidRPr="00037C81" w:rsidRDefault="00E2327A" w:rsidP="00037C81">
            <w:pPr>
              <w:rPr>
                <w:b/>
                <w:bCs/>
              </w:rPr>
            </w:pPr>
            <w:r w:rsidRPr="00037C81">
              <w:rPr>
                <w:b/>
                <w:bCs/>
              </w:rPr>
              <w:t>Marsy’s Law</w:t>
            </w:r>
          </w:p>
        </w:tc>
        <w:tc>
          <w:tcPr>
            <w:tcW w:w="2095" w:type="dxa"/>
            <w:shd w:val="clear" w:color="auto" w:fill="auto"/>
          </w:tcPr>
          <w:p w14:paraId="2EEC0E9F" w14:textId="77777777" w:rsidR="00E2327A" w:rsidRPr="00037C81" w:rsidRDefault="00E2327A" w:rsidP="00037C81">
            <w:r w:rsidRPr="00037C81">
              <w:t>R.C. 149.43(A)(1)(rr)</w:t>
            </w:r>
          </w:p>
        </w:tc>
        <w:tc>
          <w:tcPr>
            <w:tcW w:w="5308" w:type="dxa"/>
            <w:shd w:val="clear" w:color="auto" w:fill="auto"/>
          </w:tcPr>
          <w:p w14:paraId="30F9B9DC" w14:textId="77777777" w:rsidR="00E2327A" w:rsidRPr="00037C81" w:rsidRDefault="00E2327A" w:rsidP="00037C81">
            <w:r w:rsidRPr="00037C81">
              <w:t>Records, documents, and information protected under Marsy’s Law under R.C. 2930.04 and R.C. 2930.07.</w:t>
            </w:r>
          </w:p>
        </w:tc>
      </w:tr>
      <w:tr w:rsidR="00E2327A" w:rsidRPr="002B2C2E" w14:paraId="573F92A1" w14:textId="77777777" w:rsidTr="00051BEC">
        <w:trPr>
          <w:cantSplit/>
        </w:trPr>
        <w:tc>
          <w:tcPr>
            <w:tcW w:w="2065" w:type="dxa"/>
            <w:shd w:val="clear" w:color="auto" w:fill="auto"/>
          </w:tcPr>
          <w:p w14:paraId="217C0D01" w14:textId="77777777" w:rsidR="00E2327A" w:rsidRPr="00037C81" w:rsidRDefault="00E2327A" w:rsidP="00037C81">
            <w:pPr>
              <w:rPr>
                <w:b/>
                <w:bCs/>
              </w:rPr>
            </w:pPr>
            <w:r w:rsidRPr="00037C81">
              <w:rPr>
                <w:b/>
                <w:bCs/>
              </w:rPr>
              <w:lastRenderedPageBreak/>
              <w:t>Address of petitioner for protective order</w:t>
            </w:r>
          </w:p>
        </w:tc>
        <w:tc>
          <w:tcPr>
            <w:tcW w:w="2095" w:type="dxa"/>
            <w:shd w:val="clear" w:color="auto" w:fill="auto"/>
          </w:tcPr>
          <w:p w14:paraId="2F0BA353" w14:textId="77777777" w:rsidR="00E2327A" w:rsidRPr="00037C81" w:rsidRDefault="00E2327A" w:rsidP="00037C81">
            <w:r w:rsidRPr="00037C81">
              <w:t>R.C. 3113.31(E)(8)(b)</w:t>
            </w:r>
          </w:p>
        </w:tc>
        <w:tc>
          <w:tcPr>
            <w:tcW w:w="5308" w:type="dxa"/>
            <w:shd w:val="clear" w:color="auto" w:fill="auto"/>
          </w:tcPr>
          <w:p w14:paraId="6C857753" w14:textId="77777777" w:rsidR="00E2327A" w:rsidRPr="00037C81" w:rsidRDefault="00E2327A" w:rsidP="00037C81">
            <w:r w:rsidRPr="00037C81">
              <w:t>The address of a person who petitions for a civil protective order or agreement, if requested by that person.</w:t>
            </w:r>
          </w:p>
        </w:tc>
      </w:tr>
      <w:tr w:rsidR="00E2327A" w:rsidRPr="002B2C2E" w14:paraId="1217816E" w14:textId="77777777" w:rsidTr="00051BEC">
        <w:trPr>
          <w:cantSplit/>
        </w:trPr>
        <w:tc>
          <w:tcPr>
            <w:tcW w:w="2065" w:type="dxa"/>
            <w:shd w:val="clear" w:color="auto" w:fill="auto"/>
          </w:tcPr>
          <w:p w14:paraId="3CE8FE7C" w14:textId="77777777" w:rsidR="00E2327A" w:rsidRPr="00037C81" w:rsidRDefault="00E2327A" w:rsidP="00037C81">
            <w:pPr>
              <w:rPr>
                <w:b/>
                <w:bCs/>
              </w:rPr>
            </w:pPr>
            <w:r w:rsidRPr="00037C81">
              <w:rPr>
                <w:b/>
                <w:bCs/>
              </w:rPr>
              <w:t>Domestic violence shelters</w:t>
            </w:r>
          </w:p>
        </w:tc>
        <w:tc>
          <w:tcPr>
            <w:tcW w:w="2095" w:type="dxa"/>
            <w:shd w:val="clear" w:color="auto" w:fill="auto"/>
          </w:tcPr>
          <w:p w14:paraId="5177A646" w14:textId="77777777" w:rsidR="00E2327A" w:rsidRPr="00037C81" w:rsidRDefault="00E2327A" w:rsidP="00037C81">
            <w:r w:rsidRPr="00037C81">
              <w:t>R.C. 3113.36(A)(5)</w:t>
            </w:r>
          </w:p>
        </w:tc>
        <w:tc>
          <w:tcPr>
            <w:tcW w:w="5308" w:type="dxa"/>
            <w:shd w:val="clear" w:color="auto" w:fill="auto"/>
          </w:tcPr>
          <w:p w14:paraId="7632B35A" w14:textId="77777777" w:rsidR="00E2327A" w:rsidRPr="00037C81" w:rsidRDefault="00E2327A" w:rsidP="00037C81">
            <w:r w:rsidRPr="00037C81">
              <w:t>Information that would identify individuals served by a domestic violence shelter.</w:t>
            </w:r>
          </w:p>
        </w:tc>
      </w:tr>
      <w:bookmarkEnd w:id="479"/>
    </w:tbl>
    <w:p w14:paraId="2ACD04A5" w14:textId="77777777" w:rsidR="00E2327A" w:rsidRPr="00961F0B" w:rsidRDefault="00E2327A" w:rsidP="00E2327A">
      <w:pPr>
        <w:spacing w:line="220" w:lineRule="exact"/>
        <w:jc w:val="both"/>
      </w:pPr>
    </w:p>
    <w:p w14:paraId="7DF6FC2E" w14:textId="3AB74C83" w:rsidR="00E2327A" w:rsidRPr="00A03E56" w:rsidRDefault="00E2327A" w:rsidP="00322085">
      <w:pPr>
        <w:pStyle w:val="Heading3"/>
      </w:pPr>
      <w:bookmarkStart w:id="480" w:name="_Toc159851550"/>
      <w:r>
        <w:t>2.</w:t>
      </w:r>
      <w:r>
        <w:tab/>
        <w:t>Marsy’s Law</w:t>
      </w:r>
      <w:bookmarkEnd w:id="480"/>
    </w:p>
    <w:p w14:paraId="62D7A2C7" w14:textId="24357934" w:rsidR="00056CCE" w:rsidRDefault="00E2327A" w:rsidP="00783093">
      <w:pPr>
        <w:spacing w:line="220" w:lineRule="exact"/>
        <w:ind w:left="360"/>
        <w:contextualSpacing/>
        <w:jc w:val="both"/>
        <w:rPr>
          <w:rFonts w:cs="Calibri"/>
          <w:iCs/>
        </w:rPr>
      </w:pPr>
      <w:r>
        <w:rPr>
          <w:rFonts w:cs="Calibri"/>
          <w:iCs/>
        </w:rPr>
        <w:t>T</w:t>
      </w:r>
      <w:r w:rsidRPr="002A6FA8">
        <w:rPr>
          <w:rFonts w:cs="Calibri"/>
          <w:iCs/>
        </w:rPr>
        <w:t>he “Marsy’s Law Amendment” to the Ohio Constitution</w:t>
      </w:r>
      <w:r>
        <w:rPr>
          <w:rFonts w:cs="Calibri"/>
          <w:iCs/>
        </w:rPr>
        <w:t xml:space="preserve"> was passed in 2017. The Amendment</w:t>
      </w:r>
      <w:r w:rsidRPr="002A6FA8">
        <w:rPr>
          <w:rFonts w:cs="Calibri"/>
          <w:iCs/>
        </w:rPr>
        <w:t xml:space="preserve"> enshrines certain rights for crime victims and ensures that victims are “treated with fairness and respect for the victim’s safety, dignity, and privacy.”</w:t>
      </w:r>
      <w:r>
        <w:rPr>
          <w:rStyle w:val="EndnoteReference"/>
          <w:rFonts w:cs="Calibri"/>
          <w:iCs/>
        </w:rPr>
        <w:endnoteReference w:id="615"/>
      </w:r>
      <w:r w:rsidRPr="002A6FA8">
        <w:rPr>
          <w:rFonts w:cs="Calibri"/>
          <w:iCs/>
        </w:rPr>
        <w:t xml:space="preserve"> </w:t>
      </w:r>
      <w:r>
        <w:rPr>
          <w:rFonts w:cs="Calibri"/>
          <w:iCs/>
        </w:rPr>
        <w:t>In 2023 t</w:t>
      </w:r>
      <w:r w:rsidRPr="002A6FA8">
        <w:rPr>
          <w:rFonts w:cs="Calibri"/>
          <w:iCs/>
        </w:rPr>
        <w:t>he General Assembly codified Marsy’s Law</w:t>
      </w:r>
      <w:r>
        <w:rPr>
          <w:rFonts w:cs="Calibri"/>
          <w:iCs/>
        </w:rPr>
        <w:t xml:space="preserve"> to include</w:t>
      </w:r>
      <w:r w:rsidRPr="002A6FA8">
        <w:rPr>
          <w:rFonts w:cs="Calibri"/>
          <w:iCs/>
        </w:rPr>
        <w:t xml:space="preserve"> provisions that affect confidentiality of victim names, addresses, and other identifying information</w:t>
      </w:r>
      <w:r>
        <w:rPr>
          <w:rFonts w:cs="Calibri"/>
          <w:iCs/>
        </w:rPr>
        <w:t>.</w:t>
      </w:r>
      <w:r>
        <w:rPr>
          <w:rStyle w:val="EndnoteReference"/>
          <w:rFonts w:cs="Calibri"/>
          <w:iCs/>
        </w:rPr>
        <w:endnoteReference w:id="616"/>
      </w:r>
      <w:r>
        <w:rPr>
          <w:rFonts w:cs="Calibri"/>
          <w:iCs/>
        </w:rPr>
        <w:t xml:space="preserve"> The law also specified the types of</w:t>
      </w:r>
      <w:r w:rsidRPr="002A6FA8">
        <w:rPr>
          <w:rFonts w:cs="Calibri"/>
          <w:iCs/>
        </w:rPr>
        <w:t xml:space="preserve"> information </w:t>
      </w:r>
      <w:r>
        <w:rPr>
          <w:rFonts w:cs="Calibri"/>
          <w:iCs/>
        </w:rPr>
        <w:t xml:space="preserve">that </w:t>
      </w:r>
      <w:r w:rsidRPr="002A6FA8">
        <w:rPr>
          <w:rFonts w:cs="Calibri"/>
          <w:iCs/>
        </w:rPr>
        <w:t>may be redacted from some public records. These provisions apply in specific circumstances and to specific records.</w:t>
      </w:r>
    </w:p>
    <w:p w14:paraId="7B2AD636" w14:textId="77777777" w:rsidR="00056CCE" w:rsidRDefault="00056CCE" w:rsidP="007120C3">
      <w:pPr>
        <w:spacing w:line="220" w:lineRule="exact"/>
        <w:ind w:left="360"/>
        <w:contextualSpacing/>
        <w:jc w:val="both"/>
        <w:rPr>
          <w:rFonts w:cs="Calibri"/>
          <w:iCs/>
        </w:rPr>
      </w:pPr>
    </w:p>
    <w:p w14:paraId="266507C3" w14:textId="01C01294" w:rsidR="00E2327A" w:rsidRPr="00961F0B" w:rsidRDefault="005A29C8" w:rsidP="005A29C8">
      <w:pPr>
        <w:pStyle w:val="Heading4"/>
        <w:numPr>
          <w:ilvl w:val="0"/>
          <w:numId w:val="80"/>
        </w:numPr>
      </w:pPr>
      <w:r>
        <w:tab/>
      </w:r>
      <w:bookmarkStart w:id="481" w:name="_Toc159851551"/>
      <w:r w:rsidR="00E2327A" w:rsidRPr="00961F0B">
        <w:t>Victims under Marsy’s Law</w:t>
      </w:r>
      <w:bookmarkEnd w:id="481"/>
    </w:p>
    <w:p w14:paraId="0CE78A6D" w14:textId="77777777" w:rsidR="00E2327A" w:rsidRPr="002A6FA8" w:rsidRDefault="00E2327A" w:rsidP="007120C3">
      <w:pPr>
        <w:spacing w:after="120" w:line="220" w:lineRule="exact"/>
        <w:ind w:left="360"/>
        <w:jc w:val="both"/>
        <w:rPr>
          <w:rFonts w:cs="Calibri"/>
          <w:iCs/>
        </w:rPr>
      </w:pPr>
      <w:r w:rsidRPr="002A6FA8">
        <w:rPr>
          <w:rFonts w:cs="Calibri"/>
          <w:iCs/>
        </w:rPr>
        <w:t>Under Marsy’s Law a victim is “a person against whom the criminal offense or delinquent act is committed or who is directly and proximately harmed by the commission of the offense or act.”</w:t>
      </w:r>
      <w:r>
        <w:rPr>
          <w:rStyle w:val="EndnoteReference"/>
          <w:rFonts w:cs="Calibri"/>
          <w:iCs/>
        </w:rPr>
        <w:endnoteReference w:id="617"/>
      </w:r>
      <w:r w:rsidRPr="002A6FA8">
        <w:rPr>
          <w:rFonts w:cs="Calibri"/>
          <w:iCs/>
        </w:rPr>
        <w:t xml:space="preserve"> The victim may designate any person to act as his or her representative for purposes of exercising rights under Marsy’s Law.</w:t>
      </w:r>
      <w:r>
        <w:rPr>
          <w:rStyle w:val="EndnoteReference"/>
          <w:rFonts w:cs="Calibri"/>
          <w:iCs/>
        </w:rPr>
        <w:endnoteReference w:id="618"/>
      </w:r>
      <w:r w:rsidRPr="002A6FA8">
        <w:rPr>
          <w:rFonts w:cs="Calibri"/>
          <w:iCs/>
        </w:rPr>
        <w:t xml:space="preserve"> If the victim is a victim of murder, manslaughter, or homicide, a member of the deceased victim’s family, a victim advocate, or another person designated by a member of the deceased victim’s family, may exercise the victim’s rights under Marsy’s Law.</w:t>
      </w:r>
      <w:r>
        <w:rPr>
          <w:rStyle w:val="EndnoteReference"/>
          <w:rFonts w:cs="Calibri"/>
          <w:iCs/>
        </w:rPr>
        <w:endnoteReference w:id="619"/>
      </w:r>
      <w:r w:rsidRPr="002A6FA8">
        <w:rPr>
          <w:rFonts w:cs="Calibri"/>
          <w:iCs/>
        </w:rPr>
        <w:t xml:space="preserve"> If the victim is incapacitated, incompetent, or deceased, and no member of the victim’s family or victim advocate comes forward to act as a representative, a court may appoint a victim advocate or other person the court determines to be appropriate to act as the victim’s representative.</w:t>
      </w:r>
      <w:r>
        <w:rPr>
          <w:rStyle w:val="EndnoteReference"/>
          <w:rFonts w:cs="Calibri"/>
          <w:iCs/>
        </w:rPr>
        <w:endnoteReference w:id="620"/>
      </w:r>
      <w:r w:rsidRPr="002A6FA8">
        <w:rPr>
          <w:rFonts w:cs="Calibri"/>
          <w:iCs/>
        </w:rPr>
        <w:t xml:space="preserve"> </w:t>
      </w:r>
    </w:p>
    <w:p w14:paraId="29B62F1F" w14:textId="1BC8BB51" w:rsidR="00E2327A" w:rsidRPr="00961F0B" w:rsidRDefault="005A29C8" w:rsidP="005A29C8">
      <w:pPr>
        <w:pStyle w:val="Heading4"/>
        <w:numPr>
          <w:ilvl w:val="0"/>
          <w:numId w:val="80"/>
        </w:numPr>
      </w:pPr>
      <w:r>
        <w:tab/>
      </w:r>
      <w:bookmarkStart w:id="482" w:name="_Toc159851552"/>
      <w:r w:rsidR="00E2327A" w:rsidRPr="00961F0B">
        <w:t>The victim’s rights form</w:t>
      </w:r>
      <w:bookmarkEnd w:id="482"/>
    </w:p>
    <w:p w14:paraId="4D3A8297" w14:textId="77777777" w:rsidR="00E2327A" w:rsidRPr="002A6FA8" w:rsidRDefault="00E2327A" w:rsidP="007120C3">
      <w:pPr>
        <w:spacing w:line="220" w:lineRule="exact"/>
        <w:ind w:left="360"/>
        <w:contextualSpacing/>
        <w:jc w:val="both"/>
        <w:rPr>
          <w:rFonts w:cs="Calibri"/>
          <w:iCs/>
        </w:rPr>
      </w:pPr>
      <w:r w:rsidRPr="002A6FA8">
        <w:rPr>
          <w:rFonts w:cs="Calibri"/>
          <w:iCs/>
        </w:rPr>
        <w:t xml:space="preserve">Marsy’s Law requires that the victim or victim’s representative be given or </w:t>
      </w:r>
      <w:r>
        <w:rPr>
          <w:rFonts w:cs="Calibri"/>
          <w:iCs/>
        </w:rPr>
        <w:t xml:space="preserve">be </w:t>
      </w:r>
      <w:r w:rsidRPr="002A6FA8">
        <w:rPr>
          <w:rFonts w:cs="Calibri"/>
          <w:iCs/>
        </w:rPr>
        <w:t>notified about a victim’s rights form. This form contains important information for the victim, as well as for law enforcement, prosecutors, and courts that will use the form throughout the criminal process. The victim’s rights form is not a public record under the Public Records Act.</w:t>
      </w:r>
      <w:r>
        <w:rPr>
          <w:rStyle w:val="EndnoteReference"/>
          <w:rFonts w:cs="Calibri"/>
          <w:iCs/>
        </w:rPr>
        <w:endnoteReference w:id="621"/>
      </w:r>
      <w:r w:rsidRPr="002A6FA8">
        <w:rPr>
          <w:rFonts w:cs="Calibri"/>
          <w:iCs/>
        </w:rPr>
        <w:t xml:space="preserve">  </w:t>
      </w:r>
    </w:p>
    <w:p w14:paraId="58B0BBE3" w14:textId="77777777" w:rsidR="00E2327A" w:rsidRDefault="00E2327A" w:rsidP="007120C3">
      <w:pPr>
        <w:spacing w:line="220" w:lineRule="exact"/>
        <w:ind w:left="360"/>
        <w:contextualSpacing/>
        <w:jc w:val="both"/>
        <w:rPr>
          <w:rFonts w:cs="Calibri"/>
          <w:iCs/>
        </w:rPr>
      </w:pPr>
    </w:p>
    <w:p w14:paraId="0F24D5ED" w14:textId="642DE18E" w:rsidR="00E2327A" w:rsidRPr="002A6FA8" w:rsidRDefault="00E2327A" w:rsidP="007120C3">
      <w:pPr>
        <w:spacing w:line="220" w:lineRule="exact"/>
        <w:ind w:left="360"/>
        <w:contextualSpacing/>
        <w:jc w:val="both"/>
        <w:rPr>
          <w:rFonts w:cs="Calibri"/>
          <w:iCs/>
        </w:rPr>
      </w:pPr>
      <w:r w:rsidRPr="002A6FA8">
        <w:rPr>
          <w:rFonts w:cs="Calibri"/>
          <w:iCs/>
        </w:rPr>
        <w:t>The victim’s rights form tells the victim or victim’s representative what rights they are automatically entitled to under Marsy’s Law and what rights they must request.</w:t>
      </w:r>
      <w:r>
        <w:rPr>
          <w:rStyle w:val="EndnoteReference"/>
          <w:rFonts w:cs="Calibri"/>
          <w:iCs/>
        </w:rPr>
        <w:endnoteReference w:id="622"/>
      </w:r>
      <w:r w:rsidRPr="002A6FA8">
        <w:rPr>
          <w:rFonts w:cs="Calibri"/>
          <w:iCs/>
        </w:rPr>
        <w:t xml:space="preserve"> The victim or victim’s representative can choose to exercise all, some, or none of these rights, and can change their </w:t>
      </w:r>
      <w:r>
        <w:rPr>
          <w:rFonts w:cs="Calibri"/>
          <w:iCs/>
        </w:rPr>
        <w:t>decision</w:t>
      </w:r>
      <w:r w:rsidRPr="002A6FA8">
        <w:rPr>
          <w:rFonts w:cs="Calibri"/>
          <w:iCs/>
        </w:rPr>
        <w:t xml:space="preserve"> any time.</w:t>
      </w:r>
      <w:r>
        <w:rPr>
          <w:rStyle w:val="EndnoteReference"/>
          <w:rFonts w:cs="Calibri"/>
          <w:iCs/>
        </w:rPr>
        <w:endnoteReference w:id="623"/>
      </w:r>
      <w:r w:rsidRPr="002A6FA8">
        <w:rPr>
          <w:rFonts w:cs="Calibri"/>
          <w:iCs/>
        </w:rPr>
        <w:t xml:space="preserve"> </w:t>
      </w:r>
    </w:p>
    <w:p w14:paraId="132F8C23" w14:textId="77777777" w:rsidR="00E2327A" w:rsidRDefault="00E2327A" w:rsidP="007120C3">
      <w:pPr>
        <w:spacing w:line="220" w:lineRule="exact"/>
        <w:ind w:left="360"/>
        <w:contextualSpacing/>
        <w:jc w:val="both"/>
        <w:rPr>
          <w:rFonts w:cs="Calibri"/>
          <w:iCs/>
        </w:rPr>
      </w:pPr>
    </w:p>
    <w:p w14:paraId="221FE68B" w14:textId="77777777" w:rsidR="00E2327A" w:rsidRDefault="00E2327A" w:rsidP="007120C3">
      <w:pPr>
        <w:spacing w:line="220" w:lineRule="exact"/>
        <w:ind w:left="360"/>
        <w:contextualSpacing/>
        <w:jc w:val="both"/>
        <w:rPr>
          <w:rFonts w:cs="Calibri"/>
          <w:iCs/>
        </w:rPr>
      </w:pPr>
      <w:r w:rsidRPr="002A6FA8">
        <w:rPr>
          <w:rFonts w:cs="Calibri"/>
          <w:iCs/>
        </w:rPr>
        <w:t xml:space="preserve">The victim’s rights form must </w:t>
      </w:r>
      <w:r>
        <w:rPr>
          <w:rFonts w:cs="Calibri"/>
          <w:iCs/>
        </w:rPr>
        <w:t>include</w:t>
      </w:r>
      <w:r w:rsidRPr="002A6FA8">
        <w:rPr>
          <w:rFonts w:cs="Calibri"/>
          <w:iCs/>
        </w:rPr>
        <w:t>:</w:t>
      </w:r>
    </w:p>
    <w:p w14:paraId="3CDC3571" w14:textId="77777777" w:rsidR="00E2327A" w:rsidRPr="002A6FA8" w:rsidRDefault="00E2327A" w:rsidP="00E2327A">
      <w:pPr>
        <w:spacing w:line="220" w:lineRule="exact"/>
        <w:ind w:left="360"/>
        <w:contextualSpacing/>
        <w:jc w:val="both"/>
        <w:rPr>
          <w:rFonts w:cs="Calibri"/>
          <w:iCs/>
        </w:rPr>
      </w:pPr>
    </w:p>
    <w:p w14:paraId="66FB0CCF" w14:textId="77777777" w:rsidR="00E2327A" w:rsidRDefault="00E2327A" w:rsidP="00236FD5">
      <w:pPr>
        <w:spacing w:line="220" w:lineRule="exact"/>
        <w:ind w:left="1440" w:hanging="360"/>
        <w:contextualSpacing/>
        <w:jc w:val="both"/>
        <w:rPr>
          <w:rFonts w:cs="Calibri"/>
          <w:iCs/>
        </w:rPr>
      </w:pPr>
      <w:r w:rsidRPr="002A6FA8">
        <w:rPr>
          <w:rFonts w:cs="Calibri"/>
          <w:iCs/>
        </w:rPr>
        <w:t>(1)</w:t>
      </w:r>
      <w:r w:rsidRPr="002A6FA8">
        <w:rPr>
          <w:rFonts w:cs="Calibri"/>
          <w:iCs/>
        </w:rPr>
        <w:tab/>
        <w:t>A statement that the form itself is not a public record under the Public Records Act</w:t>
      </w:r>
      <w:r>
        <w:rPr>
          <w:rFonts w:cs="Calibri"/>
          <w:iCs/>
        </w:rPr>
        <w:t>;</w:t>
      </w:r>
      <w:r>
        <w:rPr>
          <w:rStyle w:val="EndnoteReference"/>
          <w:rFonts w:cs="Calibri"/>
          <w:iCs/>
        </w:rPr>
        <w:endnoteReference w:id="624"/>
      </w:r>
      <w:r w:rsidRPr="002A6FA8">
        <w:rPr>
          <w:rFonts w:cs="Calibri"/>
          <w:iCs/>
        </w:rPr>
        <w:t xml:space="preserve"> </w:t>
      </w:r>
    </w:p>
    <w:p w14:paraId="48275C75" w14:textId="77777777" w:rsidR="00E2327A" w:rsidRPr="002A6FA8" w:rsidRDefault="00E2327A" w:rsidP="00236FD5">
      <w:pPr>
        <w:spacing w:line="220" w:lineRule="exact"/>
        <w:ind w:left="1440" w:hanging="360"/>
        <w:contextualSpacing/>
        <w:jc w:val="both"/>
        <w:rPr>
          <w:rFonts w:cs="Calibri"/>
          <w:iCs/>
        </w:rPr>
      </w:pPr>
    </w:p>
    <w:p w14:paraId="2912C6A1" w14:textId="77777777" w:rsidR="00E2327A" w:rsidRDefault="00E2327A" w:rsidP="00236FD5">
      <w:pPr>
        <w:spacing w:line="220" w:lineRule="exact"/>
        <w:ind w:left="1440" w:hanging="360"/>
        <w:contextualSpacing/>
        <w:jc w:val="both"/>
        <w:rPr>
          <w:rFonts w:cs="Calibri"/>
          <w:iCs/>
        </w:rPr>
      </w:pPr>
      <w:r w:rsidRPr="002A6FA8">
        <w:rPr>
          <w:rFonts w:cs="Calibri"/>
          <w:iCs/>
        </w:rPr>
        <w:t>(2)</w:t>
      </w:r>
      <w:r w:rsidRPr="002A6FA8">
        <w:rPr>
          <w:rFonts w:cs="Calibri"/>
          <w:iCs/>
        </w:rPr>
        <w:tab/>
        <w:t>A section that allows the victim or victim’s representative to request that his or her name, address, or other identifying information be redacted from “case documents</w:t>
      </w:r>
      <w:r>
        <w:rPr>
          <w:rFonts w:cs="Calibri"/>
          <w:iCs/>
        </w:rPr>
        <w:t>;</w:t>
      </w:r>
      <w:r w:rsidRPr="002A6FA8">
        <w:rPr>
          <w:rFonts w:cs="Calibri"/>
          <w:iCs/>
        </w:rPr>
        <w:t>”</w:t>
      </w:r>
      <w:r>
        <w:rPr>
          <w:rStyle w:val="EndnoteReference"/>
          <w:rFonts w:cs="Calibri"/>
          <w:iCs/>
        </w:rPr>
        <w:endnoteReference w:id="625"/>
      </w:r>
      <w:r w:rsidRPr="002A6FA8">
        <w:rPr>
          <w:rFonts w:cs="Calibri"/>
          <w:iCs/>
        </w:rPr>
        <w:t xml:space="preserve">  </w:t>
      </w:r>
    </w:p>
    <w:p w14:paraId="505AC4F6" w14:textId="77777777" w:rsidR="00E2327A" w:rsidRPr="002A6FA8" w:rsidRDefault="00E2327A" w:rsidP="00236FD5">
      <w:pPr>
        <w:spacing w:line="220" w:lineRule="exact"/>
        <w:ind w:left="1440" w:hanging="360"/>
        <w:contextualSpacing/>
        <w:jc w:val="both"/>
        <w:rPr>
          <w:rFonts w:cs="Calibri"/>
          <w:iCs/>
        </w:rPr>
      </w:pPr>
    </w:p>
    <w:p w14:paraId="4542ED3B" w14:textId="77777777" w:rsidR="00E2327A" w:rsidRDefault="00E2327A" w:rsidP="00236FD5">
      <w:pPr>
        <w:spacing w:line="220" w:lineRule="exact"/>
        <w:ind w:left="1440" w:hanging="360"/>
        <w:contextualSpacing/>
        <w:jc w:val="both"/>
        <w:rPr>
          <w:rFonts w:cs="Calibri"/>
          <w:iCs/>
        </w:rPr>
      </w:pPr>
      <w:r w:rsidRPr="002A6FA8">
        <w:rPr>
          <w:rFonts w:cs="Calibri"/>
          <w:iCs/>
        </w:rPr>
        <w:t>(3)</w:t>
      </w:r>
      <w:r w:rsidRPr="002A6FA8">
        <w:rPr>
          <w:rFonts w:cs="Calibri"/>
          <w:iCs/>
        </w:rPr>
        <w:tab/>
        <w:t>A section that explains that if a victim of “violating a protection order, an offense of violence, or a sexually oriented offense” does not complete the form or request applicable rights at the first contact with law enforcement, it is considered an assertion of the victim’s rights until: (1) the victim completes the form or requests applicable rights, or (2) the prosecutor contacts the victim</w:t>
      </w:r>
      <w:r>
        <w:rPr>
          <w:rFonts w:cs="Calibri"/>
          <w:iCs/>
        </w:rPr>
        <w:t>;</w:t>
      </w:r>
      <w:r>
        <w:rPr>
          <w:rStyle w:val="EndnoteReference"/>
          <w:rFonts w:cs="Calibri"/>
          <w:iCs/>
        </w:rPr>
        <w:endnoteReference w:id="626"/>
      </w:r>
      <w:r w:rsidRPr="002A6FA8">
        <w:rPr>
          <w:rFonts w:cs="Calibri"/>
          <w:iCs/>
        </w:rPr>
        <w:t xml:space="preserve">  </w:t>
      </w:r>
    </w:p>
    <w:p w14:paraId="3393BE6F" w14:textId="77777777" w:rsidR="00E2327A" w:rsidRPr="002A6FA8" w:rsidRDefault="00E2327A" w:rsidP="00236FD5">
      <w:pPr>
        <w:spacing w:line="220" w:lineRule="exact"/>
        <w:ind w:left="1440" w:hanging="360"/>
        <w:contextualSpacing/>
        <w:jc w:val="both"/>
        <w:rPr>
          <w:rFonts w:cs="Calibri"/>
          <w:iCs/>
        </w:rPr>
      </w:pPr>
    </w:p>
    <w:p w14:paraId="45FD8589" w14:textId="77777777" w:rsidR="00E2327A" w:rsidRDefault="00E2327A" w:rsidP="00236FD5">
      <w:pPr>
        <w:spacing w:line="220" w:lineRule="exact"/>
        <w:ind w:left="1440" w:hanging="360"/>
        <w:contextualSpacing/>
        <w:jc w:val="both"/>
        <w:rPr>
          <w:rFonts w:cs="Calibri"/>
          <w:iCs/>
        </w:rPr>
      </w:pPr>
      <w:r w:rsidRPr="002A6FA8">
        <w:rPr>
          <w:rFonts w:cs="Calibri"/>
          <w:iCs/>
        </w:rPr>
        <w:lastRenderedPageBreak/>
        <w:t>(4)</w:t>
      </w:r>
      <w:r w:rsidRPr="002A6FA8">
        <w:rPr>
          <w:rFonts w:cs="Calibri"/>
          <w:iCs/>
        </w:rPr>
        <w:tab/>
        <w:t>A section that explains that the victim must make a separate request to the Department of Public Safety for redaction of identifying information in motor vehicle accident reports</w:t>
      </w:r>
      <w:r>
        <w:rPr>
          <w:rFonts w:cs="Calibri"/>
          <w:iCs/>
        </w:rPr>
        <w:t>;</w:t>
      </w:r>
      <w:r>
        <w:rPr>
          <w:rStyle w:val="EndnoteReference"/>
          <w:rFonts w:cs="Calibri"/>
          <w:iCs/>
        </w:rPr>
        <w:endnoteReference w:id="627"/>
      </w:r>
      <w:r w:rsidRPr="002A6FA8">
        <w:rPr>
          <w:rFonts w:cs="Calibri"/>
          <w:iCs/>
        </w:rPr>
        <w:t xml:space="preserve"> </w:t>
      </w:r>
      <w:r>
        <w:rPr>
          <w:rFonts w:cs="Calibri"/>
          <w:iCs/>
        </w:rPr>
        <w:t>and</w:t>
      </w:r>
      <w:r w:rsidRPr="002A6FA8">
        <w:rPr>
          <w:rFonts w:cs="Calibri"/>
          <w:iCs/>
        </w:rPr>
        <w:t xml:space="preserve"> </w:t>
      </w:r>
    </w:p>
    <w:p w14:paraId="29F8B11D" w14:textId="77777777" w:rsidR="00E2327A" w:rsidRPr="002A6FA8" w:rsidRDefault="00E2327A" w:rsidP="00236FD5">
      <w:pPr>
        <w:spacing w:line="220" w:lineRule="exact"/>
        <w:ind w:left="1440" w:hanging="360"/>
        <w:contextualSpacing/>
        <w:jc w:val="both"/>
        <w:rPr>
          <w:rFonts w:cs="Calibri"/>
          <w:iCs/>
        </w:rPr>
      </w:pPr>
    </w:p>
    <w:p w14:paraId="44AF5EEE" w14:textId="77777777" w:rsidR="00E2327A" w:rsidRDefault="00E2327A" w:rsidP="00236FD5">
      <w:pPr>
        <w:spacing w:line="220" w:lineRule="exact"/>
        <w:ind w:left="1440" w:hanging="360"/>
        <w:contextualSpacing/>
        <w:jc w:val="both"/>
        <w:rPr>
          <w:rFonts w:cs="Calibri"/>
          <w:iCs/>
        </w:rPr>
      </w:pPr>
      <w:r w:rsidRPr="002A6FA8">
        <w:rPr>
          <w:rFonts w:cs="Calibri"/>
          <w:iCs/>
        </w:rPr>
        <w:t>(5)</w:t>
      </w:r>
      <w:r w:rsidRPr="002A6FA8">
        <w:rPr>
          <w:rFonts w:cs="Calibri"/>
          <w:iCs/>
        </w:rPr>
        <w:tab/>
        <w:t>Information about the address confidentiality program.</w:t>
      </w:r>
      <w:r>
        <w:rPr>
          <w:rStyle w:val="EndnoteReference"/>
          <w:rFonts w:cs="Calibri"/>
          <w:iCs/>
        </w:rPr>
        <w:endnoteReference w:id="628"/>
      </w:r>
      <w:r w:rsidRPr="002A6FA8">
        <w:rPr>
          <w:rFonts w:cs="Calibri"/>
          <w:iCs/>
        </w:rPr>
        <w:t xml:space="preserve"> </w:t>
      </w:r>
    </w:p>
    <w:p w14:paraId="2F3504EC" w14:textId="77777777" w:rsidR="00783093" w:rsidRDefault="00783093" w:rsidP="00236FD5">
      <w:pPr>
        <w:spacing w:line="220" w:lineRule="exact"/>
        <w:ind w:left="1440" w:hanging="360"/>
        <w:contextualSpacing/>
        <w:jc w:val="both"/>
        <w:rPr>
          <w:rFonts w:cs="Calibri"/>
          <w:iCs/>
        </w:rPr>
      </w:pPr>
    </w:p>
    <w:p w14:paraId="16D9AF8C" w14:textId="2F0F8DA3" w:rsidR="00E2327A" w:rsidRPr="0032611B" w:rsidRDefault="00A03E56" w:rsidP="00BD2AE1">
      <w:pPr>
        <w:pStyle w:val="Heading4"/>
      </w:pPr>
      <w:bookmarkStart w:id="483" w:name="_Toc159851553"/>
      <w:r>
        <w:t>c.</w:t>
      </w:r>
      <w:r>
        <w:tab/>
      </w:r>
      <w:r w:rsidR="005A29C8">
        <w:tab/>
      </w:r>
      <w:r w:rsidR="00E2327A" w:rsidRPr="00961F0B">
        <w:t>When</w:t>
      </w:r>
      <w:r w:rsidR="00E2327A">
        <w:t xml:space="preserve"> a</w:t>
      </w:r>
      <w:r w:rsidR="00E2327A" w:rsidRPr="00961F0B">
        <w:t xml:space="preserve"> victim’s identifying information must be redacted </w:t>
      </w:r>
      <w:r w:rsidR="00056CCE">
        <w:tab/>
      </w:r>
      <w:r w:rsidR="00056CCE">
        <w:tab/>
      </w:r>
      <w:r w:rsidR="00056CCE">
        <w:tab/>
      </w:r>
      <w:r w:rsidR="00E2327A" w:rsidRPr="00961F0B">
        <w:t>from “case documents”</w:t>
      </w:r>
      <w:bookmarkEnd w:id="483"/>
    </w:p>
    <w:p w14:paraId="38305498" w14:textId="77777777" w:rsidR="00E2327A" w:rsidRDefault="00E2327A" w:rsidP="007120C3">
      <w:pPr>
        <w:spacing w:line="220" w:lineRule="exact"/>
        <w:ind w:left="360"/>
        <w:jc w:val="both"/>
        <w:rPr>
          <w:rFonts w:cs="Calibri"/>
          <w:iCs/>
        </w:rPr>
      </w:pPr>
      <w:r w:rsidRPr="002A6FA8">
        <w:rPr>
          <w:rFonts w:cs="Calibri"/>
          <w:iCs/>
        </w:rPr>
        <w:t xml:space="preserve">The victim’s identifying information must be redacted from “case documents” if: </w:t>
      </w:r>
    </w:p>
    <w:p w14:paraId="312A10AE" w14:textId="77777777" w:rsidR="00E2327A" w:rsidRPr="002A6FA8" w:rsidRDefault="00E2327A" w:rsidP="00E2327A">
      <w:pPr>
        <w:spacing w:line="220" w:lineRule="exact"/>
        <w:ind w:left="360"/>
        <w:jc w:val="both"/>
        <w:rPr>
          <w:rFonts w:cs="Calibri"/>
          <w:iCs/>
        </w:rPr>
      </w:pPr>
    </w:p>
    <w:p w14:paraId="35CEA54C" w14:textId="575739E2" w:rsidR="00E2327A" w:rsidRDefault="00E2327A" w:rsidP="00236FD5">
      <w:pPr>
        <w:spacing w:line="220" w:lineRule="exact"/>
        <w:ind w:left="1440" w:hanging="360"/>
        <w:jc w:val="both"/>
        <w:rPr>
          <w:rFonts w:cs="Calibri"/>
          <w:iCs/>
        </w:rPr>
      </w:pPr>
      <w:r w:rsidRPr="002A6FA8">
        <w:rPr>
          <w:rFonts w:cs="Calibri"/>
          <w:iCs/>
        </w:rPr>
        <w:t xml:space="preserve">(1) </w:t>
      </w:r>
      <w:r w:rsidR="007120C3">
        <w:rPr>
          <w:rFonts w:cs="Calibri"/>
          <w:iCs/>
        </w:rPr>
        <w:tab/>
      </w:r>
      <w:r w:rsidRPr="002A6FA8">
        <w:rPr>
          <w:rFonts w:cs="Calibri"/>
          <w:iCs/>
        </w:rPr>
        <w:t>The victim or victim’s representative made a written request for the victim’s name, address, or other identifying information to be redacted from “case documents”;</w:t>
      </w:r>
      <w:r>
        <w:rPr>
          <w:rStyle w:val="EndnoteReference"/>
          <w:rFonts w:cs="Calibri"/>
          <w:iCs/>
        </w:rPr>
        <w:endnoteReference w:id="629"/>
      </w:r>
    </w:p>
    <w:p w14:paraId="53A83664" w14:textId="77777777" w:rsidR="00E2327A" w:rsidRPr="002A6FA8" w:rsidRDefault="00E2327A" w:rsidP="00236FD5">
      <w:pPr>
        <w:spacing w:line="220" w:lineRule="exact"/>
        <w:ind w:left="360" w:hanging="360"/>
        <w:jc w:val="both"/>
        <w:rPr>
          <w:rFonts w:cs="Calibri"/>
          <w:iCs/>
        </w:rPr>
      </w:pPr>
    </w:p>
    <w:p w14:paraId="773B75BD" w14:textId="48548631" w:rsidR="00E2327A" w:rsidRDefault="00E2327A" w:rsidP="00236FD5">
      <w:pPr>
        <w:spacing w:line="220" w:lineRule="exact"/>
        <w:ind w:left="1440" w:hanging="360"/>
        <w:jc w:val="both"/>
        <w:rPr>
          <w:rFonts w:cs="Calibri"/>
          <w:iCs/>
        </w:rPr>
      </w:pPr>
      <w:r w:rsidRPr="002A6FA8">
        <w:rPr>
          <w:rFonts w:cs="Calibri"/>
          <w:iCs/>
        </w:rPr>
        <w:t xml:space="preserve">(2) </w:t>
      </w:r>
      <w:r w:rsidR="007120C3">
        <w:rPr>
          <w:rFonts w:cs="Calibri"/>
          <w:iCs/>
        </w:rPr>
        <w:tab/>
      </w:r>
      <w:r w:rsidRPr="002A6FA8">
        <w:rPr>
          <w:rFonts w:cs="Calibri"/>
          <w:iCs/>
        </w:rPr>
        <w:t>The victim of violating a protection order, an offense of violence, or a sexually oriented offense, or victim’s representative, was unable to complete the victim’s rights form at the first contact with law enforcement until the victim or victim’s representative has initial contact with the prosecutor</w:t>
      </w:r>
      <w:r>
        <w:rPr>
          <w:rFonts w:cs="Calibri"/>
          <w:iCs/>
        </w:rPr>
        <w:t>;</w:t>
      </w:r>
      <w:r>
        <w:rPr>
          <w:rStyle w:val="EndnoteReference"/>
          <w:rFonts w:cs="Calibri"/>
          <w:iCs/>
        </w:rPr>
        <w:endnoteReference w:id="630"/>
      </w:r>
      <w:r w:rsidRPr="002A6FA8">
        <w:rPr>
          <w:rFonts w:cs="Calibri"/>
          <w:iCs/>
        </w:rPr>
        <w:t xml:space="preserve"> </w:t>
      </w:r>
      <w:r>
        <w:rPr>
          <w:rFonts w:cs="Calibri"/>
          <w:iCs/>
        </w:rPr>
        <w:t>o</w:t>
      </w:r>
      <w:r w:rsidRPr="002A6FA8">
        <w:rPr>
          <w:rFonts w:cs="Calibri"/>
          <w:iCs/>
        </w:rPr>
        <w:t>r</w:t>
      </w:r>
    </w:p>
    <w:p w14:paraId="3F20C494" w14:textId="77777777" w:rsidR="00E2327A" w:rsidRPr="002A6FA8" w:rsidRDefault="00E2327A" w:rsidP="00236FD5">
      <w:pPr>
        <w:spacing w:line="220" w:lineRule="exact"/>
        <w:ind w:left="360" w:hanging="360"/>
        <w:jc w:val="both"/>
        <w:rPr>
          <w:rFonts w:cs="Calibri"/>
          <w:iCs/>
        </w:rPr>
      </w:pPr>
    </w:p>
    <w:p w14:paraId="6722316A" w14:textId="6DACDFA3" w:rsidR="00E2327A" w:rsidRPr="002A6FA8" w:rsidRDefault="00E2327A" w:rsidP="00236FD5">
      <w:pPr>
        <w:spacing w:line="220" w:lineRule="exact"/>
        <w:ind w:left="1440" w:hanging="360"/>
        <w:jc w:val="both"/>
        <w:rPr>
          <w:rFonts w:cs="Calibri"/>
          <w:iCs/>
        </w:rPr>
      </w:pPr>
      <w:r w:rsidRPr="002A6FA8">
        <w:rPr>
          <w:rFonts w:cs="Calibri"/>
          <w:iCs/>
        </w:rPr>
        <w:t xml:space="preserve">(3) </w:t>
      </w:r>
      <w:r w:rsidR="007120C3">
        <w:rPr>
          <w:rFonts w:cs="Calibri"/>
          <w:iCs/>
        </w:rPr>
        <w:tab/>
      </w:r>
      <w:r w:rsidRPr="002A6FA8">
        <w:rPr>
          <w:rFonts w:cs="Calibri"/>
          <w:iCs/>
        </w:rPr>
        <w:t>The victim or victim’s representative uses the victim’s rights form to request redaction of the victim’s identifying information.</w:t>
      </w:r>
      <w:r>
        <w:rPr>
          <w:rStyle w:val="EndnoteReference"/>
          <w:rFonts w:cs="Calibri"/>
          <w:iCs/>
        </w:rPr>
        <w:endnoteReference w:id="631"/>
      </w:r>
      <w:r w:rsidRPr="002A6FA8">
        <w:rPr>
          <w:rFonts w:cs="Calibri"/>
          <w:iCs/>
        </w:rPr>
        <w:t xml:space="preserve"> </w:t>
      </w:r>
    </w:p>
    <w:p w14:paraId="25CE8C92" w14:textId="77777777" w:rsidR="00E2327A" w:rsidRDefault="00E2327A" w:rsidP="00E2327A">
      <w:pPr>
        <w:spacing w:line="220" w:lineRule="exact"/>
        <w:ind w:left="360"/>
        <w:jc w:val="both"/>
        <w:rPr>
          <w:rFonts w:cs="Calibri"/>
          <w:iCs/>
        </w:rPr>
      </w:pPr>
    </w:p>
    <w:p w14:paraId="7FF38770" w14:textId="77777777" w:rsidR="00E2327A" w:rsidRDefault="00E2327A" w:rsidP="007120C3">
      <w:pPr>
        <w:spacing w:line="220" w:lineRule="exact"/>
        <w:ind w:left="360"/>
        <w:jc w:val="both"/>
        <w:rPr>
          <w:rFonts w:cs="Calibri"/>
          <w:iCs/>
        </w:rPr>
      </w:pPr>
      <w:r w:rsidRPr="002A6FA8">
        <w:rPr>
          <w:rFonts w:cs="Calibri"/>
          <w:iCs/>
        </w:rPr>
        <w:t xml:space="preserve">Under any of these scenarios, a law enforcement agency, prosecutor’s office, or court is prohibited from releasing unredacted “case documents” in response to a public records request. </w:t>
      </w:r>
      <w:r>
        <w:rPr>
          <w:rStyle w:val="EndnoteReference"/>
          <w:rFonts w:cs="Calibri"/>
          <w:iCs/>
        </w:rPr>
        <w:endnoteReference w:id="632"/>
      </w:r>
    </w:p>
    <w:p w14:paraId="3C9FE20D" w14:textId="77777777" w:rsidR="00E2327A" w:rsidRDefault="00E2327A" w:rsidP="007120C3">
      <w:pPr>
        <w:spacing w:line="220" w:lineRule="exact"/>
        <w:ind w:left="360"/>
        <w:jc w:val="both"/>
        <w:rPr>
          <w:rFonts w:cs="Calibri"/>
          <w:iCs/>
        </w:rPr>
      </w:pPr>
    </w:p>
    <w:p w14:paraId="5CAFEB0E" w14:textId="77777777" w:rsidR="00E2327A" w:rsidRDefault="00E2327A" w:rsidP="000C75CB">
      <w:pPr>
        <w:spacing w:line="220" w:lineRule="exact"/>
        <w:ind w:left="360"/>
        <w:jc w:val="both"/>
        <w:rPr>
          <w:rFonts w:cs="Calibri"/>
          <w:iCs/>
        </w:rPr>
      </w:pPr>
      <w:r w:rsidRPr="002A6FA8">
        <w:rPr>
          <w:rFonts w:cs="Calibri"/>
          <w:iCs/>
        </w:rPr>
        <w:t>The</w:t>
      </w:r>
      <w:r>
        <w:rPr>
          <w:rFonts w:cs="Calibri"/>
          <w:iCs/>
        </w:rPr>
        <w:t>se redaction provisions do not</w:t>
      </w:r>
      <w:r w:rsidRPr="002A6FA8">
        <w:rPr>
          <w:rFonts w:cs="Calibri"/>
          <w:iCs/>
        </w:rPr>
        <w:t xml:space="preserve"> “apply to any disclosure of the name, address, or other identifying information of a victim of a criminal offense or delinquent act that resulted in the death of the victim.”</w:t>
      </w:r>
      <w:r>
        <w:rPr>
          <w:rStyle w:val="EndnoteReference"/>
          <w:rFonts w:cs="Calibri"/>
          <w:iCs/>
        </w:rPr>
        <w:endnoteReference w:id="633"/>
      </w:r>
      <w:r w:rsidRPr="002A6FA8">
        <w:rPr>
          <w:rFonts w:cs="Calibri"/>
          <w:iCs/>
        </w:rPr>
        <w:t xml:space="preserve">  </w:t>
      </w:r>
    </w:p>
    <w:p w14:paraId="63D96C39" w14:textId="1F840101" w:rsidR="00E2327A" w:rsidRPr="0032611B" w:rsidRDefault="00A03E56" w:rsidP="00BD2AE1">
      <w:pPr>
        <w:pStyle w:val="Heading4"/>
      </w:pPr>
      <w:bookmarkStart w:id="484" w:name="_Toc159851554"/>
      <w:r>
        <w:t>d.</w:t>
      </w:r>
      <w:r>
        <w:tab/>
      </w:r>
      <w:r w:rsidR="005A29C8">
        <w:tab/>
      </w:r>
      <w:r w:rsidR="00E2327A" w:rsidRPr="00961F0B">
        <w:t>Case documents</w:t>
      </w:r>
      <w:bookmarkEnd w:id="484"/>
    </w:p>
    <w:p w14:paraId="2719B561" w14:textId="1081FCBD" w:rsidR="00E2327A" w:rsidRPr="002A6FA8" w:rsidRDefault="00E2327A" w:rsidP="000C75CB">
      <w:pPr>
        <w:spacing w:line="220" w:lineRule="exact"/>
        <w:ind w:left="360"/>
        <w:jc w:val="both"/>
        <w:rPr>
          <w:rFonts w:cs="Calibri"/>
          <w:iCs/>
        </w:rPr>
      </w:pPr>
      <w:r w:rsidRPr="002A6FA8">
        <w:rPr>
          <w:rFonts w:cs="Calibri"/>
          <w:iCs/>
        </w:rPr>
        <w:t>A “case document” is a “document or information in a document, or audio or video recording of a victim of violating a protection order, an offense of violence, or a sexually oriented offense, regarding a case that is submitted to a court, a law enforcement agency or officer, or a prosecutor or filed with a clerk of court[.]”</w:t>
      </w:r>
      <w:r>
        <w:rPr>
          <w:rStyle w:val="EndnoteReference"/>
          <w:rFonts w:cs="Calibri"/>
          <w:iCs/>
        </w:rPr>
        <w:endnoteReference w:id="634"/>
      </w:r>
      <w:r w:rsidRPr="002A6FA8">
        <w:rPr>
          <w:rFonts w:cs="Calibri"/>
          <w:iCs/>
        </w:rPr>
        <w:t xml:space="preserve"> </w:t>
      </w:r>
      <w:r w:rsidR="000E7261">
        <w:rPr>
          <w:rFonts w:cs="Calibri"/>
          <w:iCs/>
        </w:rPr>
        <w:t>This</w:t>
      </w:r>
      <w:r w:rsidRPr="002A6FA8">
        <w:rPr>
          <w:rFonts w:cs="Calibri"/>
          <w:iCs/>
        </w:rPr>
        <w:t xml:space="preserve"> includes, but is not limited to</w:t>
      </w:r>
      <w:r w:rsidR="000E7261">
        <w:rPr>
          <w:rFonts w:cs="Calibri"/>
          <w:iCs/>
        </w:rPr>
        <w:t>,</w:t>
      </w:r>
      <w:r w:rsidRPr="002A6FA8">
        <w:rPr>
          <w:rFonts w:cs="Calibri"/>
          <w:iCs/>
        </w:rPr>
        <w:t xml:space="preserve"> “pleadings, motions, exhibits, transcripts, orders, and judgments, or any documentation, including audio or video recordings of a victim of violating a protection order, an offense of violence, or a sexually oriented offense, prepared or created by a court, clerk of court, or law enforcement agency or officer, or a prosecutor regarding a case.”</w:t>
      </w:r>
      <w:r>
        <w:rPr>
          <w:rStyle w:val="EndnoteReference"/>
          <w:rFonts w:cs="Calibri"/>
          <w:iCs/>
        </w:rPr>
        <w:endnoteReference w:id="635"/>
      </w:r>
      <w:r w:rsidRPr="002A6FA8">
        <w:rPr>
          <w:rFonts w:cs="Calibri"/>
          <w:iCs/>
        </w:rPr>
        <w:t xml:space="preserve"> </w:t>
      </w:r>
    </w:p>
    <w:p w14:paraId="20500895" w14:textId="77777777" w:rsidR="00E2327A" w:rsidRDefault="00E2327A" w:rsidP="000C75CB">
      <w:pPr>
        <w:spacing w:line="220" w:lineRule="exact"/>
        <w:ind w:left="360"/>
        <w:jc w:val="both"/>
        <w:rPr>
          <w:rFonts w:cs="Calibri"/>
          <w:iCs/>
        </w:rPr>
      </w:pPr>
    </w:p>
    <w:p w14:paraId="3965F467" w14:textId="77777777" w:rsidR="00E2327A" w:rsidRDefault="00E2327A" w:rsidP="000C75CB">
      <w:pPr>
        <w:spacing w:line="220" w:lineRule="exact"/>
        <w:ind w:left="360"/>
        <w:jc w:val="both"/>
        <w:rPr>
          <w:rFonts w:cs="Calibri"/>
          <w:iCs/>
        </w:rPr>
      </w:pPr>
      <w:r w:rsidRPr="002A6FA8">
        <w:rPr>
          <w:rFonts w:cs="Calibri"/>
          <w:iCs/>
        </w:rPr>
        <w:t>A “case document” does not include materials that are subject to the work product doctrine, privilege, or confidentiality, or otherwise protected or prohibited from disclosure by state or federal law.</w:t>
      </w:r>
      <w:r>
        <w:rPr>
          <w:rStyle w:val="EndnoteReference"/>
          <w:rFonts w:cs="Calibri"/>
          <w:iCs/>
        </w:rPr>
        <w:endnoteReference w:id="636"/>
      </w:r>
      <w:r w:rsidRPr="002A6FA8">
        <w:rPr>
          <w:rFonts w:cs="Calibri"/>
          <w:iCs/>
        </w:rPr>
        <w:t xml:space="preserve"> </w:t>
      </w:r>
    </w:p>
    <w:p w14:paraId="3194E3FF" w14:textId="77777777" w:rsidR="00783093" w:rsidRDefault="00783093" w:rsidP="000C75CB">
      <w:pPr>
        <w:spacing w:line="220" w:lineRule="exact"/>
        <w:ind w:left="360"/>
        <w:jc w:val="both"/>
        <w:rPr>
          <w:rFonts w:cs="Calibri"/>
          <w:iCs/>
        </w:rPr>
      </w:pPr>
    </w:p>
    <w:p w14:paraId="175DD6B5" w14:textId="6EC1D36E" w:rsidR="00E2327A" w:rsidRPr="000944B0" w:rsidRDefault="00A03E56" w:rsidP="00BD2AE1">
      <w:pPr>
        <w:pStyle w:val="Heading4"/>
      </w:pPr>
      <w:bookmarkStart w:id="485" w:name="_Toc159851555"/>
      <w:r>
        <w:t>e.</w:t>
      </w:r>
      <w:r>
        <w:tab/>
      </w:r>
      <w:r w:rsidR="005A29C8">
        <w:tab/>
      </w:r>
      <w:r w:rsidR="00E2327A" w:rsidRPr="0032611B">
        <w:t>Obligations of public offices and public officials</w:t>
      </w:r>
      <w:bookmarkEnd w:id="485"/>
    </w:p>
    <w:p w14:paraId="06029594" w14:textId="77777777" w:rsidR="00E2327A" w:rsidRPr="002A6FA8" w:rsidRDefault="00E2327A" w:rsidP="007120C3">
      <w:pPr>
        <w:spacing w:line="220" w:lineRule="exact"/>
        <w:ind w:left="360"/>
        <w:jc w:val="both"/>
        <w:rPr>
          <w:rFonts w:cs="Calibri"/>
          <w:iCs/>
        </w:rPr>
      </w:pPr>
      <w:r w:rsidRPr="002A6FA8">
        <w:rPr>
          <w:rFonts w:cs="Calibri"/>
          <w:iCs/>
        </w:rPr>
        <w:t>Any public office or official charged with the responsibility of knowing the name, address, or other identifying information of the victim or the victim’s representative as part of the office’s or official’s duties, has full and complete access to this information. The public office or official must take measures to prevent public disclosure of the identifying information of the victim or victim’s representative, through the redaction provisions identified above.</w:t>
      </w:r>
      <w:r>
        <w:rPr>
          <w:rStyle w:val="EndnoteReference"/>
          <w:rFonts w:cs="Calibri"/>
          <w:iCs/>
        </w:rPr>
        <w:endnoteReference w:id="637"/>
      </w:r>
      <w:r w:rsidRPr="002A6FA8">
        <w:rPr>
          <w:rFonts w:cs="Calibri"/>
          <w:iCs/>
        </w:rPr>
        <w:t xml:space="preserve">  </w:t>
      </w:r>
    </w:p>
    <w:p w14:paraId="2C310E9B" w14:textId="77777777" w:rsidR="00E2327A" w:rsidRDefault="00E2327A" w:rsidP="007120C3">
      <w:pPr>
        <w:spacing w:line="220" w:lineRule="exact"/>
        <w:ind w:left="360"/>
        <w:jc w:val="both"/>
        <w:rPr>
          <w:rFonts w:cs="Calibri"/>
          <w:iCs/>
        </w:rPr>
      </w:pPr>
    </w:p>
    <w:p w14:paraId="710A20DB" w14:textId="77777777" w:rsidR="00E2327A" w:rsidRPr="002A6FA8" w:rsidRDefault="00E2327A" w:rsidP="007120C3">
      <w:pPr>
        <w:spacing w:line="220" w:lineRule="exact"/>
        <w:ind w:left="360"/>
        <w:jc w:val="both"/>
        <w:rPr>
          <w:rFonts w:cs="Calibri"/>
          <w:iCs/>
        </w:rPr>
      </w:pPr>
      <w:r w:rsidRPr="002A6FA8">
        <w:rPr>
          <w:rFonts w:cs="Calibri"/>
          <w:iCs/>
        </w:rPr>
        <w:t>A public agency may maintain unredacted records of the victim or the victim’s representative for its own records and use and may allow another public office or official to access the unredacted records.</w:t>
      </w:r>
      <w:r>
        <w:rPr>
          <w:rStyle w:val="EndnoteReference"/>
          <w:rFonts w:cs="Calibri"/>
          <w:iCs/>
        </w:rPr>
        <w:endnoteReference w:id="638"/>
      </w:r>
      <w:r w:rsidRPr="002A6FA8">
        <w:rPr>
          <w:rFonts w:cs="Calibri"/>
          <w:iCs/>
        </w:rPr>
        <w:t xml:space="preserve"> The victim, victim’s representative, or victim’s attorney may also access any unredacted “case documents” with the victim’s name, contact information, and identifying information.</w:t>
      </w:r>
      <w:r>
        <w:rPr>
          <w:rStyle w:val="EndnoteReference"/>
          <w:rFonts w:cs="Calibri"/>
          <w:iCs/>
        </w:rPr>
        <w:endnoteReference w:id="639"/>
      </w:r>
      <w:r w:rsidRPr="002A6FA8">
        <w:rPr>
          <w:rFonts w:cs="Calibri"/>
          <w:iCs/>
        </w:rPr>
        <w:t xml:space="preserve"> </w:t>
      </w:r>
    </w:p>
    <w:p w14:paraId="2C9B5584" w14:textId="77777777" w:rsidR="00E2327A" w:rsidRDefault="00E2327A" w:rsidP="007120C3">
      <w:pPr>
        <w:spacing w:line="220" w:lineRule="exact"/>
        <w:ind w:left="360"/>
        <w:jc w:val="both"/>
        <w:rPr>
          <w:rFonts w:cs="Calibri"/>
          <w:iCs/>
        </w:rPr>
      </w:pPr>
    </w:p>
    <w:p w14:paraId="68AEA4F0" w14:textId="200A8C41" w:rsidR="00E2327A" w:rsidRDefault="00E2327A" w:rsidP="00783093">
      <w:pPr>
        <w:spacing w:line="220" w:lineRule="exact"/>
        <w:ind w:left="360"/>
        <w:jc w:val="both"/>
        <w:rPr>
          <w:rFonts w:cs="Calibri"/>
          <w:iCs/>
        </w:rPr>
      </w:pPr>
      <w:r w:rsidRPr="002A6FA8">
        <w:rPr>
          <w:rFonts w:cs="Calibri"/>
          <w:iCs/>
        </w:rPr>
        <w:lastRenderedPageBreak/>
        <w:t xml:space="preserve">A </w:t>
      </w:r>
      <w:r>
        <w:rPr>
          <w:rFonts w:cs="Calibri"/>
          <w:iCs/>
        </w:rPr>
        <w:t xml:space="preserve">criminal </w:t>
      </w:r>
      <w:r w:rsidRPr="002A6FA8">
        <w:rPr>
          <w:rFonts w:cs="Calibri"/>
          <w:iCs/>
        </w:rPr>
        <w:t>defendant may include necessary information about the victim in filings with a court. The victim’s name and identifying information in the filings are not a public record if the victim requested that his or her identifying information be redacted from public records.</w:t>
      </w:r>
      <w:r>
        <w:rPr>
          <w:rStyle w:val="EndnoteReference"/>
          <w:rFonts w:cs="Calibri"/>
          <w:iCs/>
        </w:rPr>
        <w:endnoteReference w:id="640"/>
      </w:r>
    </w:p>
    <w:p w14:paraId="3B9D1A31" w14:textId="02E1A3F8" w:rsidR="00E2327A" w:rsidRPr="006B5C29" w:rsidRDefault="00E2327A" w:rsidP="00322085">
      <w:pPr>
        <w:pStyle w:val="Heading2"/>
      </w:pPr>
      <w:bookmarkStart w:id="486" w:name="_Toc159851556"/>
      <w:bookmarkStart w:id="487" w:name="_Hlk158886031"/>
      <w:r w:rsidRPr="006B5C29">
        <w:t>F.</w:t>
      </w:r>
      <w:r w:rsidRPr="006B5C29">
        <w:tab/>
        <w:t>Modified Access to Records for Prison Inmates</w:t>
      </w:r>
      <w:bookmarkEnd w:id="486"/>
    </w:p>
    <w:p w14:paraId="1502A18B" w14:textId="0CB97F8C" w:rsidR="00E2327A" w:rsidRDefault="00E2327A" w:rsidP="006E100D">
      <w:pPr>
        <w:spacing w:before="220" w:after="220" w:line="220" w:lineRule="exact"/>
        <w:ind w:left="360"/>
        <w:jc w:val="both"/>
      </w:pPr>
      <w:r>
        <w:t>As explained in</w:t>
      </w:r>
      <w:r w:rsidR="006E100D" w:rsidRPr="00180E03">
        <w:t xml:space="preserve"> </w:t>
      </w:r>
      <w:r w:rsidR="006E100D" w:rsidRPr="00D714D4">
        <w:t>Chapter Two: B</w:t>
      </w:r>
      <w:r w:rsidR="00D714D4" w:rsidRPr="00D714D4">
        <w:t>.</w:t>
      </w:r>
      <w:r w:rsidR="006E100D" w:rsidRPr="00D714D4">
        <w:t xml:space="preserve"> “Statutes that Modify General Rights and Duties,” </w:t>
      </w:r>
      <w:r w:rsidRPr="00D714D4">
        <w:t xml:space="preserve">there are several statutes that modify the rights of some requesters to access records. </w:t>
      </w:r>
      <w:bookmarkEnd w:id="487"/>
      <w:r w:rsidRPr="00D714D4">
        <w:t>Prison inmates must follow</w:t>
      </w:r>
      <w:r>
        <w:t xml:space="preserve"> a statutorily-mandated process if requesting records concerning any criminal investigation or prosecution, or a juvenile delinquency investigation that otherwise would be a criminal investigation or prosecution if the subject were an adult.</w:t>
      </w:r>
      <w:r>
        <w:rPr>
          <w:rStyle w:val="EndnoteReference"/>
        </w:rPr>
        <w:endnoteReference w:id="641"/>
      </w:r>
      <w:r>
        <w:t xml:space="preserve">  This process applies to both state and federal inmates</w:t>
      </w:r>
      <w:r>
        <w:rPr>
          <w:rStyle w:val="EndnoteReference"/>
        </w:rPr>
        <w:endnoteReference w:id="642"/>
      </w:r>
      <w:r>
        <w:t xml:space="preserve"> and reflects the General Assembly’s public-policy decision to restrict a convicted inmate’s access to public records, in order to conserve law enforcement resources.</w:t>
      </w:r>
      <w:r>
        <w:rPr>
          <w:rStyle w:val="EndnoteReference"/>
        </w:rPr>
        <w:endnoteReference w:id="643"/>
      </w:r>
      <w:r>
        <w:t xml:space="preserve">  </w:t>
      </w:r>
    </w:p>
    <w:p w14:paraId="20FC1FE0" w14:textId="4D61B7CD" w:rsidR="00E2327A" w:rsidRDefault="00E2327A" w:rsidP="007120C3">
      <w:pPr>
        <w:spacing w:before="220" w:after="220" w:line="220" w:lineRule="exact"/>
        <w:ind w:left="360"/>
        <w:jc w:val="both"/>
      </w:pPr>
      <w:r>
        <w:t>An inmate</w:t>
      </w:r>
      <w:r w:rsidR="00D64145">
        <w:t xml:space="preserve"> may not designate a person to</w:t>
      </w:r>
      <w:r>
        <w:t xml:space="preserve"> make a public records request on </w:t>
      </w:r>
      <w:r w:rsidR="00D64145">
        <w:t xml:space="preserve">his or her </w:t>
      </w:r>
      <w:r>
        <w:t xml:space="preserve">behalf </w:t>
      </w:r>
      <w:r w:rsidR="00D64145">
        <w:t>i</w:t>
      </w:r>
      <w:r>
        <w:t>f the inmate</w:t>
      </w:r>
      <w:r w:rsidR="006B5C29">
        <w:t xml:space="preserve"> would be</w:t>
      </w:r>
      <w:r>
        <w:t xml:space="preserve"> prohibited from making </w:t>
      </w:r>
      <w:r w:rsidR="00D64145">
        <w:t>the request</w:t>
      </w:r>
      <w:r w:rsidR="006B5C29">
        <w:t xml:space="preserve"> </w:t>
      </w:r>
      <w:r>
        <w:t>directly.</w:t>
      </w:r>
      <w:r>
        <w:rPr>
          <w:rStyle w:val="EndnoteReference"/>
        </w:rPr>
        <w:endnoteReference w:id="644"/>
      </w:r>
      <w:r>
        <w:t xml:space="preserve">  However, </w:t>
      </w:r>
      <w:r w:rsidR="00D64145">
        <w:t xml:space="preserve">courts should not presume </w:t>
      </w:r>
      <w:r>
        <w:t>a designee relationship between an inmate and requester merely because the requester is seeking records to benefit the inmate</w:t>
      </w:r>
      <w:r w:rsidR="00D64145">
        <w:t>, or</w:t>
      </w:r>
      <w:r>
        <w:t xml:space="preserve"> because the requester and inmate are related.</w:t>
      </w:r>
      <w:r>
        <w:rPr>
          <w:rStyle w:val="EndnoteReference"/>
        </w:rPr>
        <w:endnoteReference w:id="645"/>
      </w:r>
      <w:r>
        <w:t xml:space="preserve">  Rather, whether a designee relationship exists must be shown with direct evidence.</w:t>
      </w:r>
      <w:r>
        <w:rPr>
          <w:rStyle w:val="EndnoteReference"/>
        </w:rPr>
        <w:endnoteReference w:id="646"/>
      </w:r>
    </w:p>
    <w:p w14:paraId="035F87B4" w14:textId="77777777" w:rsidR="00E2327A" w:rsidRDefault="00E2327A" w:rsidP="007120C3">
      <w:pPr>
        <w:spacing w:before="220" w:after="220" w:line="220" w:lineRule="exact"/>
        <w:ind w:left="360"/>
        <w:jc w:val="both"/>
      </w:pPr>
      <w:r>
        <w:t>A public office is not required to produce records concerning a criminal investigation or prosecution in response to an inmate request unless the inmate first obtains a finding from the judge who sentenced or otherwise adjudicated the inmate’s case that the information sought is necessary to support what appears to be a justiciable claim, i.e., a pending proceeding with respect to which the requested documents would be material.</w:t>
      </w:r>
      <w:r>
        <w:rPr>
          <w:rStyle w:val="EndnoteReference"/>
        </w:rPr>
        <w:endnoteReference w:id="647"/>
      </w:r>
      <w:r>
        <w:t xml:space="preserve">  The inmate’s request must be filed in the inmate’s original criminal action, not in a separate, subsequent forfeiture action involving the inmate.</w:t>
      </w:r>
      <w:r>
        <w:rPr>
          <w:rStyle w:val="EndnoteReference"/>
        </w:rPr>
        <w:endnoteReference w:id="648"/>
      </w:r>
      <w:r>
        <w:t xml:space="preserve">  If an inmate requesting public records concerning a criminal prosecution does not follow these requirements, any suit to enforce his or her request will be dismissed.</w:t>
      </w:r>
      <w:r>
        <w:rPr>
          <w:rStyle w:val="EndnoteReference"/>
        </w:rPr>
        <w:endnoteReference w:id="649"/>
      </w:r>
      <w:r>
        <w:t xml:space="preserve">  The appropriate remedy for an inmate who is denied a 149.43(B)(8) order is an appeal of the sentencing judge’s findings, not a mandamus action.</w:t>
      </w:r>
      <w:r>
        <w:rPr>
          <w:rStyle w:val="EndnoteReference"/>
        </w:rPr>
        <w:endnoteReference w:id="650"/>
      </w:r>
      <w:r>
        <w:t xml:space="preserve">  One court has concluded that R.C. 2959.26(A)’s requirement that an inmate exhaust inmate grievance procedures before filing any civil action relating to an aspect of institutional life that directly and personally affects an inmate applies to mandamus actions brought to enforce public records requests when those requests concern aspects of institutional life that directly and personally affect the inmate.</w:t>
      </w:r>
      <w:r>
        <w:rPr>
          <w:rStyle w:val="EndnoteReference"/>
        </w:rPr>
        <w:endnoteReference w:id="651"/>
      </w:r>
    </w:p>
    <w:p w14:paraId="33429275" w14:textId="1E771323" w:rsidR="00E2327A" w:rsidRDefault="00E2327A" w:rsidP="00F769B7">
      <w:pPr>
        <w:spacing w:before="220" w:after="220" w:line="220" w:lineRule="exact"/>
        <w:ind w:left="360"/>
        <w:jc w:val="both"/>
      </w:pPr>
      <w:r>
        <w:t>The criminal investigation records subject to this process when requested by an inmate are broader than those defined under the CLEIRs exemption, and include offense and incident reports.</w:t>
      </w:r>
      <w:r>
        <w:rPr>
          <w:rStyle w:val="EndnoteReference"/>
        </w:rPr>
        <w:endnoteReference w:id="652"/>
      </w:r>
      <w:r>
        <w:t xml:space="preserve"> However, when an inmate seeks other types of records that do not relate to a criminal investigation or prosecution, public offices should treat inmates like any other type of requester.</w:t>
      </w:r>
      <w:r>
        <w:rPr>
          <w:rStyle w:val="EndnoteReference"/>
        </w:rPr>
        <w:endnoteReference w:id="653"/>
      </w:r>
      <w:r>
        <w:br w:type="page"/>
      </w:r>
    </w:p>
    <w:p w14:paraId="453EDB7F" w14:textId="77777777" w:rsidR="004B7E2A" w:rsidRDefault="00E2327A" w:rsidP="004B7E2A">
      <w:pPr>
        <w:spacing w:line="220" w:lineRule="exact"/>
        <w:jc w:val="both"/>
        <w:sectPr w:rsidR="004B7E2A" w:rsidSect="00AF6868">
          <w:headerReference w:type="default" r:id="rId48"/>
          <w:footerReference w:type="default" r:id="rId49"/>
          <w:endnotePr>
            <w:numFmt w:val="decimal"/>
          </w:endnotePr>
          <w:pgSz w:w="12240" w:h="15840"/>
          <w:pgMar w:top="1440" w:right="1440" w:bottom="1440" w:left="1440" w:header="720" w:footer="210" w:gutter="0"/>
          <w:cols w:space="720"/>
          <w:docGrid w:linePitch="360"/>
        </w:sectPr>
      </w:pPr>
      <w:r>
        <w:lastRenderedPageBreak/>
        <w:t>Notes:</w:t>
      </w:r>
      <w:bookmarkStart w:id="488" w:name="_Hlk90901737"/>
      <w:bookmarkStart w:id="489" w:name="_Hlk150426576"/>
    </w:p>
    <w:p w14:paraId="1B564FEA" w14:textId="5B90E39C" w:rsidR="00857518" w:rsidRPr="00524427" w:rsidRDefault="00857518" w:rsidP="004B7E2A">
      <w:pPr>
        <w:pStyle w:val="Heading1"/>
      </w:pPr>
      <w:bookmarkStart w:id="490" w:name="_Toc159851557"/>
      <w:r w:rsidRPr="00524427">
        <w:lastRenderedPageBreak/>
        <w:t>V.</w:t>
      </w:r>
      <w:r w:rsidRPr="00524427">
        <w:tab/>
        <w:t xml:space="preserve">Chapter </w:t>
      </w:r>
      <w:r>
        <w:t>Five</w:t>
      </w:r>
      <w:r w:rsidRPr="00524427">
        <w:t xml:space="preserve">:  </w:t>
      </w:r>
      <w:r>
        <w:t>Other Categories of Records</w:t>
      </w:r>
      <w:bookmarkEnd w:id="490"/>
    </w:p>
    <w:p w14:paraId="59449142" w14:textId="3827FF38" w:rsidR="00857518" w:rsidRPr="00D548D0" w:rsidRDefault="001A1782" w:rsidP="00322085">
      <w:pPr>
        <w:pStyle w:val="Heading2"/>
      </w:pPr>
      <w:bookmarkStart w:id="491" w:name="_Toc159851558"/>
      <w:bookmarkStart w:id="492" w:name="_Hlk150426637"/>
      <w:bookmarkStart w:id="493" w:name="_Hlk90901880"/>
      <w:bookmarkEnd w:id="488"/>
      <w:r>
        <w:t>A</w:t>
      </w:r>
      <w:r w:rsidR="00857518" w:rsidRPr="00D548D0">
        <w:t>.</w:t>
      </w:r>
      <w:r w:rsidR="00857518" w:rsidRPr="00D548D0">
        <w:tab/>
        <w:t>Employment Records</w:t>
      </w:r>
      <w:bookmarkEnd w:id="491"/>
    </w:p>
    <w:bookmarkEnd w:id="489"/>
    <w:p w14:paraId="3685753B" w14:textId="42C2339A" w:rsidR="00857518" w:rsidRDefault="00857518" w:rsidP="00857518">
      <w:pPr>
        <w:spacing w:line="220" w:lineRule="exact"/>
        <w:ind w:left="360"/>
        <w:jc w:val="both"/>
        <w:rPr>
          <w:szCs w:val="26"/>
        </w:rPr>
      </w:pPr>
      <w:r>
        <w:rPr>
          <w:szCs w:val="26"/>
        </w:rPr>
        <w:t>Public employee personnel records are generally considered public records.</w:t>
      </w:r>
      <w:r>
        <w:rPr>
          <w:rStyle w:val="EndnoteReference"/>
        </w:rPr>
        <w:endnoteReference w:id="654"/>
      </w:r>
      <w:r>
        <w:rPr>
          <w:szCs w:val="26"/>
        </w:rPr>
        <w:t xml:space="preserve">  However, if any item contained within a personnel file or other employment record</w:t>
      </w:r>
      <w:r>
        <w:rPr>
          <w:rStyle w:val="EndnoteReference"/>
        </w:rPr>
        <w:endnoteReference w:id="655"/>
      </w:r>
      <w:r>
        <w:rPr>
          <w:szCs w:val="26"/>
        </w:rPr>
        <w:t xml:space="preserve"> is not a “record” of the office, or is subject to an exemption, it may be withheld.  We recommend that Human Resource officers prepare a list of information and records in the office’s personnel files that are subject to withholding, including the explanation and legal authority for each item.  The office can use this list for prompt and consistent responses to public records requests.  A sample list </w:t>
      </w:r>
      <w:r w:rsidR="00012EA0">
        <w:rPr>
          <w:szCs w:val="26"/>
        </w:rPr>
        <w:t>is</w:t>
      </w:r>
      <w:r>
        <w:rPr>
          <w:szCs w:val="26"/>
        </w:rPr>
        <w:t xml:space="preserve"> on page</w:t>
      </w:r>
      <w:r w:rsidR="00012EA0">
        <w:rPr>
          <w:szCs w:val="26"/>
        </w:rPr>
        <w:t xml:space="preserve"> 7</w:t>
      </w:r>
      <w:r w:rsidR="00AD4A47">
        <w:rPr>
          <w:szCs w:val="26"/>
        </w:rPr>
        <w:t>4</w:t>
      </w:r>
      <w:r w:rsidR="00012EA0">
        <w:rPr>
          <w:szCs w:val="26"/>
        </w:rPr>
        <w:t xml:space="preserve"> below.</w:t>
      </w:r>
    </w:p>
    <w:p w14:paraId="38EF339F" w14:textId="77777777" w:rsidR="00857518" w:rsidRDefault="00857518" w:rsidP="00857518">
      <w:pPr>
        <w:spacing w:line="220" w:lineRule="exact"/>
        <w:ind w:left="360"/>
        <w:jc w:val="both"/>
        <w:rPr>
          <w:szCs w:val="26"/>
        </w:rPr>
      </w:pPr>
    </w:p>
    <w:p w14:paraId="4B9C36C6" w14:textId="77777777" w:rsidR="00857518" w:rsidRDefault="00857518" w:rsidP="00857518">
      <w:pPr>
        <w:spacing w:line="220" w:lineRule="exact"/>
        <w:ind w:left="360"/>
        <w:jc w:val="both"/>
        <w:rPr>
          <w:szCs w:val="26"/>
        </w:rPr>
      </w:pPr>
      <w:r>
        <w:rPr>
          <w:szCs w:val="26"/>
        </w:rPr>
        <w:t>Note:</w:t>
      </w:r>
      <w:r w:rsidRPr="00894858">
        <w:t xml:space="preserve"> </w:t>
      </w:r>
      <w:r>
        <w:rPr>
          <w:szCs w:val="26"/>
        </w:rPr>
        <w:t>t</w:t>
      </w:r>
      <w:r w:rsidRPr="00894858">
        <w:rPr>
          <w:szCs w:val="26"/>
        </w:rPr>
        <w:t>he categories addressed in this section may not include all exemptions (or types of employment records) that could apply to every public office’s personnel records.</w:t>
      </w:r>
    </w:p>
    <w:p w14:paraId="6E7B7480" w14:textId="77777777" w:rsidR="00056CCE" w:rsidRDefault="00056CCE" w:rsidP="00857518">
      <w:pPr>
        <w:spacing w:line="220" w:lineRule="exact"/>
        <w:ind w:left="360"/>
        <w:jc w:val="both"/>
        <w:rPr>
          <w:szCs w:val="26"/>
        </w:rPr>
      </w:pPr>
    </w:p>
    <w:p w14:paraId="42EE25DE" w14:textId="77777777" w:rsidR="00857518" w:rsidRDefault="00857518" w:rsidP="00322085">
      <w:pPr>
        <w:pStyle w:val="Heading3"/>
      </w:pPr>
      <w:bookmarkStart w:id="494" w:name="_Toc159851559"/>
      <w:r>
        <w:t>1.</w:t>
      </w:r>
      <w:r>
        <w:tab/>
        <w:t>Non-records</w:t>
      </w:r>
      <w:bookmarkEnd w:id="494"/>
    </w:p>
    <w:p w14:paraId="452F8A9E" w14:textId="28A6B520" w:rsidR="00857518" w:rsidRDefault="00857518" w:rsidP="00857518">
      <w:pPr>
        <w:spacing w:line="220" w:lineRule="exact"/>
        <w:ind w:left="360"/>
        <w:jc w:val="both"/>
        <w:rPr>
          <w:szCs w:val="26"/>
        </w:rPr>
      </w:pPr>
      <w:r>
        <w:rPr>
          <w:szCs w:val="26"/>
        </w:rPr>
        <w:t>To the extent that any item</w:t>
      </w:r>
      <w:r w:rsidR="001A1782">
        <w:rPr>
          <w:szCs w:val="26"/>
        </w:rPr>
        <w:t xml:space="preserve"> or information</w:t>
      </w:r>
      <w:r>
        <w:rPr>
          <w:szCs w:val="26"/>
        </w:rPr>
        <w:t xml:space="preserve"> contained in a personnel file is not a “record,” that is, when it does not document the organization, operations, etc., of the public office, it is not a public record and need not be disclosed.</w:t>
      </w:r>
      <w:r>
        <w:rPr>
          <w:rStyle w:val="EndnoteReference"/>
        </w:rPr>
        <w:endnoteReference w:id="656"/>
      </w:r>
      <w:r>
        <w:rPr>
          <w:szCs w:val="26"/>
        </w:rPr>
        <w:t xml:space="preserve">  Based on this reasoning, the Supreme Court of Ohio has held that in most instances the home addresses of public employees kept by their employers solely for administrative convenience are not “records” of the office.</w:t>
      </w:r>
      <w:r>
        <w:rPr>
          <w:rStyle w:val="EndnoteReference"/>
        </w:rPr>
        <w:endnoteReference w:id="657"/>
      </w:r>
      <w:r>
        <w:rPr>
          <w:szCs w:val="26"/>
        </w:rPr>
        <w:t xml:space="preserve">  Home and personal cell phone numbers, emergency contact information, employee banking information, insurance beneficiary designations, personal email addresses, and similar items may be maintained only for administrative convenience and</w:t>
      </w:r>
      <w:r w:rsidR="001A1782">
        <w:rPr>
          <w:szCs w:val="26"/>
        </w:rPr>
        <w:t xml:space="preserve"> do</w:t>
      </w:r>
      <w:r>
        <w:rPr>
          <w:szCs w:val="26"/>
        </w:rPr>
        <w:t xml:space="preserve"> not document the formal duties and activities of the office; a public office should evaluate these types of records carefully.  Non-record items </w:t>
      </w:r>
      <w:r w:rsidR="001A1782">
        <w:rPr>
          <w:szCs w:val="26"/>
        </w:rPr>
        <w:t xml:space="preserve">or information </w:t>
      </w:r>
      <w:r>
        <w:rPr>
          <w:szCs w:val="26"/>
        </w:rPr>
        <w:t>may be redacted from materials that are otherwise records, such as a civil service application form.</w:t>
      </w:r>
    </w:p>
    <w:p w14:paraId="2CDCAE1A" w14:textId="77777777" w:rsidR="00056CCE" w:rsidRDefault="00056CCE" w:rsidP="00857518">
      <w:pPr>
        <w:spacing w:line="220" w:lineRule="exact"/>
        <w:ind w:left="360"/>
        <w:jc w:val="both"/>
        <w:rPr>
          <w:szCs w:val="26"/>
        </w:rPr>
      </w:pPr>
    </w:p>
    <w:p w14:paraId="4BE5A87D" w14:textId="77777777" w:rsidR="00857518" w:rsidRDefault="00857518" w:rsidP="00322085">
      <w:pPr>
        <w:pStyle w:val="Heading3"/>
      </w:pPr>
      <w:bookmarkStart w:id="495" w:name="_Toc159851560"/>
      <w:r>
        <w:t>2.</w:t>
      </w:r>
      <w:r>
        <w:tab/>
        <w:t>Names of public officials and employees</w:t>
      </w:r>
      <w:bookmarkEnd w:id="495"/>
    </w:p>
    <w:p w14:paraId="447D9C20" w14:textId="77777777" w:rsidR="00857518" w:rsidRDefault="00857518" w:rsidP="00857518">
      <w:pPr>
        <w:spacing w:line="220" w:lineRule="exact"/>
        <w:ind w:left="360"/>
        <w:jc w:val="both"/>
        <w:rPr>
          <w:szCs w:val="26"/>
        </w:rPr>
      </w:pPr>
      <w:r>
        <w:rPr>
          <w:szCs w:val="26"/>
        </w:rPr>
        <w:t>Under R.C. 149.434(A), “[e]ach public office or person responsible for public records shall maintain a database or a list that includes the name of all public officials and employees elected to or employed by that public office.  The database or list is a public record and shall be made available upon a request made pursuant to section 149.43 of the Revised Code.”</w:t>
      </w:r>
      <w:r>
        <w:rPr>
          <w:rStyle w:val="EndnoteReference"/>
        </w:rPr>
        <w:endnoteReference w:id="658"/>
      </w:r>
      <w:r>
        <w:rPr>
          <w:szCs w:val="26"/>
        </w:rPr>
        <w:t xml:space="preserve">  Like other employee names, juvenile employee names are required to be disclosed under R.C. 149.434(A) and do not fall under any exemption.</w:t>
      </w:r>
      <w:r>
        <w:rPr>
          <w:rStyle w:val="EndnoteReference"/>
          <w:szCs w:val="26"/>
        </w:rPr>
        <w:endnoteReference w:id="659"/>
      </w:r>
    </w:p>
    <w:p w14:paraId="569C2A21" w14:textId="77777777" w:rsidR="00056CCE" w:rsidRDefault="00056CCE" w:rsidP="00857518">
      <w:pPr>
        <w:spacing w:line="220" w:lineRule="exact"/>
        <w:ind w:left="360"/>
        <w:jc w:val="both"/>
        <w:rPr>
          <w:szCs w:val="26"/>
        </w:rPr>
      </w:pPr>
    </w:p>
    <w:p w14:paraId="21DB53DD" w14:textId="77777777" w:rsidR="00857518" w:rsidRDefault="00857518" w:rsidP="00322085">
      <w:pPr>
        <w:pStyle w:val="Heading3"/>
      </w:pPr>
      <w:bookmarkStart w:id="496" w:name="_Toc159851561"/>
      <w:r>
        <w:t>3.</w:t>
      </w:r>
      <w:r>
        <w:tab/>
        <w:t>Resumes and application materials</w:t>
      </w:r>
      <w:bookmarkEnd w:id="496"/>
    </w:p>
    <w:p w14:paraId="762D0FC3" w14:textId="5FEE181C" w:rsidR="00857518" w:rsidRDefault="00857518" w:rsidP="00857518">
      <w:pPr>
        <w:spacing w:line="220" w:lineRule="exact"/>
        <w:ind w:left="360"/>
        <w:jc w:val="both"/>
        <w:rPr>
          <w:szCs w:val="26"/>
        </w:rPr>
      </w:pPr>
      <w:r>
        <w:rPr>
          <w:szCs w:val="26"/>
        </w:rPr>
        <w:t>There is no public records exemption that generally protects resumes and application materials obtained by public offices in the hiring process. The Supreme Court of Ohio has held that “[t]he public has an unquestioned public interest in the qualifications of potential applicants for positions of authority in public employment.”</w:t>
      </w:r>
      <w:r>
        <w:rPr>
          <w:rStyle w:val="EndnoteReference"/>
        </w:rPr>
        <w:endnoteReference w:id="660"/>
      </w:r>
      <w:r>
        <w:rPr>
          <w:szCs w:val="26"/>
        </w:rPr>
        <w:t xml:space="preserve">  For example, when a city board of education used a private search firm to help hire a new treasurer, it was required to disclose the names and resumes of the interviewees.</w:t>
      </w:r>
      <w:r>
        <w:rPr>
          <w:rStyle w:val="EndnoteReference"/>
        </w:rPr>
        <w:endnoteReference w:id="661"/>
      </w:r>
      <w:r>
        <w:rPr>
          <w:szCs w:val="26"/>
        </w:rPr>
        <w:t xml:space="preserve">  The fact that a public office has promised confidentiality to applicants is irrelevant.</w:t>
      </w:r>
      <w:r>
        <w:rPr>
          <w:rStyle w:val="EndnoteReference"/>
        </w:rPr>
        <w:endnoteReference w:id="662"/>
      </w:r>
      <w:r>
        <w:rPr>
          <w:szCs w:val="26"/>
        </w:rPr>
        <w:t xml:space="preserve">  </w:t>
      </w:r>
    </w:p>
    <w:p w14:paraId="39C29ACF" w14:textId="77777777" w:rsidR="00857518" w:rsidRDefault="00857518" w:rsidP="00857518">
      <w:pPr>
        <w:spacing w:line="220" w:lineRule="exact"/>
        <w:ind w:left="360"/>
        <w:jc w:val="both"/>
        <w:rPr>
          <w:szCs w:val="26"/>
        </w:rPr>
      </w:pPr>
    </w:p>
    <w:p w14:paraId="79B9D17C" w14:textId="4A03F62B" w:rsidR="00857518" w:rsidRDefault="00857518" w:rsidP="00857518">
      <w:pPr>
        <w:spacing w:line="220" w:lineRule="exact"/>
        <w:ind w:left="360"/>
        <w:jc w:val="both"/>
        <w:rPr>
          <w:szCs w:val="26"/>
        </w:rPr>
      </w:pPr>
      <w:r>
        <w:rPr>
          <w:szCs w:val="26"/>
        </w:rPr>
        <w:t xml:space="preserve">A public office’s obligation to </w:t>
      </w:r>
      <w:r w:rsidR="001A1782">
        <w:rPr>
          <w:szCs w:val="26"/>
        </w:rPr>
        <w:t xml:space="preserve">produce </w:t>
      </w:r>
      <w:r>
        <w:rPr>
          <w:szCs w:val="26"/>
        </w:rPr>
        <w:t>application materials and resumes extends to records in the sole possession of private search firms used in the hiring process.</w:t>
      </w:r>
      <w:r>
        <w:rPr>
          <w:rStyle w:val="EndnoteReference"/>
        </w:rPr>
        <w:endnoteReference w:id="663"/>
      </w:r>
      <w:r>
        <w:rPr>
          <w:szCs w:val="26"/>
        </w:rPr>
        <w:t xml:space="preserve">  However, application materials may not be public records if they are not “kept by”</w:t>
      </w:r>
      <w:r>
        <w:rPr>
          <w:rStyle w:val="EndnoteReference"/>
        </w:rPr>
        <w:endnoteReference w:id="664"/>
      </w:r>
      <w:r>
        <w:rPr>
          <w:szCs w:val="26"/>
        </w:rPr>
        <w:t xml:space="preserve"> the office at the time of the request. </w:t>
      </w:r>
      <w:r w:rsidR="001A1782">
        <w:rPr>
          <w:szCs w:val="26"/>
        </w:rPr>
        <w:t>For example, when a school board returned application materials to the candidates for a superintendent position, the court held that the materials had never been “kept” by the board.</w:t>
      </w:r>
      <w:r>
        <w:rPr>
          <w:rStyle w:val="EndnoteReference"/>
        </w:rPr>
        <w:endnoteReference w:id="665"/>
      </w:r>
      <w:r>
        <w:rPr>
          <w:szCs w:val="26"/>
        </w:rPr>
        <w:t xml:space="preserve">  </w:t>
      </w:r>
    </w:p>
    <w:p w14:paraId="68A67D87" w14:textId="77777777" w:rsidR="00857518" w:rsidRDefault="00857518" w:rsidP="00857518">
      <w:pPr>
        <w:spacing w:line="220" w:lineRule="exact"/>
        <w:ind w:left="360"/>
        <w:jc w:val="both"/>
        <w:rPr>
          <w:szCs w:val="26"/>
        </w:rPr>
      </w:pPr>
    </w:p>
    <w:p w14:paraId="562A8B11" w14:textId="77777777" w:rsidR="00857518" w:rsidRDefault="00857518" w:rsidP="00857518">
      <w:pPr>
        <w:spacing w:line="220" w:lineRule="exact"/>
        <w:ind w:left="360"/>
        <w:jc w:val="both"/>
        <w:rPr>
          <w:szCs w:val="26"/>
        </w:rPr>
      </w:pPr>
      <w:r>
        <w:rPr>
          <w:szCs w:val="26"/>
        </w:rPr>
        <w:t>As with any other category of records, if an exemption for home address, social security number, or other specific item applies, it may be used to redact only the protected information.</w:t>
      </w:r>
    </w:p>
    <w:p w14:paraId="39260203" w14:textId="77777777" w:rsidR="00857518" w:rsidRPr="00FD15C5" w:rsidRDefault="00857518" w:rsidP="00857518">
      <w:pPr>
        <w:spacing w:line="220" w:lineRule="exact"/>
        <w:ind w:left="360"/>
        <w:jc w:val="both"/>
        <w:rPr>
          <w:szCs w:val="26"/>
        </w:rPr>
      </w:pPr>
    </w:p>
    <w:p w14:paraId="02280A14" w14:textId="77777777" w:rsidR="00857518" w:rsidRDefault="00857518" w:rsidP="00322085">
      <w:pPr>
        <w:pStyle w:val="Heading3"/>
      </w:pPr>
      <w:bookmarkStart w:id="497" w:name="_Toc159851562"/>
      <w:r>
        <w:lastRenderedPageBreak/>
        <w:t>4.</w:t>
      </w:r>
      <w:r>
        <w:tab/>
        <w:t>Background investigations</w:t>
      </w:r>
      <w:bookmarkEnd w:id="497"/>
    </w:p>
    <w:p w14:paraId="551764B3" w14:textId="2BE0B7D9" w:rsidR="00857518" w:rsidRDefault="001A1782" w:rsidP="00857518">
      <w:pPr>
        <w:spacing w:line="220" w:lineRule="exact"/>
        <w:ind w:left="360"/>
        <w:jc w:val="both"/>
        <w:rPr>
          <w:szCs w:val="26"/>
        </w:rPr>
      </w:pPr>
      <w:r>
        <w:rPr>
          <w:szCs w:val="26"/>
        </w:rPr>
        <w:t>There is no public records exemption that applies to b</w:t>
      </w:r>
      <w:r w:rsidR="00857518">
        <w:rPr>
          <w:szCs w:val="26"/>
        </w:rPr>
        <w:t>ackground investigations,</w:t>
      </w:r>
      <w:r w:rsidR="00857518">
        <w:rPr>
          <w:rStyle w:val="EndnoteReference"/>
        </w:rPr>
        <w:endnoteReference w:id="666"/>
      </w:r>
      <w:r w:rsidR="00857518">
        <w:rPr>
          <w:szCs w:val="26"/>
        </w:rPr>
        <w:t xml:space="preserve"> although specific statutes may exempt defined background investigation materials kept by specific public offices.</w:t>
      </w:r>
      <w:r w:rsidR="00857518">
        <w:rPr>
          <w:rStyle w:val="EndnoteReference"/>
        </w:rPr>
        <w:endnoteReference w:id="667"/>
      </w:r>
      <w:r w:rsidR="00857518">
        <w:rPr>
          <w:szCs w:val="26"/>
        </w:rPr>
        <w:t xml:space="preserve">  </w:t>
      </w:r>
      <w:r w:rsidR="00F861AC">
        <w:rPr>
          <w:szCs w:val="26"/>
        </w:rPr>
        <w:t>C</w:t>
      </w:r>
      <w:r w:rsidR="00857518">
        <w:rPr>
          <w:szCs w:val="26"/>
        </w:rPr>
        <w:t xml:space="preserve">riminal history “rap sheets” obtained from the federal National Crime Information Center system (NCIC) or through the state Law Enforcement Automated Data System (LEADS) are subject to </w:t>
      </w:r>
      <w:r w:rsidR="00A03E56">
        <w:rPr>
          <w:szCs w:val="26"/>
        </w:rPr>
        <w:t>several</w:t>
      </w:r>
      <w:r w:rsidR="00857518">
        <w:rPr>
          <w:szCs w:val="26"/>
        </w:rPr>
        <w:t xml:space="preserve"> statutory exemptions.</w:t>
      </w:r>
      <w:r w:rsidR="00857518">
        <w:rPr>
          <w:rStyle w:val="EndnoteReference"/>
        </w:rPr>
        <w:endnoteReference w:id="668"/>
      </w:r>
    </w:p>
    <w:p w14:paraId="0ABCCDD5" w14:textId="77777777" w:rsidR="00056CCE" w:rsidRDefault="00056CCE" w:rsidP="00857518">
      <w:pPr>
        <w:spacing w:line="220" w:lineRule="exact"/>
        <w:ind w:left="360"/>
        <w:jc w:val="both"/>
        <w:rPr>
          <w:szCs w:val="26"/>
        </w:rPr>
      </w:pPr>
    </w:p>
    <w:p w14:paraId="7D7F1326" w14:textId="77777777" w:rsidR="00857518" w:rsidRDefault="00857518" w:rsidP="00322085">
      <w:pPr>
        <w:pStyle w:val="Heading3"/>
      </w:pPr>
      <w:bookmarkStart w:id="498" w:name="_Toc159851563"/>
      <w:r>
        <w:t>5.</w:t>
      </w:r>
      <w:r>
        <w:tab/>
        <w:t>Evaluations and disciplinary records</w:t>
      </w:r>
      <w:bookmarkEnd w:id="498"/>
    </w:p>
    <w:p w14:paraId="0F0E8DC5" w14:textId="6C6608BE" w:rsidR="00857518" w:rsidRDefault="00F861AC" w:rsidP="00857518">
      <w:pPr>
        <w:spacing w:line="220" w:lineRule="exact"/>
        <w:ind w:left="360"/>
        <w:jc w:val="both"/>
        <w:rPr>
          <w:szCs w:val="26"/>
        </w:rPr>
      </w:pPr>
      <w:r>
        <w:rPr>
          <w:szCs w:val="26"/>
        </w:rPr>
        <w:t>There is no public records exemption that applies to e</w:t>
      </w:r>
      <w:r w:rsidR="00857518">
        <w:rPr>
          <w:szCs w:val="26"/>
        </w:rPr>
        <w:t>mployee evaluations</w:t>
      </w:r>
      <w:r>
        <w:rPr>
          <w:szCs w:val="26"/>
        </w:rPr>
        <w:t xml:space="preserve"> or </w:t>
      </w:r>
      <w:r w:rsidR="00857518">
        <w:rPr>
          <w:szCs w:val="26"/>
        </w:rPr>
        <w:t>records of disciplinary actions</w:t>
      </w:r>
      <w:r>
        <w:t>.</w:t>
      </w:r>
      <w:r w:rsidR="00857518">
        <w:rPr>
          <w:szCs w:val="26"/>
        </w:rPr>
        <w:t xml:space="preserve"> The CLEIRs exemption does not apply to routine </w:t>
      </w:r>
      <w:r>
        <w:rPr>
          <w:szCs w:val="26"/>
        </w:rPr>
        <w:t>law enforcement</w:t>
      </w:r>
      <w:r w:rsidR="00857518">
        <w:rPr>
          <w:szCs w:val="26"/>
        </w:rPr>
        <w:t xml:space="preserve"> discipline or personnel matters,</w:t>
      </w:r>
      <w:r w:rsidR="00857518">
        <w:rPr>
          <w:rStyle w:val="EndnoteReference"/>
        </w:rPr>
        <w:endnoteReference w:id="669"/>
      </w:r>
      <w:r w:rsidR="00857518">
        <w:rPr>
          <w:szCs w:val="26"/>
        </w:rPr>
        <w:t xml:space="preserve"> even when such matters are the subject of an internal investigation within a law enforcement agency.</w:t>
      </w:r>
      <w:r w:rsidR="00857518">
        <w:rPr>
          <w:rStyle w:val="EndnoteReference"/>
        </w:rPr>
        <w:endnoteReference w:id="670"/>
      </w:r>
    </w:p>
    <w:p w14:paraId="5EC05A7A" w14:textId="77777777" w:rsidR="00056CCE" w:rsidRDefault="00056CCE" w:rsidP="00857518">
      <w:pPr>
        <w:spacing w:line="220" w:lineRule="exact"/>
        <w:ind w:left="360"/>
        <w:jc w:val="both"/>
        <w:rPr>
          <w:szCs w:val="26"/>
        </w:rPr>
      </w:pPr>
    </w:p>
    <w:p w14:paraId="3C6186DF" w14:textId="77777777" w:rsidR="00857518" w:rsidRDefault="00857518" w:rsidP="00322085">
      <w:pPr>
        <w:pStyle w:val="Heading3"/>
      </w:pPr>
      <w:bookmarkStart w:id="499" w:name="_Toc159851564"/>
      <w:r>
        <w:t>6.</w:t>
      </w:r>
      <w:r>
        <w:tab/>
        <w:t>Employee assistance program (EAP) records</w:t>
      </w:r>
      <w:bookmarkEnd w:id="499"/>
    </w:p>
    <w:p w14:paraId="047FFDB8" w14:textId="03009333" w:rsidR="00857518" w:rsidRDefault="00857518" w:rsidP="00857518">
      <w:pPr>
        <w:spacing w:line="220" w:lineRule="exact"/>
        <w:ind w:left="360"/>
        <w:jc w:val="both"/>
        <w:rPr>
          <w:szCs w:val="26"/>
        </w:rPr>
      </w:pPr>
      <w:r>
        <w:rPr>
          <w:szCs w:val="26"/>
        </w:rPr>
        <w:t>Records of the identity, diagnosis, prognosis, or treatment of any person that are maintained in connection with an EAP are not public records.</w:t>
      </w:r>
      <w:r>
        <w:rPr>
          <w:rStyle w:val="EndnoteReference"/>
        </w:rPr>
        <w:endnoteReference w:id="671"/>
      </w:r>
      <w:r>
        <w:rPr>
          <w:szCs w:val="26"/>
        </w:rPr>
        <w:t xml:space="preserve">  </w:t>
      </w:r>
      <w:r w:rsidR="00F861AC">
        <w:rPr>
          <w:szCs w:val="26"/>
        </w:rPr>
        <w:t>U</w:t>
      </w:r>
      <w:r>
        <w:rPr>
          <w:szCs w:val="26"/>
        </w:rPr>
        <w:t>se and release</w:t>
      </w:r>
      <w:r w:rsidR="00F861AC">
        <w:rPr>
          <w:szCs w:val="26"/>
        </w:rPr>
        <w:t xml:space="preserve"> of these records</w:t>
      </w:r>
      <w:r>
        <w:rPr>
          <w:szCs w:val="26"/>
        </w:rPr>
        <w:t xml:space="preserve"> is strictly limited.</w:t>
      </w:r>
    </w:p>
    <w:p w14:paraId="3621111D" w14:textId="77777777" w:rsidR="00056CCE" w:rsidRDefault="00056CCE" w:rsidP="00857518">
      <w:pPr>
        <w:spacing w:line="220" w:lineRule="exact"/>
        <w:ind w:left="360"/>
        <w:jc w:val="both"/>
        <w:rPr>
          <w:szCs w:val="26"/>
        </w:rPr>
      </w:pPr>
    </w:p>
    <w:p w14:paraId="3D35341E" w14:textId="77777777" w:rsidR="00857518" w:rsidRDefault="00857518" w:rsidP="00322085">
      <w:pPr>
        <w:pStyle w:val="Heading3"/>
      </w:pPr>
      <w:bookmarkStart w:id="500" w:name="_Toc159851565"/>
      <w:r>
        <w:t>7.</w:t>
      </w:r>
      <w:r>
        <w:tab/>
        <w:t>Physical fitness, psychiatric, and polygraph examinations</w:t>
      </w:r>
      <w:bookmarkEnd w:id="500"/>
    </w:p>
    <w:p w14:paraId="40D9452E" w14:textId="11554781" w:rsidR="00857518" w:rsidRDefault="00F861AC" w:rsidP="00F861AC">
      <w:pPr>
        <w:spacing w:line="220" w:lineRule="exact"/>
        <w:ind w:left="360"/>
        <w:jc w:val="both"/>
        <w:rPr>
          <w:szCs w:val="26"/>
        </w:rPr>
      </w:pPr>
      <w:r>
        <w:rPr>
          <w:szCs w:val="26"/>
        </w:rPr>
        <w:t xml:space="preserve">The exemption in the Public Records Act for “medical records” is limited to records generated and maintained in the process of medical </w:t>
      </w:r>
      <w:r>
        <w:rPr>
          <w:i/>
          <w:iCs/>
          <w:szCs w:val="26"/>
        </w:rPr>
        <w:t>treatment,</w:t>
      </w:r>
      <w:r>
        <w:rPr>
          <w:szCs w:val="26"/>
        </w:rPr>
        <w:t xml:space="preserve"> these types of records generally are not covered by this exemption. Accordingly, records of examinations performed for the purpose of determining fitness for hiring or for continued employment, including psychiatric</w:t>
      </w:r>
      <w:r>
        <w:rPr>
          <w:rStyle w:val="EndnoteReference"/>
          <w:szCs w:val="26"/>
        </w:rPr>
        <w:endnoteReference w:id="672"/>
      </w:r>
      <w:r>
        <w:rPr>
          <w:szCs w:val="26"/>
        </w:rPr>
        <w:t xml:space="preserve"> and psychological</w:t>
      </w:r>
      <w:r>
        <w:rPr>
          <w:rStyle w:val="EndnoteReference"/>
          <w:szCs w:val="26"/>
        </w:rPr>
        <w:endnoteReference w:id="673"/>
      </w:r>
      <w:r>
        <w:rPr>
          <w:szCs w:val="26"/>
        </w:rPr>
        <w:t xml:space="preserve"> examinations, are not exempted from disclosure as “medical records.” Similarly, polygraph or “lie detector” examinations are not “medical records,” and do not fall under the CLEIRs exemption when performed in connected with hiring.</w:t>
      </w:r>
      <w:r>
        <w:rPr>
          <w:rStyle w:val="EndnoteReference"/>
          <w:szCs w:val="26"/>
        </w:rPr>
        <w:endnoteReference w:id="674"/>
      </w:r>
    </w:p>
    <w:p w14:paraId="19F0BC1D" w14:textId="77777777" w:rsidR="00F861AC" w:rsidRDefault="00F861AC" w:rsidP="00F861AC">
      <w:pPr>
        <w:spacing w:line="220" w:lineRule="exact"/>
        <w:ind w:left="360"/>
        <w:jc w:val="both"/>
        <w:rPr>
          <w:szCs w:val="26"/>
        </w:rPr>
      </w:pPr>
    </w:p>
    <w:p w14:paraId="54469A3B" w14:textId="02103384" w:rsidR="00F861AC" w:rsidRDefault="00F861AC" w:rsidP="00F861AC">
      <w:pPr>
        <w:spacing w:line="220" w:lineRule="exact"/>
        <w:ind w:left="360"/>
        <w:jc w:val="both"/>
        <w:rPr>
          <w:szCs w:val="26"/>
        </w:rPr>
      </w:pPr>
      <w:r>
        <w:rPr>
          <w:szCs w:val="26"/>
        </w:rPr>
        <w:t>However, federal law may exempt some examinations from disclosure. The federal Americans With Disabilities Act (ADA) and its implementing regulations</w:t>
      </w:r>
      <w:r>
        <w:rPr>
          <w:rStyle w:val="EndnoteReference"/>
          <w:szCs w:val="26"/>
        </w:rPr>
        <w:endnoteReference w:id="675"/>
      </w:r>
      <w:r>
        <w:rPr>
          <w:szCs w:val="26"/>
        </w:rPr>
        <w:t xml:space="preserve"> permit employers to require employees and applicants to whom they have offered employment to undergo medical examination and/or inquiry into their ability to perform job-related functions.</w:t>
      </w:r>
      <w:r>
        <w:rPr>
          <w:rStyle w:val="EndnoteReference"/>
          <w:szCs w:val="26"/>
        </w:rPr>
        <w:endnoteReference w:id="676"/>
      </w:r>
      <w:r>
        <w:rPr>
          <w:szCs w:val="26"/>
        </w:rPr>
        <w:t xml:space="preserve"> Information regarding medical condition or history must be collected and kept on separate forms and in separate medical files and must be treated as confidential, except as otherwise provided by the ADA.</w:t>
      </w:r>
      <w:r>
        <w:rPr>
          <w:rStyle w:val="EndnoteReference"/>
          <w:szCs w:val="26"/>
        </w:rPr>
        <w:endnoteReference w:id="677"/>
      </w:r>
      <w:r>
        <w:rPr>
          <w:szCs w:val="26"/>
        </w:rPr>
        <w:t xml:space="preserve"> These records may be exempted from disclosure under the so-called “catch-all” provision of the Public Records Act as “records the release of which is prohibited by state or federal law.”</w:t>
      </w:r>
      <w:r>
        <w:rPr>
          <w:rStyle w:val="EndnoteReference"/>
          <w:szCs w:val="26"/>
        </w:rPr>
        <w:endnoteReference w:id="678"/>
      </w:r>
      <w:r>
        <w:rPr>
          <w:szCs w:val="26"/>
        </w:rPr>
        <w:t xml:space="preserve"> As non-public records, the examinations may constitute “confidential personal information” under Ohio’s Personal Information Systems Act.</w:t>
      </w:r>
      <w:r>
        <w:rPr>
          <w:rStyle w:val="EndnoteReference"/>
          <w:szCs w:val="26"/>
        </w:rPr>
        <w:endnoteReference w:id="679"/>
      </w:r>
    </w:p>
    <w:p w14:paraId="1F3A4D35" w14:textId="77777777" w:rsidR="00056CCE" w:rsidRPr="00F861AC" w:rsidRDefault="00056CCE" w:rsidP="00F861AC">
      <w:pPr>
        <w:spacing w:line="220" w:lineRule="exact"/>
        <w:ind w:left="360"/>
        <w:jc w:val="both"/>
        <w:rPr>
          <w:szCs w:val="26"/>
        </w:rPr>
      </w:pPr>
    </w:p>
    <w:p w14:paraId="6A3FC642" w14:textId="77777777" w:rsidR="00857518" w:rsidRDefault="00857518" w:rsidP="00322085">
      <w:pPr>
        <w:pStyle w:val="Heading3"/>
      </w:pPr>
      <w:bookmarkStart w:id="501" w:name="_Toc159851566"/>
      <w:r>
        <w:t>8.</w:t>
      </w:r>
      <w:r>
        <w:tab/>
        <w:t>Medical records</w:t>
      </w:r>
      <w:bookmarkEnd w:id="501"/>
    </w:p>
    <w:p w14:paraId="2BA5B5EF" w14:textId="43F003E3" w:rsidR="00857518" w:rsidRDefault="00857518" w:rsidP="00857518">
      <w:pPr>
        <w:spacing w:line="220" w:lineRule="exact"/>
        <w:ind w:left="360"/>
        <w:jc w:val="both"/>
        <w:rPr>
          <w:szCs w:val="26"/>
        </w:rPr>
      </w:pPr>
      <w:r>
        <w:rPr>
          <w:szCs w:val="26"/>
        </w:rPr>
        <w:t>“Medical records” are not public records,</w:t>
      </w:r>
      <w:r>
        <w:rPr>
          <w:rStyle w:val="EndnoteReference"/>
        </w:rPr>
        <w:endnoteReference w:id="680"/>
      </w:r>
      <w:r>
        <w:rPr>
          <w:szCs w:val="26"/>
        </w:rPr>
        <w:t xml:space="preserve"> and a public office may withhold any medical records in a personnel file.  “Medical records” are those generated and maintained in the process of medical treatment.</w:t>
      </w:r>
      <w:r>
        <w:rPr>
          <w:rStyle w:val="EndnoteReference"/>
        </w:rPr>
        <w:endnoteReference w:id="681"/>
      </w:r>
      <w:r>
        <w:rPr>
          <w:szCs w:val="26"/>
        </w:rPr>
        <w:t xml:space="preserve">  Note that the federal Health Insurance Portability and Accountability Act (HIPAA),</w:t>
      </w:r>
      <w:r>
        <w:rPr>
          <w:rStyle w:val="EndnoteReference"/>
        </w:rPr>
        <w:endnoteReference w:id="682"/>
      </w:r>
      <w:r>
        <w:rPr>
          <w:szCs w:val="26"/>
        </w:rPr>
        <w:t xml:space="preserve"> does not apply to records in employer personnel files, but that the federal Family and Medical Leave Act (FMLA)</w:t>
      </w:r>
      <w:r>
        <w:rPr>
          <w:rStyle w:val="EndnoteReference"/>
        </w:rPr>
        <w:endnoteReference w:id="683"/>
      </w:r>
      <w:r>
        <w:rPr>
          <w:szCs w:val="26"/>
        </w:rPr>
        <w:t xml:space="preserve"> or the Americans </w:t>
      </w:r>
      <w:r w:rsidR="00611596">
        <w:rPr>
          <w:szCs w:val="26"/>
        </w:rPr>
        <w:t>with</w:t>
      </w:r>
      <w:r>
        <w:rPr>
          <w:szCs w:val="26"/>
        </w:rPr>
        <w:t xml:space="preserve"> Disabilities Act (ADA)</w:t>
      </w:r>
      <w:r>
        <w:rPr>
          <w:rStyle w:val="EndnoteReference"/>
        </w:rPr>
        <w:endnoteReference w:id="684"/>
      </w:r>
      <w:r>
        <w:rPr>
          <w:szCs w:val="26"/>
        </w:rPr>
        <w:t xml:space="preserve"> may apply to medical-related information in personnel files.</w:t>
      </w:r>
    </w:p>
    <w:p w14:paraId="6B670893" w14:textId="77777777" w:rsidR="00056CCE" w:rsidRDefault="00056CCE" w:rsidP="00857518">
      <w:pPr>
        <w:spacing w:line="220" w:lineRule="exact"/>
        <w:ind w:left="360"/>
        <w:jc w:val="both"/>
        <w:rPr>
          <w:szCs w:val="26"/>
        </w:rPr>
      </w:pPr>
    </w:p>
    <w:p w14:paraId="0F415124" w14:textId="77777777" w:rsidR="00857518" w:rsidRDefault="00857518" w:rsidP="00322085">
      <w:pPr>
        <w:pStyle w:val="Heading3"/>
      </w:pPr>
      <w:bookmarkStart w:id="502" w:name="_Toc159851567"/>
      <w:r>
        <w:t>9.</w:t>
      </w:r>
      <w:r>
        <w:tab/>
        <w:t>School records</w:t>
      </w:r>
      <w:bookmarkEnd w:id="502"/>
    </w:p>
    <w:p w14:paraId="57D29836" w14:textId="294FE284" w:rsidR="00857518" w:rsidRDefault="00F861AC" w:rsidP="00857518">
      <w:pPr>
        <w:spacing w:line="220" w:lineRule="exact"/>
        <w:ind w:left="360"/>
        <w:jc w:val="both"/>
        <w:rPr>
          <w:szCs w:val="26"/>
        </w:rPr>
      </w:pPr>
      <w:r>
        <w:rPr>
          <w:szCs w:val="26"/>
        </w:rPr>
        <w:t>Ohio law and the federal Family Educational Rights and Privacy Act (FERPA) generally prohibits schools from releasing education records that are maintained by the school and that are directly related to a student.</w:t>
      </w:r>
      <w:r>
        <w:rPr>
          <w:rStyle w:val="EndnoteReference"/>
          <w:szCs w:val="26"/>
        </w:rPr>
        <w:endnoteReference w:id="685"/>
      </w:r>
      <w:r w:rsidR="00857518">
        <w:rPr>
          <w:szCs w:val="26"/>
        </w:rPr>
        <w:t xml:space="preserve"> </w:t>
      </w:r>
      <w:r>
        <w:rPr>
          <w:szCs w:val="26"/>
        </w:rPr>
        <w:t xml:space="preserve">Examples of such records </w:t>
      </w:r>
      <w:r w:rsidR="00857518">
        <w:rPr>
          <w:szCs w:val="26"/>
        </w:rPr>
        <w:t>include transcripts, attendance records, and discipline records</w:t>
      </w:r>
      <w:r w:rsidR="00B37B31">
        <w:rPr>
          <w:szCs w:val="26"/>
        </w:rPr>
        <w:t xml:space="preserve"> </w:t>
      </w:r>
      <w:r w:rsidR="00857518">
        <w:rPr>
          <w:szCs w:val="26"/>
        </w:rPr>
        <w:t>as well as personally identifiable information from education records</w:t>
      </w:r>
      <w:r w:rsidR="00B37B31">
        <w:rPr>
          <w:szCs w:val="26"/>
        </w:rPr>
        <w:t xml:space="preserve">. </w:t>
      </w:r>
      <w:r w:rsidR="00857518">
        <w:rPr>
          <w:szCs w:val="26"/>
        </w:rPr>
        <w:t xml:space="preserve">However, when a student or </w:t>
      </w:r>
      <w:r w:rsidR="00857518">
        <w:rPr>
          <w:szCs w:val="26"/>
        </w:rPr>
        <w:lastRenderedPageBreak/>
        <w:t>former student provides such records directly to a public office, those records are not protected by FERPA and are considered public records.</w:t>
      </w:r>
    </w:p>
    <w:p w14:paraId="65915AC6" w14:textId="77777777" w:rsidR="00056CCE" w:rsidRDefault="00056CCE" w:rsidP="00857518">
      <w:pPr>
        <w:spacing w:line="220" w:lineRule="exact"/>
        <w:ind w:left="360"/>
        <w:jc w:val="both"/>
        <w:rPr>
          <w:szCs w:val="26"/>
        </w:rPr>
      </w:pPr>
    </w:p>
    <w:p w14:paraId="45262A0E" w14:textId="77777777" w:rsidR="00857518" w:rsidRDefault="00857518" w:rsidP="00322085">
      <w:pPr>
        <w:pStyle w:val="Heading3"/>
      </w:pPr>
      <w:bookmarkStart w:id="503" w:name="_Toc159851568"/>
      <w:r>
        <w:t>10.</w:t>
      </w:r>
      <w:r>
        <w:tab/>
        <w:t>Social security numbers and taxpayer records</w:t>
      </w:r>
      <w:bookmarkEnd w:id="503"/>
    </w:p>
    <w:p w14:paraId="64283E24" w14:textId="18BCD750" w:rsidR="00857518" w:rsidRDefault="00857518" w:rsidP="00857518">
      <w:pPr>
        <w:spacing w:line="220" w:lineRule="exact"/>
        <w:ind w:left="360"/>
        <w:jc w:val="both"/>
        <w:rPr>
          <w:szCs w:val="26"/>
        </w:rPr>
      </w:pPr>
      <w:r>
        <w:rPr>
          <w:szCs w:val="26"/>
        </w:rPr>
        <w:t xml:space="preserve">Social security numbers should be redacted </w:t>
      </w:r>
      <w:r w:rsidR="00B37B31">
        <w:rPr>
          <w:szCs w:val="26"/>
        </w:rPr>
        <w:t>from</w:t>
      </w:r>
      <w:r>
        <w:rPr>
          <w:szCs w:val="26"/>
        </w:rPr>
        <w:t xml:space="preserve"> public records</w:t>
      </w:r>
      <w:r w:rsidR="00B37B31">
        <w:rPr>
          <w:szCs w:val="26"/>
        </w:rPr>
        <w:t xml:space="preserve"> before disclosure</w:t>
      </w:r>
      <w:r>
        <w:rPr>
          <w:szCs w:val="26"/>
        </w:rPr>
        <w:t>.</w:t>
      </w:r>
      <w:r>
        <w:rPr>
          <w:rStyle w:val="EndnoteReference"/>
        </w:rPr>
        <w:endnoteReference w:id="686"/>
      </w:r>
      <w:r>
        <w:rPr>
          <w:szCs w:val="26"/>
        </w:rPr>
        <w:t xml:space="preserve">  Ohio statutes or administrative codes may provide other exemptions for social security numbers and other information for specific employees,</w:t>
      </w:r>
      <w:r>
        <w:rPr>
          <w:rStyle w:val="EndnoteReference"/>
        </w:rPr>
        <w:endnoteReference w:id="687"/>
      </w:r>
      <w:r>
        <w:rPr>
          <w:szCs w:val="26"/>
        </w:rPr>
        <w:t xml:space="preserve"> when posted in </w:t>
      </w:r>
      <w:r w:rsidR="00334396">
        <w:rPr>
          <w:szCs w:val="26"/>
        </w:rPr>
        <w:t>specific</w:t>
      </w:r>
      <w:r>
        <w:rPr>
          <w:szCs w:val="26"/>
        </w:rPr>
        <w:t xml:space="preserve"> locations,</w:t>
      </w:r>
      <w:r>
        <w:rPr>
          <w:rStyle w:val="EndnoteReference"/>
        </w:rPr>
        <w:endnoteReference w:id="688"/>
      </w:r>
      <w:r>
        <w:rPr>
          <w:szCs w:val="26"/>
        </w:rPr>
        <w:t xml:space="preserve"> and/or upon request.</w:t>
      </w:r>
      <w:r>
        <w:rPr>
          <w:rStyle w:val="EndnoteReference"/>
        </w:rPr>
        <w:endnoteReference w:id="689"/>
      </w:r>
    </w:p>
    <w:p w14:paraId="76E4C9DC" w14:textId="77777777" w:rsidR="00857518" w:rsidRDefault="00857518" w:rsidP="00857518">
      <w:pPr>
        <w:spacing w:line="220" w:lineRule="exact"/>
        <w:ind w:left="360"/>
        <w:jc w:val="both"/>
        <w:rPr>
          <w:szCs w:val="26"/>
        </w:rPr>
      </w:pPr>
    </w:p>
    <w:p w14:paraId="4220F482" w14:textId="77777777" w:rsidR="00857518" w:rsidRDefault="00857518" w:rsidP="00857518">
      <w:pPr>
        <w:spacing w:line="220" w:lineRule="exact"/>
        <w:ind w:left="360"/>
        <w:jc w:val="both"/>
        <w:rPr>
          <w:szCs w:val="26"/>
        </w:rPr>
      </w:pPr>
      <w:r>
        <w:rPr>
          <w:szCs w:val="26"/>
        </w:rPr>
        <w:t>Information obtained from municipal tax returns is confidential.</w:t>
      </w:r>
      <w:r>
        <w:rPr>
          <w:rStyle w:val="EndnoteReference"/>
        </w:rPr>
        <w:endnoteReference w:id="690"/>
      </w:r>
      <w:r>
        <w:rPr>
          <w:szCs w:val="26"/>
        </w:rPr>
        <w:t xml:space="preserve">  One Attorney General Opinion concluded that copies of W-2 federal tax forms prepared and maintained by a township as an employer are public records.</w:t>
      </w:r>
      <w:r>
        <w:rPr>
          <w:rStyle w:val="EndnoteReference"/>
          <w:szCs w:val="26"/>
        </w:rPr>
        <w:endnoteReference w:id="691"/>
      </w:r>
      <w:r>
        <w:rPr>
          <w:szCs w:val="26"/>
        </w:rPr>
        <w:t xml:space="preserve">  However, W-2 forms filed as part of a municipal income tax return are confidential.</w:t>
      </w:r>
      <w:r>
        <w:rPr>
          <w:rStyle w:val="EndnoteReference"/>
        </w:rPr>
        <w:endnoteReference w:id="692"/>
      </w:r>
      <w:r>
        <w:rPr>
          <w:szCs w:val="26"/>
        </w:rPr>
        <w:t xml:space="preserve">  Federal law makes “returns” and “return information” confidential.</w:t>
      </w:r>
      <w:r>
        <w:rPr>
          <w:rStyle w:val="EndnoteReference"/>
          <w:szCs w:val="26"/>
        </w:rPr>
        <w:endnoteReference w:id="693"/>
      </w:r>
      <w:r>
        <w:rPr>
          <w:szCs w:val="26"/>
        </w:rPr>
        <w:t xml:space="preserve">  The term “return information” is interpreted broadly to include any information gathered by the IRS with respect to a taxpayer’s liability under the Internal Revenue Code.</w:t>
      </w:r>
      <w:r>
        <w:rPr>
          <w:rStyle w:val="EndnoteReference"/>
        </w:rPr>
        <w:endnoteReference w:id="694"/>
      </w:r>
    </w:p>
    <w:p w14:paraId="0550F52C" w14:textId="77777777" w:rsidR="00857518" w:rsidRDefault="00857518" w:rsidP="00857518">
      <w:pPr>
        <w:spacing w:line="220" w:lineRule="exact"/>
        <w:ind w:left="360"/>
        <w:jc w:val="both"/>
        <w:rPr>
          <w:szCs w:val="26"/>
        </w:rPr>
      </w:pPr>
    </w:p>
    <w:p w14:paraId="0DDA5993" w14:textId="77777777" w:rsidR="00857518" w:rsidRDefault="00857518" w:rsidP="00857518">
      <w:pPr>
        <w:spacing w:line="220" w:lineRule="exact"/>
        <w:ind w:left="360"/>
        <w:jc w:val="both"/>
        <w:rPr>
          <w:szCs w:val="26"/>
        </w:rPr>
      </w:pPr>
      <w:r>
        <w:rPr>
          <w:szCs w:val="26"/>
        </w:rPr>
        <w:t>With respect to Ohio income tax records, any information gained as the result of returns, investigations, hearings, or verifications required or authorized by R.C. Chapter 5747 is confidential.</w:t>
      </w:r>
      <w:r>
        <w:rPr>
          <w:rStyle w:val="EndnoteReference"/>
        </w:rPr>
        <w:endnoteReference w:id="695"/>
      </w:r>
    </w:p>
    <w:p w14:paraId="68E6D909" w14:textId="77777777" w:rsidR="00056CCE" w:rsidRDefault="00056CCE" w:rsidP="00857518">
      <w:pPr>
        <w:spacing w:line="220" w:lineRule="exact"/>
        <w:ind w:left="360"/>
        <w:jc w:val="both"/>
        <w:rPr>
          <w:szCs w:val="26"/>
        </w:rPr>
      </w:pPr>
    </w:p>
    <w:p w14:paraId="0CAB25E9" w14:textId="77777777" w:rsidR="00857518" w:rsidRDefault="00857518" w:rsidP="009F14D6">
      <w:pPr>
        <w:pStyle w:val="Heading3"/>
        <w:ind w:left="2160" w:hanging="720"/>
      </w:pPr>
      <w:bookmarkStart w:id="504" w:name="_Toc159851569"/>
      <w:r>
        <w:t>11.</w:t>
      </w:r>
      <w:r>
        <w:tab/>
        <w:t>Residential and familial information of designated public service workers</w:t>
      </w:r>
      <w:bookmarkEnd w:id="504"/>
    </w:p>
    <w:p w14:paraId="1CDA1664" w14:textId="7316EA2E" w:rsidR="00857518" w:rsidRDefault="00B37B31" w:rsidP="00857518">
      <w:pPr>
        <w:spacing w:line="220" w:lineRule="exact"/>
        <w:ind w:left="360"/>
        <w:jc w:val="both"/>
        <w:rPr>
          <w:szCs w:val="26"/>
        </w:rPr>
      </w:pPr>
      <w:r>
        <w:rPr>
          <w:szCs w:val="26"/>
        </w:rPr>
        <w:t>T</w:t>
      </w:r>
      <w:r w:rsidR="00857518">
        <w:rPr>
          <w:szCs w:val="26"/>
        </w:rPr>
        <w:t>he residential and familial information</w:t>
      </w:r>
      <w:r w:rsidR="00857518">
        <w:rPr>
          <w:rStyle w:val="EndnoteReference"/>
        </w:rPr>
        <w:endnoteReference w:id="696"/>
      </w:r>
      <w:r w:rsidR="00857518">
        <w:rPr>
          <w:szCs w:val="26"/>
        </w:rPr>
        <w:t xml:space="preserve"> of certain designated public service workers may be withheld from disclosure.</w:t>
      </w:r>
      <w:r w:rsidR="00857518">
        <w:rPr>
          <w:rStyle w:val="EndnoteReference"/>
        </w:rPr>
        <w:endnoteReference w:id="697"/>
      </w:r>
      <w:r>
        <w:rPr>
          <w:szCs w:val="26"/>
        </w:rPr>
        <w:t xml:space="preserve"> </w:t>
      </w:r>
      <w:r w:rsidRPr="00180E03">
        <w:rPr>
          <w:szCs w:val="26"/>
        </w:rPr>
        <w:t xml:space="preserve">Refer to Chapter </w:t>
      </w:r>
      <w:r w:rsidR="009E2A61" w:rsidRPr="00180E03">
        <w:rPr>
          <w:szCs w:val="26"/>
        </w:rPr>
        <w:t>Four: D.5</w:t>
      </w:r>
      <w:r w:rsidR="00F178B5">
        <w:rPr>
          <w:szCs w:val="26"/>
        </w:rPr>
        <w:t xml:space="preserve"> “Residential and familial information of covered professions</w:t>
      </w:r>
      <w:r w:rsidRPr="00180E03">
        <w:rPr>
          <w:szCs w:val="26"/>
        </w:rPr>
        <w:t>,</w:t>
      </w:r>
      <w:r w:rsidR="00F178B5">
        <w:rPr>
          <w:szCs w:val="26"/>
        </w:rPr>
        <w:t>”</w:t>
      </w:r>
      <w:r w:rsidRPr="00180E03">
        <w:rPr>
          <w:szCs w:val="26"/>
        </w:rPr>
        <w:t xml:space="preserve"> for a</w:t>
      </w:r>
      <w:r w:rsidR="00AD4A47">
        <w:rPr>
          <w:szCs w:val="26"/>
        </w:rPr>
        <w:t>dditional</w:t>
      </w:r>
      <w:r w:rsidRPr="00180E03">
        <w:rPr>
          <w:szCs w:val="26"/>
        </w:rPr>
        <w:t xml:space="preserve"> discussion of this exemption.</w:t>
      </w:r>
    </w:p>
    <w:p w14:paraId="04FB0F57" w14:textId="77777777" w:rsidR="00056CCE" w:rsidRDefault="00056CCE" w:rsidP="00857518">
      <w:pPr>
        <w:spacing w:line="220" w:lineRule="exact"/>
        <w:ind w:left="360"/>
        <w:jc w:val="both"/>
        <w:rPr>
          <w:szCs w:val="26"/>
        </w:rPr>
      </w:pPr>
    </w:p>
    <w:p w14:paraId="7599BD63" w14:textId="77777777" w:rsidR="00857518" w:rsidRDefault="00857518" w:rsidP="00322085">
      <w:pPr>
        <w:pStyle w:val="Heading3"/>
      </w:pPr>
      <w:bookmarkStart w:id="505" w:name="_Toc159851570"/>
      <w:r>
        <w:t>12.</w:t>
      </w:r>
      <w:r>
        <w:tab/>
        <w:t>Bargaining agreement provisions</w:t>
      </w:r>
      <w:bookmarkEnd w:id="505"/>
    </w:p>
    <w:p w14:paraId="26036E9C" w14:textId="77777777" w:rsidR="00857518" w:rsidRDefault="00857518" w:rsidP="00857518">
      <w:pPr>
        <w:spacing w:line="220" w:lineRule="exact"/>
        <w:ind w:left="360"/>
        <w:jc w:val="both"/>
        <w:rPr>
          <w:szCs w:val="26"/>
        </w:rPr>
      </w:pPr>
      <w:r>
        <w:rPr>
          <w:szCs w:val="26"/>
        </w:rPr>
        <w:t>Courts have held that collective bargaining agreements concerning the confidentiality of records cannot prevail over the Public Records Act.  For example, a union may not legally bar the production of available public records through a provision in a collective bargaining agreement.</w:t>
      </w:r>
      <w:r>
        <w:rPr>
          <w:rStyle w:val="EndnoteReference"/>
        </w:rPr>
        <w:endnoteReference w:id="698"/>
      </w:r>
    </w:p>
    <w:p w14:paraId="65BBF2E2" w14:textId="77777777" w:rsidR="00056CCE" w:rsidRDefault="00056CCE" w:rsidP="00857518">
      <w:pPr>
        <w:spacing w:line="220" w:lineRule="exact"/>
        <w:ind w:left="360"/>
        <w:jc w:val="both"/>
        <w:rPr>
          <w:szCs w:val="26"/>
        </w:rPr>
      </w:pPr>
    </w:p>
    <w:p w14:paraId="6CB72305" w14:textId="77777777" w:rsidR="00857518" w:rsidRDefault="00857518" w:rsidP="00322085">
      <w:pPr>
        <w:pStyle w:val="Heading3"/>
      </w:pPr>
      <w:bookmarkStart w:id="506" w:name="_Toc159851571"/>
      <w:r>
        <w:t>13.</w:t>
      </w:r>
      <w:r>
        <w:tab/>
        <w:t>Statutes specific to a particular agency’s employees</w:t>
      </w:r>
      <w:bookmarkEnd w:id="506"/>
    </w:p>
    <w:p w14:paraId="48C77A8A" w14:textId="7F04BD2C" w:rsidR="00857518" w:rsidRDefault="00857518" w:rsidP="00857518">
      <w:pPr>
        <w:spacing w:line="220" w:lineRule="exact"/>
        <w:ind w:left="360"/>
        <w:jc w:val="both"/>
        <w:rPr>
          <w:szCs w:val="26"/>
        </w:rPr>
      </w:pPr>
      <w:r>
        <w:rPr>
          <w:szCs w:val="26"/>
        </w:rPr>
        <w:t xml:space="preserve">Statutes may protect </w:t>
      </w:r>
      <w:r w:rsidR="00334396">
        <w:rPr>
          <w:szCs w:val="26"/>
        </w:rPr>
        <w:t>specific</w:t>
      </w:r>
      <w:r>
        <w:rPr>
          <w:szCs w:val="26"/>
        </w:rPr>
        <w:t xml:space="preserve"> information or records concerning specific public offices, or </w:t>
      </w:r>
      <w:r w:rsidR="009A5611">
        <w:rPr>
          <w:szCs w:val="26"/>
        </w:rPr>
        <w:t xml:space="preserve">specific </w:t>
      </w:r>
      <w:r>
        <w:rPr>
          <w:szCs w:val="26"/>
        </w:rPr>
        <w:t>employees</w:t>
      </w:r>
      <w:r>
        <w:rPr>
          <w:rStyle w:val="EndnoteReference"/>
        </w:rPr>
        <w:endnoteReference w:id="699"/>
      </w:r>
      <w:r>
        <w:rPr>
          <w:szCs w:val="26"/>
        </w:rPr>
        <w:t xml:space="preserve"> within one or more agencies.</w:t>
      </w:r>
      <w:r>
        <w:rPr>
          <w:rStyle w:val="EndnoteReference"/>
        </w:rPr>
        <w:endnoteReference w:id="700"/>
      </w:r>
    </w:p>
    <w:p w14:paraId="27B4E690" w14:textId="6E25AF1E" w:rsidR="00857518" w:rsidRPr="00CB19C7" w:rsidRDefault="00857518" w:rsidP="00322085">
      <w:pPr>
        <w:pStyle w:val="Heading3"/>
        <w:rPr>
          <w:sz w:val="26"/>
        </w:rPr>
      </w:pPr>
      <w:r>
        <w:br w:type="page"/>
      </w:r>
      <w:r w:rsidR="00056CCE">
        <w:lastRenderedPageBreak/>
        <w:tab/>
      </w:r>
      <w:r w:rsidR="00056CCE">
        <w:tab/>
      </w:r>
      <w:r w:rsidR="00056CCE">
        <w:tab/>
      </w:r>
      <w:bookmarkStart w:id="507" w:name="_Toc159851572"/>
      <w:r w:rsidRPr="00CB19C7">
        <w:t>Personnel Files</w:t>
      </w:r>
      <w:bookmarkEnd w:id="507"/>
    </w:p>
    <w:p w14:paraId="61FDE166" w14:textId="76C69BB0" w:rsidR="00857518" w:rsidRPr="003D768C" w:rsidRDefault="00857518" w:rsidP="00857518">
      <w:pPr>
        <w:spacing w:before="240"/>
        <w:jc w:val="both"/>
      </w:pPr>
      <w:r w:rsidRPr="003D768C">
        <w:t xml:space="preserve">The following lists are not exhaustive </w:t>
      </w:r>
      <w:r w:rsidR="0035301A">
        <w:t xml:space="preserve">and </w:t>
      </w:r>
      <w:r w:rsidRPr="003D768C">
        <w:t>are intended as a starting point for each public office in compiling lists appropriate to its employee records.</w:t>
      </w:r>
    </w:p>
    <w:p w14:paraId="176D21F0" w14:textId="77777777" w:rsidR="00056CCE" w:rsidRDefault="00AF6868" w:rsidP="00056CCE">
      <w:pPr>
        <w:jc w:val="center"/>
        <w:rPr>
          <w:i/>
          <w:iCs/>
          <w:sz w:val="28"/>
          <w:szCs w:val="28"/>
        </w:rPr>
      </w:pPr>
      <w:r>
        <w:rPr>
          <w:i/>
          <w:noProof/>
          <w:sz w:val="26"/>
          <w:szCs w:val="26"/>
        </w:rPr>
        <w:pict w14:anchorId="3AF64A7D">
          <v:rect id="_x0000_i1041" alt="" style="width:468pt;height:.05pt;mso-width-percent:0;mso-height-percent:0;mso-width-percent:0;mso-height-percent:0" o:hralign="center" o:bullet="t" o:hrstd="t" o:hr="t" fillcolor="#a0a0a0" stroked="f"/>
        </w:pict>
      </w:r>
      <w:r w:rsidR="00857518" w:rsidRPr="00056CCE">
        <w:rPr>
          <w:i/>
          <w:iCs/>
          <w:sz w:val="28"/>
          <w:szCs w:val="28"/>
        </w:rPr>
        <w:t>Items from Personnel Files that Are Subject to Release</w:t>
      </w:r>
    </w:p>
    <w:p w14:paraId="654FA787" w14:textId="17684D60" w:rsidR="00857518" w:rsidRPr="00056CCE" w:rsidRDefault="00857518" w:rsidP="00056CCE">
      <w:pPr>
        <w:jc w:val="center"/>
        <w:rPr>
          <w:i/>
          <w:sz w:val="28"/>
          <w:szCs w:val="28"/>
        </w:rPr>
      </w:pPr>
      <w:r w:rsidRPr="00056CCE">
        <w:rPr>
          <w:i/>
          <w:iCs/>
          <w:sz w:val="28"/>
          <w:szCs w:val="28"/>
        </w:rPr>
        <w:t xml:space="preserve"> with Appropriate Redaction</w:t>
      </w:r>
    </w:p>
    <w:p w14:paraId="3BDAC7FA" w14:textId="77777777" w:rsidR="00857518" w:rsidRDefault="00AF6868" w:rsidP="00857518">
      <w:pPr>
        <w:jc w:val="center"/>
        <w:rPr>
          <w:i/>
          <w:sz w:val="26"/>
          <w:szCs w:val="26"/>
        </w:rPr>
      </w:pPr>
      <w:r>
        <w:rPr>
          <w:i/>
          <w:noProof/>
          <w:sz w:val="26"/>
          <w:szCs w:val="26"/>
        </w:rPr>
        <w:pict w14:anchorId="6C967ABC">
          <v:rect id="_x0000_i1040" alt="" style="width:468pt;height:.05pt;mso-width-percent:0;mso-height-percent:0;mso-width-percent:0;mso-height-percent:0" o:hralign="center" o:hrstd="t" o:hr="t" fillcolor="#a0a0a0" stroked="f"/>
        </w:pict>
      </w:r>
    </w:p>
    <w:p w14:paraId="533684CE" w14:textId="77777777" w:rsidR="00857518" w:rsidRDefault="00857518" w:rsidP="00857518">
      <w:pPr>
        <w:pStyle w:val="ListParagraph"/>
        <w:numPr>
          <w:ilvl w:val="0"/>
          <w:numId w:val="10"/>
        </w:numPr>
        <w:tabs>
          <w:tab w:val="left" w:pos="8640"/>
        </w:tabs>
        <w:spacing w:before="120" w:after="120" w:line="220" w:lineRule="exact"/>
        <w:ind w:left="720" w:right="720"/>
        <w:jc w:val="both"/>
        <w:rPr>
          <w:szCs w:val="26"/>
        </w:rPr>
      </w:pPr>
      <w:r>
        <w:rPr>
          <w:szCs w:val="26"/>
        </w:rPr>
        <w:t>Payroll records</w:t>
      </w:r>
    </w:p>
    <w:p w14:paraId="6D91BB82"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 xml:space="preserve">Timesheets </w:t>
      </w:r>
    </w:p>
    <w:p w14:paraId="0AD360EB"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Employment application forms</w:t>
      </w:r>
    </w:p>
    <w:p w14:paraId="6A39C00E"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Resumes</w:t>
      </w:r>
    </w:p>
    <w:p w14:paraId="4489CB20"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Training course certificates</w:t>
      </w:r>
    </w:p>
    <w:p w14:paraId="754275FF"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Position descriptions</w:t>
      </w:r>
    </w:p>
    <w:p w14:paraId="11B59CA5"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Performance evaluations</w:t>
      </w:r>
    </w:p>
    <w:p w14:paraId="7F4713B8"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Leave conversion forms</w:t>
      </w:r>
    </w:p>
    <w:p w14:paraId="64CC795F"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Letters of support or complaint</w:t>
      </w:r>
    </w:p>
    <w:p w14:paraId="13591159"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Forms documenting receipt of office policies, directives, etc.</w:t>
      </w:r>
    </w:p>
    <w:p w14:paraId="5AFB4305"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Forms documenting hiring, promotions, job classification changes, separation, etc.</w:t>
      </w:r>
    </w:p>
    <w:p w14:paraId="7446FFCA"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 xml:space="preserve">Background checks, other than </w:t>
      </w:r>
      <w:r>
        <w:rPr>
          <w:szCs w:val="26"/>
        </w:rPr>
        <w:t>information or throughput from Law Enforcement Automated Data System (LEADS)</w:t>
      </w:r>
      <w:r w:rsidRPr="005C3880">
        <w:rPr>
          <w:szCs w:val="26"/>
        </w:rPr>
        <w:t xml:space="preserve">, </w:t>
      </w:r>
      <w:r>
        <w:rPr>
          <w:szCs w:val="26"/>
        </w:rPr>
        <w:t>the National Crime Information Center system (NCIC)</w:t>
      </w:r>
      <w:r w:rsidRPr="005C3880">
        <w:rPr>
          <w:szCs w:val="26"/>
        </w:rPr>
        <w:t xml:space="preserve">, and </w:t>
      </w:r>
      <w:r>
        <w:rPr>
          <w:szCs w:val="26"/>
        </w:rPr>
        <w:t>Computerized Criminal History (</w:t>
      </w:r>
      <w:r w:rsidRPr="005C3880">
        <w:rPr>
          <w:szCs w:val="26"/>
        </w:rPr>
        <w:t>CCH</w:t>
      </w:r>
      <w:r>
        <w:rPr>
          <w:szCs w:val="26"/>
        </w:rPr>
        <w:t>)</w:t>
      </w:r>
    </w:p>
    <w:p w14:paraId="62CFD494" w14:textId="77777777" w:rsidR="00857518" w:rsidRDefault="00857518" w:rsidP="00857518">
      <w:pPr>
        <w:pStyle w:val="ListParagraph"/>
        <w:numPr>
          <w:ilvl w:val="0"/>
          <w:numId w:val="10"/>
        </w:numPr>
        <w:tabs>
          <w:tab w:val="left" w:pos="8640"/>
        </w:tabs>
        <w:spacing w:after="120" w:line="220" w:lineRule="exact"/>
        <w:ind w:left="720" w:right="720"/>
        <w:jc w:val="both"/>
        <w:rPr>
          <w:szCs w:val="26"/>
        </w:rPr>
      </w:pPr>
      <w:r w:rsidRPr="005C3880">
        <w:rPr>
          <w:szCs w:val="26"/>
        </w:rPr>
        <w:t>Disciplinary investigation/action records, unless exempt from disclosure by law</w:t>
      </w:r>
    </w:p>
    <w:p w14:paraId="5A1B16B1" w14:textId="77777777" w:rsidR="00857518" w:rsidRPr="005C3880" w:rsidRDefault="00857518" w:rsidP="00857518">
      <w:pPr>
        <w:pStyle w:val="ListParagraph"/>
        <w:numPr>
          <w:ilvl w:val="0"/>
          <w:numId w:val="10"/>
        </w:numPr>
        <w:tabs>
          <w:tab w:val="left" w:pos="8640"/>
        </w:tabs>
        <w:spacing w:after="120" w:line="220" w:lineRule="exact"/>
        <w:ind w:left="720" w:right="720"/>
        <w:jc w:val="both"/>
        <w:rPr>
          <w:szCs w:val="26"/>
        </w:rPr>
      </w:pPr>
      <w:r>
        <w:rPr>
          <w:szCs w:val="26"/>
        </w:rPr>
        <w:t>Limited access files</w:t>
      </w:r>
    </w:p>
    <w:p w14:paraId="7CFC5063" w14:textId="656477CD" w:rsidR="00857518" w:rsidRPr="00056CCE" w:rsidRDefault="00AF6868" w:rsidP="00056CCE">
      <w:pPr>
        <w:jc w:val="center"/>
        <w:rPr>
          <w:i/>
          <w:sz w:val="26"/>
          <w:szCs w:val="26"/>
        </w:rPr>
      </w:pPr>
      <w:r>
        <w:rPr>
          <w:i/>
          <w:noProof/>
          <w:sz w:val="26"/>
          <w:szCs w:val="26"/>
        </w:rPr>
        <w:pict w14:anchorId="209F3C32">
          <v:rect id="_x0000_i1039" alt="" style="width:468pt;height:.05pt;mso-width-percent:0;mso-height-percent:0;mso-width-percent:0;mso-height-percent:0" o:hralign="center" o:hrstd="t" o:hr="t" fillcolor="#a0a0a0" stroked="f"/>
        </w:pict>
      </w:r>
      <w:r w:rsidR="00857518" w:rsidRPr="00056CCE">
        <w:rPr>
          <w:i/>
          <w:iCs/>
          <w:sz w:val="28"/>
          <w:szCs w:val="28"/>
        </w:rPr>
        <w:t>Items from Personnel Files that May or Must Be Withheld</w:t>
      </w:r>
    </w:p>
    <w:p w14:paraId="76A4EBA2" w14:textId="77777777" w:rsidR="00857518" w:rsidRDefault="00AF6868" w:rsidP="00857518">
      <w:pPr>
        <w:spacing w:after="120"/>
        <w:jc w:val="center"/>
        <w:rPr>
          <w:i/>
          <w:sz w:val="26"/>
          <w:szCs w:val="26"/>
        </w:rPr>
      </w:pPr>
      <w:r>
        <w:rPr>
          <w:i/>
          <w:noProof/>
          <w:sz w:val="26"/>
          <w:szCs w:val="26"/>
        </w:rPr>
        <w:pict w14:anchorId="4B4290D3">
          <v:rect id="_x0000_i1038" alt="" style="width:468pt;height:.05pt;mso-width-percent:0;mso-height-percent:0;mso-width-percent:0;mso-height-percent:0" o:hralign="center" o:hrstd="t" o:hr="t" fillcolor="#a0a0a0" stroked="f"/>
        </w:pict>
      </w:r>
    </w:p>
    <w:p w14:paraId="2FF0A7DA"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Social security numbers (R.C. 149.43(A)(1)(dd), 149.45(A)(1)(a))</w:t>
      </w:r>
    </w:p>
    <w:p w14:paraId="3E6435BB"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Public employee home addresses,</w:t>
      </w:r>
      <w:r>
        <w:rPr>
          <w:szCs w:val="26"/>
        </w:rPr>
        <w:t xml:space="preserve"> phone numbers, and personal email addresses,</w:t>
      </w:r>
      <w:r w:rsidRPr="005C3880">
        <w:rPr>
          <w:szCs w:val="26"/>
        </w:rPr>
        <w:t xml:space="preserve"> generally (as non-record)</w:t>
      </w:r>
    </w:p>
    <w:p w14:paraId="256E111D" w14:textId="0186A12C" w:rsidR="00857518" w:rsidRDefault="00857518" w:rsidP="00857518">
      <w:pPr>
        <w:pStyle w:val="ListParagraph"/>
        <w:numPr>
          <w:ilvl w:val="0"/>
          <w:numId w:val="10"/>
        </w:numPr>
        <w:spacing w:after="120" w:line="220" w:lineRule="exact"/>
        <w:ind w:left="720" w:right="360"/>
        <w:jc w:val="both"/>
        <w:rPr>
          <w:szCs w:val="26"/>
        </w:rPr>
      </w:pPr>
      <w:r w:rsidRPr="005C3880">
        <w:rPr>
          <w:szCs w:val="26"/>
        </w:rPr>
        <w:t xml:space="preserve">Residential and familial information of a peace officer, parole officer, probation officer, bailiff, prosecuting attorney, assistant prosecuting attorney, correctional employee, county or multicounty corrections officer, community-based correctional facility employee, </w:t>
      </w:r>
      <w:r>
        <w:rPr>
          <w:szCs w:val="26"/>
        </w:rPr>
        <w:t xml:space="preserve">designated Ohio national guard member, protective services worker, </w:t>
      </w:r>
      <w:r w:rsidRPr="005C3880">
        <w:rPr>
          <w:szCs w:val="26"/>
        </w:rPr>
        <w:t>youth services employee, firefighter, EMT, medical director or member of a cooperating physician advisory board</w:t>
      </w:r>
      <w:r>
        <w:rPr>
          <w:szCs w:val="26"/>
        </w:rPr>
        <w:t xml:space="preserve"> of an emergency medical service organization</w:t>
      </w:r>
      <w:r w:rsidRPr="005C3880">
        <w:rPr>
          <w:szCs w:val="26"/>
        </w:rPr>
        <w:t xml:space="preserve">, </w:t>
      </w:r>
      <w:r>
        <w:rPr>
          <w:szCs w:val="26"/>
        </w:rPr>
        <w:t xml:space="preserve">state </w:t>
      </w:r>
      <w:r w:rsidRPr="005C3880">
        <w:rPr>
          <w:szCs w:val="26"/>
        </w:rPr>
        <w:t>board of pharmacy employee,</w:t>
      </w:r>
      <w:r>
        <w:rPr>
          <w:szCs w:val="26"/>
        </w:rPr>
        <w:t xml:space="preserve"> investigator of the Bureau of Criminal Identification and Investigation, emergency service telecommunicator, forensic mental health provider, mental health evaluation provider, regional psychiatric hospital employee,</w:t>
      </w:r>
      <w:r w:rsidRPr="005C3880">
        <w:rPr>
          <w:szCs w:val="26"/>
        </w:rPr>
        <w:t xml:space="preserve"> judge, magistrate, or federal law enforcement officer, other than </w:t>
      </w:r>
      <w:r>
        <w:rPr>
          <w:szCs w:val="26"/>
        </w:rPr>
        <w:t xml:space="preserve">actual personal </w:t>
      </w:r>
      <w:r w:rsidRPr="005C3880">
        <w:rPr>
          <w:szCs w:val="26"/>
        </w:rPr>
        <w:t xml:space="preserve">residence address of </w:t>
      </w:r>
      <w:r>
        <w:rPr>
          <w:szCs w:val="26"/>
        </w:rPr>
        <w:t xml:space="preserve">a </w:t>
      </w:r>
      <w:r w:rsidRPr="005C3880">
        <w:rPr>
          <w:szCs w:val="26"/>
        </w:rPr>
        <w:t>prosecut</w:t>
      </w:r>
      <w:r>
        <w:rPr>
          <w:szCs w:val="26"/>
        </w:rPr>
        <w:t>ing attorney or judge</w:t>
      </w:r>
      <w:r w:rsidRPr="005C3880">
        <w:rPr>
          <w:szCs w:val="26"/>
        </w:rPr>
        <w:t xml:space="preserve"> (R.C. 149.43(A)(1)(p) and (A)(7)</w:t>
      </w:r>
      <w:r>
        <w:rPr>
          <w:szCs w:val="26"/>
        </w:rPr>
        <w:t>-(8)</w:t>
      </w:r>
      <w:r w:rsidRPr="005C3880">
        <w:rPr>
          <w:szCs w:val="26"/>
        </w:rPr>
        <w:t>)</w:t>
      </w:r>
    </w:p>
    <w:p w14:paraId="0A9358A2" w14:textId="77777777" w:rsidR="00857518" w:rsidRPr="005C3880" w:rsidRDefault="00857518" w:rsidP="00857518">
      <w:pPr>
        <w:pStyle w:val="ListParagraph"/>
        <w:numPr>
          <w:ilvl w:val="0"/>
          <w:numId w:val="10"/>
        </w:numPr>
        <w:spacing w:after="120" w:line="220" w:lineRule="exact"/>
        <w:ind w:left="720" w:right="360"/>
        <w:jc w:val="both"/>
        <w:rPr>
          <w:szCs w:val="26"/>
        </w:rPr>
      </w:pPr>
      <w:r>
        <w:rPr>
          <w:szCs w:val="26"/>
        </w:rPr>
        <w:lastRenderedPageBreak/>
        <w:t>Employee ID numbers (if the number is part of the public office’s security) (R.C. 149.433)</w:t>
      </w:r>
    </w:p>
    <w:p w14:paraId="51BC032F"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Charitable deductions and employment benefit deductions such as health insurance (as non-records)</w:t>
      </w:r>
    </w:p>
    <w:p w14:paraId="34D31517"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Beneficiary information (as non-record)</w:t>
      </w:r>
    </w:p>
    <w:p w14:paraId="20DCE63A"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Federal tax returns and “return information” filed under the jurisdiction of the IRS</w:t>
      </w:r>
      <w:r w:rsidRPr="005C3880">
        <w:rPr>
          <w:szCs w:val="26"/>
        </w:rPr>
        <w:br/>
        <w:t>(26 U.S.C. § 6103)</w:t>
      </w:r>
    </w:p>
    <w:p w14:paraId="557914DD"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Personal history information of state retirement contributors (R.C. 145.27(A);</w:t>
      </w:r>
      <w:r w:rsidRPr="005C3880">
        <w:rPr>
          <w:szCs w:val="26"/>
        </w:rPr>
        <w:br/>
        <w:t>R.C. 742.41(B); R.C. 3307.20(B); R.C. 3309.22(A); R.C. 5505.04(C))</w:t>
      </w:r>
    </w:p>
    <w:p w14:paraId="21223B4D" w14:textId="7FECAB8B"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 xml:space="preserve">Taxpayer records maintained by Ohio </w:t>
      </w:r>
      <w:r w:rsidR="0035301A" w:rsidRPr="005C3880">
        <w:rPr>
          <w:szCs w:val="26"/>
        </w:rPr>
        <w:t>Depa</w:t>
      </w:r>
      <w:r w:rsidR="0035301A">
        <w:rPr>
          <w:szCs w:val="26"/>
        </w:rPr>
        <w:t>rtment</w:t>
      </w:r>
      <w:r w:rsidRPr="005C3880">
        <w:rPr>
          <w:szCs w:val="26"/>
        </w:rPr>
        <w:t xml:space="preserve"> of Taxation and by municipal corporations (R.C. 5747.18; R.C. 718.13)</w:t>
      </w:r>
    </w:p>
    <w:p w14:paraId="3949CAB8"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“Medical records” that are generated and maintained in the process of medical treatment (R.C. 149.43(A)(1)(a) and (A)(3))</w:t>
      </w:r>
    </w:p>
    <w:p w14:paraId="5EF2D533"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LEADS, NCIC, or CCH criminal record information (34 U.S.C. § 10231; 28 C.F.R. § 20.21,</w:t>
      </w:r>
      <w:r w:rsidRPr="005C3880">
        <w:rPr>
          <w:szCs w:val="26"/>
        </w:rPr>
        <w:br/>
        <w:t xml:space="preserve">§ 20.33(a)(3); R.C. 109.57(D)-(E), (H); O.A.C. 4501:2-10-06) </w:t>
      </w:r>
    </w:p>
    <w:p w14:paraId="24E9F5FF" w14:textId="77777777" w:rsidR="00857518" w:rsidRPr="005C3880" w:rsidRDefault="00857518" w:rsidP="00857518">
      <w:pPr>
        <w:pStyle w:val="ListParagraph"/>
        <w:numPr>
          <w:ilvl w:val="0"/>
          <w:numId w:val="10"/>
        </w:numPr>
        <w:spacing w:after="120" w:line="220" w:lineRule="exact"/>
        <w:ind w:left="720" w:right="360"/>
        <w:jc w:val="both"/>
        <w:rPr>
          <w:szCs w:val="26"/>
        </w:rPr>
      </w:pPr>
      <w:r w:rsidRPr="005C3880">
        <w:rPr>
          <w:szCs w:val="26"/>
        </w:rPr>
        <w:t>Information regarding an employee’s medical condition or history compiled as a result of a medical examination required by employer to ensure employee’s ability to perform job related functions (29 C.F.R. 1630.14(c)(1))</w:t>
      </w:r>
    </w:p>
    <w:p w14:paraId="3E8F03C4" w14:textId="77777777" w:rsidR="00857518" w:rsidRDefault="00857518" w:rsidP="00857518">
      <w:pPr>
        <w:pStyle w:val="ListParagraph"/>
        <w:numPr>
          <w:ilvl w:val="0"/>
          <w:numId w:val="10"/>
        </w:numPr>
        <w:spacing w:after="120" w:line="220" w:lineRule="exact"/>
        <w:ind w:left="720" w:right="360"/>
        <w:jc w:val="both"/>
        <w:rPr>
          <w:szCs w:val="26"/>
        </w:rPr>
      </w:pPr>
      <w:r w:rsidRPr="005C3880">
        <w:rPr>
          <w:szCs w:val="26"/>
        </w:rPr>
        <w:t>Information gathered by employer who conducts voluntary medical examination of employee as part of an employee health program (29 C.F.R. 1630.14(d)(4))</w:t>
      </w:r>
    </w:p>
    <w:p w14:paraId="0F903EA9" w14:textId="77777777" w:rsidR="00857518" w:rsidRDefault="00857518" w:rsidP="00857518">
      <w:pPr>
        <w:pStyle w:val="ListParagraph"/>
        <w:numPr>
          <w:ilvl w:val="0"/>
          <w:numId w:val="10"/>
        </w:numPr>
        <w:spacing w:after="120" w:line="220" w:lineRule="exact"/>
        <w:ind w:left="720" w:right="360"/>
        <w:jc w:val="both"/>
        <w:rPr>
          <w:szCs w:val="26"/>
        </w:rPr>
      </w:pPr>
      <w:r>
        <w:rPr>
          <w:szCs w:val="26"/>
        </w:rPr>
        <w:t>Verification of employment, typically for mortgage loans (as non-record)</w:t>
      </w:r>
    </w:p>
    <w:p w14:paraId="2BC0A5AC" w14:textId="77777777" w:rsidR="00857518" w:rsidRDefault="00857518" w:rsidP="00857518">
      <w:pPr>
        <w:pStyle w:val="ListParagraph"/>
        <w:numPr>
          <w:ilvl w:val="0"/>
          <w:numId w:val="10"/>
        </w:numPr>
        <w:spacing w:after="120" w:line="220" w:lineRule="exact"/>
        <w:ind w:left="720" w:right="360"/>
        <w:jc w:val="both"/>
        <w:rPr>
          <w:szCs w:val="26"/>
        </w:rPr>
      </w:pPr>
      <w:r>
        <w:rPr>
          <w:szCs w:val="26"/>
        </w:rPr>
        <w:t>Bank account numbers (R.C. 149.43(A)(1)(dd); R.C. 149.45)</w:t>
      </w:r>
    </w:p>
    <w:p w14:paraId="18A08DE1" w14:textId="77777777" w:rsidR="00857518" w:rsidRDefault="00857518" w:rsidP="00857518">
      <w:pPr>
        <w:pStyle w:val="ListParagraph"/>
        <w:numPr>
          <w:ilvl w:val="0"/>
          <w:numId w:val="10"/>
        </w:numPr>
        <w:spacing w:after="120" w:line="220" w:lineRule="exact"/>
        <w:ind w:left="720" w:right="360"/>
        <w:jc w:val="both"/>
        <w:rPr>
          <w:szCs w:val="26"/>
        </w:rPr>
      </w:pPr>
      <w:r>
        <w:rPr>
          <w:szCs w:val="26"/>
        </w:rPr>
        <w:t>Employee assistance program records (R.C. 124.88(B))</w:t>
      </w:r>
    </w:p>
    <w:bookmarkEnd w:id="492"/>
    <w:p w14:paraId="626FB4C5" w14:textId="77777777" w:rsidR="00857518" w:rsidRPr="008804EB" w:rsidRDefault="00AF6868" w:rsidP="00857518">
      <w:pPr>
        <w:spacing w:after="120" w:line="220" w:lineRule="exact"/>
        <w:jc w:val="both"/>
        <w:rPr>
          <w:szCs w:val="26"/>
        </w:rPr>
      </w:pPr>
      <w:r>
        <w:rPr>
          <w:i/>
          <w:noProof/>
          <w:sz w:val="26"/>
          <w:szCs w:val="26"/>
        </w:rPr>
        <w:pict w14:anchorId="391C9B90">
          <v:rect id="_x0000_i1037" alt="" style="width:468pt;height:.05pt;mso-width-percent:0;mso-height-percent:0;mso-width-percent:0;mso-height-percent:0" o:hralign="center" o:hrstd="t" o:hr="t" fillcolor="#a0a0a0" stroked="f"/>
        </w:pict>
      </w:r>
    </w:p>
    <w:p w14:paraId="38F22009" w14:textId="5957BC10" w:rsidR="00857518" w:rsidRPr="00345637" w:rsidRDefault="00B37B31" w:rsidP="00322085">
      <w:pPr>
        <w:pStyle w:val="Heading2"/>
      </w:pPr>
      <w:bookmarkStart w:id="508" w:name="_Toc159851573"/>
      <w:bookmarkStart w:id="509" w:name="_Hlk90902285"/>
      <w:bookmarkEnd w:id="493"/>
      <w:r>
        <w:t>B.</w:t>
      </w:r>
      <w:r>
        <w:tab/>
      </w:r>
      <w:r w:rsidR="00857518" w:rsidRPr="00345637">
        <w:t>Court Records</w:t>
      </w:r>
      <w:bookmarkEnd w:id="508"/>
    </w:p>
    <w:p w14:paraId="3BC3D774" w14:textId="77777777" w:rsidR="00857518" w:rsidRDefault="00857518" w:rsidP="00857518">
      <w:pPr>
        <w:spacing w:line="220" w:lineRule="exact"/>
        <w:ind w:left="360"/>
        <w:jc w:val="both"/>
        <w:rPr>
          <w:szCs w:val="26"/>
        </w:rPr>
      </w:pPr>
      <w:r>
        <w:rPr>
          <w:szCs w:val="26"/>
        </w:rPr>
        <w:t>Although records kept by the courts of Ohio otherwise meet the definition of public records under the Public Records Act,</w:t>
      </w:r>
      <w:r>
        <w:rPr>
          <w:rStyle w:val="EndnoteReference"/>
        </w:rPr>
        <w:endnoteReference w:id="701"/>
      </w:r>
      <w:r>
        <w:rPr>
          <w:szCs w:val="26"/>
        </w:rPr>
        <w:t xml:space="preserve"> access to most court records is governed by a separate set of rules, the Rules of Superintendence for the Courts of Ohio.  Rules 44 through 47 of the Rules of Superintendence govern public access to “court records.”</w:t>
      </w:r>
      <w:r>
        <w:rPr>
          <w:rStyle w:val="EndnoteReference"/>
          <w:szCs w:val="26"/>
        </w:rPr>
        <w:endnoteReference w:id="702"/>
      </w:r>
      <w:r>
        <w:rPr>
          <w:szCs w:val="26"/>
        </w:rPr>
        <w:t xml:space="preserve">  Rules 44 through 47 expressly apply to all Ohio courts of appeal, courts of common pleas, municipal courts, county courts, and the Supreme Court of Ohio.</w:t>
      </w:r>
      <w:r>
        <w:rPr>
          <w:rStyle w:val="EndnoteReference"/>
          <w:szCs w:val="26"/>
        </w:rPr>
        <w:endnoteReference w:id="703"/>
      </w:r>
      <w:r>
        <w:rPr>
          <w:szCs w:val="26"/>
        </w:rPr>
        <w:t xml:space="preserve">  The public access rules of the Rules of Superintendence (Rules 44 through 47) do not apply to “court records” of the Ohio Court of Claims.</w:t>
      </w:r>
    </w:p>
    <w:p w14:paraId="19D40EF2" w14:textId="77777777" w:rsidR="00056CCE" w:rsidRDefault="00056CCE" w:rsidP="00857518">
      <w:pPr>
        <w:spacing w:line="220" w:lineRule="exact"/>
        <w:ind w:left="360"/>
        <w:jc w:val="both"/>
        <w:rPr>
          <w:szCs w:val="26"/>
        </w:rPr>
      </w:pPr>
    </w:p>
    <w:p w14:paraId="632D6357" w14:textId="77777777" w:rsidR="00857518" w:rsidRDefault="00857518" w:rsidP="00322085">
      <w:pPr>
        <w:pStyle w:val="Heading3"/>
      </w:pPr>
      <w:bookmarkStart w:id="510" w:name="_Toc159851574"/>
      <w:r>
        <w:t>1.</w:t>
      </w:r>
      <w:r>
        <w:tab/>
        <w:t>Courts’ supervisory power over their own records</w:t>
      </w:r>
      <w:bookmarkEnd w:id="510"/>
    </w:p>
    <w:p w14:paraId="5F48F784" w14:textId="15D68B0E" w:rsidR="00857518" w:rsidRDefault="00857518" w:rsidP="00857518">
      <w:pPr>
        <w:spacing w:line="220" w:lineRule="exact"/>
        <w:ind w:left="360"/>
        <w:jc w:val="both"/>
        <w:rPr>
          <w:szCs w:val="26"/>
        </w:rPr>
      </w:pPr>
      <w:r>
        <w:rPr>
          <w:szCs w:val="26"/>
        </w:rPr>
        <w:t>Ohio courts</w:t>
      </w:r>
      <w:r>
        <w:rPr>
          <w:rStyle w:val="EndnoteReference"/>
        </w:rPr>
        <w:endnoteReference w:id="704"/>
      </w:r>
      <w:r>
        <w:rPr>
          <w:szCs w:val="26"/>
        </w:rPr>
        <w:t xml:space="preserve"> are subject to the Rules of Superintendence, adopted by the Supreme Court of Ohio.  Therefore, a requester wishing to obtain records from the judicial branch must generally submit the request under the Rules of Superintendence.</w:t>
      </w:r>
      <w:r>
        <w:rPr>
          <w:rStyle w:val="EndnoteReference"/>
          <w:szCs w:val="26"/>
        </w:rPr>
        <w:endnoteReference w:id="705"/>
      </w:r>
      <w:r>
        <w:rPr>
          <w:szCs w:val="26"/>
        </w:rPr>
        <w:t xml:space="preserve">  The Rules of Superintendence establish rights and duties regarding court case documents and administrative documents, starting with the statement that “[c]ourt records are presumed open to public access.”</w:t>
      </w:r>
      <w:r>
        <w:rPr>
          <w:rStyle w:val="EndnoteReference"/>
        </w:rPr>
        <w:endnoteReference w:id="706"/>
      </w:r>
      <w:r>
        <w:rPr>
          <w:szCs w:val="26"/>
        </w:rPr>
        <w:t xml:space="preserve">  While similar to the Public Records Act, the Rules of Superintendence contain some additional or different provisions, including language:</w:t>
      </w:r>
    </w:p>
    <w:p w14:paraId="0D4C66E9" w14:textId="77777777" w:rsidR="00857518" w:rsidRDefault="00857518" w:rsidP="00857518">
      <w:pPr>
        <w:spacing w:line="220" w:lineRule="exact"/>
        <w:ind w:left="360"/>
        <w:jc w:val="both"/>
        <w:rPr>
          <w:szCs w:val="26"/>
        </w:rPr>
      </w:pPr>
    </w:p>
    <w:p w14:paraId="4714B7F5" w14:textId="5D7D2A95" w:rsidR="00857518" w:rsidRPr="0053674D" w:rsidRDefault="00857518" w:rsidP="0035301A">
      <w:pPr>
        <w:numPr>
          <w:ilvl w:val="0"/>
          <w:numId w:val="11"/>
        </w:numPr>
        <w:spacing w:after="240" w:line="220" w:lineRule="exact"/>
        <w:ind w:left="1440"/>
        <w:jc w:val="both"/>
        <w:rPr>
          <w:szCs w:val="26"/>
        </w:rPr>
      </w:pPr>
      <w:r>
        <w:rPr>
          <w:szCs w:val="26"/>
        </w:rPr>
        <w:t>For internet records, allowing courts to announce that an attachment or exhibit was not scanned but is available by direct access.</w:t>
      </w:r>
      <w:r w:rsidR="0035301A">
        <w:rPr>
          <w:rStyle w:val="EndnoteReference"/>
          <w:szCs w:val="26"/>
        </w:rPr>
        <w:endnoteReference w:id="707"/>
      </w:r>
    </w:p>
    <w:p w14:paraId="00E21E81" w14:textId="3A22B08D" w:rsidR="00857518" w:rsidRDefault="00857518" w:rsidP="0035301A">
      <w:pPr>
        <w:numPr>
          <w:ilvl w:val="0"/>
          <w:numId w:val="11"/>
        </w:numPr>
        <w:spacing w:after="240" w:line="220" w:lineRule="exact"/>
        <w:ind w:left="1440"/>
        <w:jc w:val="both"/>
        <w:rPr>
          <w:szCs w:val="26"/>
        </w:rPr>
      </w:pPr>
      <w:r>
        <w:rPr>
          <w:szCs w:val="26"/>
        </w:rPr>
        <w:t>Establishing definitions of “court record,” “case document,” “administrative document,” “case file,” and other terms.</w:t>
      </w:r>
      <w:r w:rsidR="0035301A">
        <w:rPr>
          <w:rStyle w:val="EndnoteReference"/>
          <w:szCs w:val="26"/>
        </w:rPr>
        <w:endnoteReference w:id="708"/>
      </w:r>
    </w:p>
    <w:p w14:paraId="7DB8EEEF" w14:textId="6C9BB74E" w:rsidR="00857518" w:rsidRDefault="00857518" w:rsidP="0035301A">
      <w:pPr>
        <w:numPr>
          <w:ilvl w:val="0"/>
          <w:numId w:val="11"/>
        </w:numPr>
        <w:spacing w:after="240" w:line="220" w:lineRule="exact"/>
        <w:ind w:left="1440"/>
        <w:jc w:val="both"/>
        <w:rPr>
          <w:szCs w:val="26"/>
        </w:rPr>
      </w:pPr>
      <w:r>
        <w:rPr>
          <w:szCs w:val="26"/>
        </w:rPr>
        <w:lastRenderedPageBreak/>
        <w:t>Identifying a process for restricting public access to part or all of any case document, including a process for any person to request access to a case document or information that has been granted limited public access.</w:t>
      </w:r>
      <w:r w:rsidR="0035301A">
        <w:rPr>
          <w:rStyle w:val="EndnoteReference"/>
          <w:szCs w:val="26"/>
        </w:rPr>
        <w:endnoteReference w:id="709"/>
      </w:r>
    </w:p>
    <w:p w14:paraId="3AB3503F" w14:textId="27EC90BE" w:rsidR="00857518" w:rsidRPr="0053674D" w:rsidRDefault="00857518" w:rsidP="0035301A">
      <w:pPr>
        <w:numPr>
          <w:ilvl w:val="0"/>
          <w:numId w:val="11"/>
        </w:numPr>
        <w:spacing w:after="240" w:line="220" w:lineRule="exact"/>
        <w:ind w:left="1440"/>
        <w:jc w:val="both"/>
        <w:rPr>
          <w:szCs w:val="26"/>
        </w:rPr>
      </w:pPr>
      <w:r>
        <w:rPr>
          <w:szCs w:val="26"/>
        </w:rPr>
        <w:t>Requiring that documents filed with the court omit or redact personal identifiers.  The personal identifiers would instead be submitted on a separate standard form submitted only to the court, clerk of courts, and parties.</w:t>
      </w:r>
      <w:r w:rsidR="0035301A">
        <w:rPr>
          <w:rStyle w:val="EndnoteReference"/>
          <w:szCs w:val="26"/>
        </w:rPr>
        <w:endnoteReference w:id="710"/>
      </w:r>
    </w:p>
    <w:p w14:paraId="0C1A44DA" w14:textId="77777777" w:rsidR="00857518" w:rsidRDefault="00857518" w:rsidP="00857518">
      <w:pPr>
        <w:spacing w:line="220" w:lineRule="exact"/>
        <w:ind w:left="360"/>
        <w:jc w:val="both"/>
        <w:rPr>
          <w:szCs w:val="26"/>
        </w:rPr>
      </w:pPr>
      <w:r>
        <w:rPr>
          <w:szCs w:val="26"/>
        </w:rPr>
        <w:t>(This is a partial list – see Rules 44 through 47 of the Rules of Superintendence for all provisions.)</w:t>
      </w:r>
    </w:p>
    <w:p w14:paraId="66D00901" w14:textId="77777777" w:rsidR="00857518" w:rsidRDefault="00857518" w:rsidP="00857518">
      <w:pPr>
        <w:spacing w:line="220" w:lineRule="exact"/>
        <w:ind w:left="1080"/>
        <w:jc w:val="both"/>
        <w:rPr>
          <w:szCs w:val="26"/>
        </w:rPr>
      </w:pPr>
    </w:p>
    <w:p w14:paraId="55F652D7" w14:textId="77777777" w:rsidR="00857518" w:rsidRDefault="00857518" w:rsidP="00857518">
      <w:pPr>
        <w:tabs>
          <w:tab w:val="left" w:pos="4893"/>
        </w:tabs>
        <w:spacing w:line="220" w:lineRule="exact"/>
        <w:ind w:left="360"/>
        <w:jc w:val="both"/>
        <w:rPr>
          <w:szCs w:val="26"/>
        </w:rPr>
      </w:pPr>
      <w:r>
        <w:rPr>
          <w:szCs w:val="26"/>
        </w:rPr>
        <w:t>In addition, unlike the Public Records Act, the “Rules of Superintendence do not authorize statutory damages under any circumstances.”</w:t>
      </w:r>
      <w:r>
        <w:rPr>
          <w:rStyle w:val="EndnoteReference"/>
          <w:szCs w:val="26"/>
        </w:rPr>
        <w:endnoteReference w:id="711"/>
      </w:r>
    </w:p>
    <w:p w14:paraId="65D4D606" w14:textId="77777777" w:rsidR="00857518" w:rsidRDefault="00857518" w:rsidP="00857518">
      <w:pPr>
        <w:spacing w:line="220" w:lineRule="exact"/>
        <w:jc w:val="both"/>
        <w:rPr>
          <w:szCs w:val="26"/>
        </w:rPr>
      </w:pPr>
    </w:p>
    <w:p w14:paraId="31238ECE" w14:textId="3EE8DB3A" w:rsidR="00857518" w:rsidRPr="00A53CCC" w:rsidRDefault="00857518" w:rsidP="00322085">
      <w:pPr>
        <w:pStyle w:val="Heading3"/>
      </w:pPr>
      <w:bookmarkStart w:id="511" w:name="_Toc159851575"/>
      <w:r w:rsidRPr="00321E67">
        <w:t>2.</w:t>
      </w:r>
      <w:r>
        <w:tab/>
        <w:t xml:space="preserve">Application of Rules of Superintendence and Public Records Act </w:t>
      </w:r>
      <w:r w:rsidR="00056CCE">
        <w:tab/>
      </w:r>
      <w:r w:rsidR="00056CCE">
        <w:tab/>
      </w:r>
      <w:r w:rsidR="00056CCE">
        <w:tab/>
      </w:r>
      <w:r>
        <w:t>to Court Records</w:t>
      </w:r>
      <w:bookmarkEnd w:id="511"/>
      <w:r>
        <w:t xml:space="preserve"> </w:t>
      </w:r>
    </w:p>
    <w:p w14:paraId="3C2A3A85" w14:textId="77777777" w:rsidR="00857518" w:rsidRDefault="00857518" w:rsidP="00857518">
      <w:pPr>
        <w:spacing w:line="220" w:lineRule="exact"/>
        <w:ind w:left="360"/>
        <w:jc w:val="both"/>
        <w:rPr>
          <w:szCs w:val="26"/>
        </w:rPr>
      </w:pPr>
      <w:r>
        <w:rPr>
          <w:szCs w:val="26"/>
        </w:rPr>
        <w:t>Rules 44 through 47 of the Rules of Superintendence apply to “court records,” which are categorized as “case document[s] and … administrative document[s] regardless of physical form or characteristic, manner of creation, or method of storage.”</w:t>
      </w:r>
      <w:r>
        <w:rPr>
          <w:rStyle w:val="EndnoteReference"/>
          <w:szCs w:val="26"/>
        </w:rPr>
        <w:endnoteReference w:id="712"/>
      </w:r>
      <w:r>
        <w:rPr>
          <w:szCs w:val="26"/>
        </w:rPr>
        <w:t xml:space="preserve">  “‘Case document’ means a document and information in a document submitted to a court or filed with a clerk of court in a judicial action or proceeding, including exhibits, pleadings, motions, orders, and judgments, and any documentation prepared by the court or clerk in the judicial action or proceeding, such as journals, dockets, and indices.”</w:t>
      </w:r>
      <w:r>
        <w:rPr>
          <w:rStyle w:val="EndnoteReference"/>
          <w:szCs w:val="26"/>
        </w:rPr>
        <w:endnoteReference w:id="713"/>
      </w:r>
      <w:r>
        <w:rPr>
          <w:szCs w:val="26"/>
        </w:rPr>
        <w:t xml:space="preserve">  “‘Administrative document’ means a document . . . created . . . or maintained by a court that serves to record the administrative, fiscal, personnel, or management functions, policies, decisions, procedures, operations, organization, or other activities of the court[.]”</w:t>
      </w:r>
      <w:r>
        <w:rPr>
          <w:rStyle w:val="EndnoteReference"/>
          <w:szCs w:val="26"/>
        </w:rPr>
        <w:endnoteReference w:id="714"/>
      </w:r>
    </w:p>
    <w:p w14:paraId="3B13D74F" w14:textId="77777777" w:rsidR="00857518" w:rsidRDefault="00857518" w:rsidP="00857518">
      <w:pPr>
        <w:spacing w:line="220" w:lineRule="exact"/>
        <w:ind w:left="360"/>
        <w:jc w:val="both"/>
        <w:rPr>
          <w:szCs w:val="26"/>
        </w:rPr>
      </w:pPr>
    </w:p>
    <w:p w14:paraId="0DDEA670" w14:textId="54075139" w:rsidR="00857518" w:rsidRDefault="00857518" w:rsidP="0035301A">
      <w:pPr>
        <w:spacing w:line="220" w:lineRule="exact"/>
        <w:ind w:left="360"/>
        <w:jc w:val="both"/>
        <w:rPr>
          <w:szCs w:val="26"/>
        </w:rPr>
      </w:pPr>
      <w:r>
        <w:rPr>
          <w:szCs w:val="26"/>
        </w:rPr>
        <w:t>Note that the Rules of Superintendence only apply to “case documents” in actions commenced on or after July 1, 2009.</w:t>
      </w:r>
      <w:r>
        <w:rPr>
          <w:rStyle w:val="EndnoteReference"/>
          <w:szCs w:val="26"/>
        </w:rPr>
        <w:endnoteReference w:id="715"/>
      </w:r>
      <w:r>
        <w:rPr>
          <w:szCs w:val="26"/>
        </w:rPr>
        <w:t xml:space="preserve">  The Public Records Act will apply to “case documents” in actions commenced before July 1, 2009.</w:t>
      </w:r>
      <w:r>
        <w:rPr>
          <w:rStyle w:val="EndnoteReference"/>
          <w:szCs w:val="26"/>
        </w:rPr>
        <w:endnoteReference w:id="716"/>
      </w:r>
      <w:r>
        <w:rPr>
          <w:szCs w:val="26"/>
        </w:rPr>
        <w:t xml:space="preserve">  However, Rules 44 through 47 of the Rules of Superintendence apply to all “administrative documents,” regardless of when the action commenced.</w:t>
      </w:r>
      <w:r w:rsidR="00B37B31">
        <w:rPr>
          <w:rStyle w:val="EndnoteReference"/>
          <w:szCs w:val="26"/>
        </w:rPr>
        <w:endnoteReference w:id="717"/>
      </w:r>
      <w:r>
        <w:rPr>
          <w:szCs w:val="26"/>
        </w:rPr>
        <w:t xml:space="preserve">  </w:t>
      </w:r>
      <w:r w:rsidR="00B37B31">
        <w:rPr>
          <w:szCs w:val="26"/>
        </w:rPr>
        <w:t>Sup.R.</w:t>
      </w:r>
      <w:r>
        <w:rPr>
          <w:szCs w:val="26"/>
        </w:rPr>
        <w:t xml:space="preserve"> 44(C)(2)(h), which restricts public access to certain domestic relations and juvenile court case documents, applies only to case documents in actions commenced on or after January 1, 2016.</w:t>
      </w:r>
      <w:r>
        <w:rPr>
          <w:rStyle w:val="EndnoteReference"/>
          <w:szCs w:val="26"/>
        </w:rPr>
        <w:endnoteReference w:id="718"/>
      </w:r>
      <w:r>
        <w:rPr>
          <w:szCs w:val="26"/>
        </w:rPr>
        <w:t xml:space="preserve">  </w:t>
      </w:r>
    </w:p>
    <w:p w14:paraId="5907658C" w14:textId="77777777" w:rsidR="00056CCE" w:rsidRDefault="00056CCE" w:rsidP="0035301A">
      <w:pPr>
        <w:spacing w:line="220" w:lineRule="exact"/>
        <w:ind w:left="360"/>
        <w:jc w:val="both"/>
        <w:rPr>
          <w:szCs w:val="26"/>
        </w:rPr>
      </w:pPr>
    </w:p>
    <w:p w14:paraId="5666D5E3" w14:textId="77777777" w:rsidR="00857518" w:rsidRDefault="00857518" w:rsidP="00322085">
      <w:pPr>
        <w:pStyle w:val="Heading3"/>
      </w:pPr>
      <w:bookmarkStart w:id="512" w:name="_Toc159851576"/>
      <w:r>
        <w:t>3.</w:t>
      </w:r>
      <w:r>
        <w:tab/>
        <w:t>Rules of court procedure</w:t>
      </w:r>
      <w:bookmarkEnd w:id="512"/>
    </w:p>
    <w:p w14:paraId="42284CCB" w14:textId="1E95BC79" w:rsidR="00857518" w:rsidRDefault="00B37B31" w:rsidP="00857518">
      <w:pPr>
        <w:spacing w:line="220" w:lineRule="exact"/>
        <w:ind w:left="360"/>
        <w:jc w:val="both"/>
        <w:rPr>
          <w:szCs w:val="26"/>
        </w:rPr>
      </w:pPr>
      <w:r>
        <w:rPr>
          <w:szCs w:val="26"/>
        </w:rPr>
        <w:t>Rules of court procedure, such as the Ohio Rules of Civil Procedure and the Ohio Rules of Criminal Procedure,</w:t>
      </w:r>
      <w:r w:rsidR="00857518">
        <w:rPr>
          <w:szCs w:val="26"/>
        </w:rPr>
        <w:t xml:space="preserve"> which are also adopted through the Supreme Court of Ohio, can create exemptions to public records disclosure.</w:t>
      </w:r>
      <w:r w:rsidR="00857518">
        <w:rPr>
          <w:rStyle w:val="EndnoteReference"/>
        </w:rPr>
        <w:endnoteReference w:id="719"/>
      </w:r>
      <w:r w:rsidR="00857518">
        <w:rPr>
          <w:szCs w:val="26"/>
        </w:rPr>
        <w:t xml:space="preserve">  Examples include certain records related to grand jury proceedings</w:t>
      </w:r>
      <w:r w:rsidR="00857518">
        <w:rPr>
          <w:rStyle w:val="EndnoteReference"/>
        </w:rPr>
        <w:endnoteReference w:id="720"/>
      </w:r>
      <w:r w:rsidR="00857518">
        <w:rPr>
          <w:szCs w:val="26"/>
        </w:rPr>
        <w:t xml:space="preserve"> and certain juvenile court records.</w:t>
      </w:r>
      <w:r w:rsidR="00857518">
        <w:rPr>
          <w:rStyle w:val="EndnoteReference"/>
        </w:rPr>
        <w:endnoteReference w:id="721"/>
      </w:r>
    </w:p>
    <w:p w14:paraId="6DE72E0D" w14:textId="77777777" w:rsidR="00056CCE" w:rsidRDefault="00056CCE" w:rsidP="00857518">
      <w:pPr>
        <w:spacing w:line="220" w:lineRule="exact"/>
        <w:ind w:left="360"/>
        <w:jc w:val="both"/>
        <w:rPr>
          <w:szCs w:val="26"/>
        </w:rPr>
      </w:pPr>
    </w:p>
    <w:p w14:paraId="1F16CDBB" w14:textId="77777777" w:rsidR="00857518" w:rsidRDefault="00857518" w:rsidP="00322085">
      <w:pPr>
        <w:pStyle w:val="Heading3"/>
      </w:pPr>
      <w:bookmarkStart w:id="513" w:name="_Toc159851577"/>
      <w:r>
        <w:t>4.</w:t>
      </w:r>
      <w:r>
        <w:tab/>
        <w:t>Sealing statutes</w:t>
      </w:r>
      <w:bookmarkEnd w:id="513"/>
    </w:p>
    <w:p w14:paraId="48DF4B6F" w14:textId="2CFE1127" w:rsidR="00857518" w:rsidRDefault="00857518" w:rsidP="00857518">
      <w:pPr>
        <w:spacing w:line="220" w:lineRule="exact"/>
        <w:ind w:left="360"/>
        <w:jc w:val="both"/>
        <w:rPr>
          <w:szCs w:val="26"/>
        </w:rPr>
      </w:pPr>
      <w:r>
        <w:rPr>
          <w:szCs w:val="26"/>
        </w:rPr>
        <w:t>Court records that have been properly expunged or sealed are not available for public disclosure.</w:t>
      </w:r>
      <w:r>
        <w:rPr>
          <w:rStyle w:val="EndnoteReference"/>
        </w:rPr>
        <w:endnoteReference w:id="722"/>
      </w:r>
      <w:r>
        <w:rPr>
          <w:szCs w:val="26"/>
        </w:rPr>
        <w:t xml:space="preserve">  However, </w:t>
      </w:r>
      <w:r w:rsidR="00B37B31">
        <w:rPr>
          <w:szCs w:val="26"/>
        </w:rPr>
        <w:t xml:space="preserve">unless the statute providing the authority for sealing the record states otherwise, </w:t>
      </w:r>
      <w:r>
        <w:rPr>
          <w:szCs w:val="26"/>
        </w:rPr>
        <w:t>the public office must provide the explanation for withholding, including the legal authority under which the record was sealed.</w:t>
      </w:r>
      <w:r>
        <w:rPr>
          <w:rStyle w:val="EndnoteReference"/>
        </w:rPr>
        <w:endnoteReference w:id="723"/>
      </w:r>
      <w:r>
        <w:rPr>
          <w:szCs w:val="26"/>
        </w:rPr>
        <w:t xml:space="preserve">  Even absent statutory authority, the Supreme Court of Ohio has found that trial courts have the inherent authority to seal court records in unusual and exceptional circumstances.</w:t>
      </w:r>
      <w:r>
        <w:rPr>
          <w:rStyle w:val="EndnoteReference"/>
        </w:rPr>
        <w:endnoteReference w:id="724"/>
      </w:r>
      <w:r>
        <w:rPr>
          <w:szCs w:val="26"/>
        </w:rPr>
        <w:t xml:space="preserve">  That inherent authority, however, is limited.</w:t>
      </w:r>
      <w:r>
        <w:rPr>
          <w:rStyle w:val="EndnoteReference"/>
          <w:szCs w:val="26"/>
        </w:rPr>
        <w:endnoteReference w:id="725"/>
      </w:r>
    </w:p>
    <w:p w14:paraId="395DCC9F" w14:textId="77777777" w:rsidR="00857518" w:rsidRDefault="00857518" w:rsidP="00857518">
      <w:pPr>
        <w:spacing w:line="220" w:lineRule="exact"/>
        <w:ind w:left="360"/>
        <w:jc w:val="both"/>
        <w:rPr>
          <w:szCs w:val="26"/>
        </w:rPr>
      </w:pPr>
    </w:p>
    <w:p w14:paraId="5E7FCDCC" w14:textId="51AE04D7" w:rsidR="00857518" w:rsidRDefault="00857518" w:rsidP="00857518">
      <w:pPr>
        <w:spacing w:line="220" w:lineRule="exact"/>
        <w:ind w:left="360"/>
        <w:jc w:val="both"/>
        <w:rPr>
          <w:szCs w:val="26"/>
        </w:rPr>
      </w:pPr>
      <w:r>
        <w:rPr>
          <w:szCs w:val="26"/>
        </w:rPr>
        <w:t>For example, the Supreme Court of Ohio held that there is no such authority “when the offender has been convicted and is not a first-time offender.”</w:t>
      </w:r>
      <w:r>
        <w:rPr>
          <w:rStyle w:val="EndnoteReference"/>
        </w:rPr>
        <w:endnoteReference w:id="726"/>
      </w:r>
      <w:r>
        <w:rPr>
          <w:szCs w:val="26"/>
        </w:rPr>
        <w:t xml:space="preserve">  In such cases, the only authority to seal is statutory.</w:t>
      </w:r>
      <w:r>
        <w:rPr>
          <w:rStyle w:val="EndnoteReference"/>
        </w:rPr>
        <w:endnoteReference w:id="727"/>
      </w:r>
      <w:r>
        <w:rPr>
          <w:szCs w:val="26"/>
        </w:rPr>
        <w:t xml:space="preserve">  Courts have no authority to seal an offense that has been pardoned by the governor when the offender is not otherwise statutorily eligible for sealing.</w:t>
      </w:r>
      <w:r>
        <w:rPr>
          <w:rStyle w:val="EndnoteReference"/>
        </w:rPr>
        <w:endnoteReference w:id="728"/>
      </w:r>
      <w:r>
        <w:rPr>
          <w:szCs w:val="26"/>
        </w:rPr>
        <w:t xml:space="preserve">  The Supreme Court also held that courts do not have inherent authority to unseal records and may only unseal records when </w:t>
      </w:r>
      <w:r>
        <w:rPr>
          <w:szCs w:val="26"/>
        </w:rPr>
        <w:lastRenderedPageBreak/>
        <w:t>statutorily authorized.</w:t>
      </w:r>
      <w:r w:rsidR="00FF2782">
        <w:rPr>
          <w:szCs w:val="26"/>
        </w:rPr>
        <w:t xml:space="preserve"> Finally, as of April 2023, people convicted of certain crimes may seek to have records related to their conviction expunged, when they were previously only able to have the records sealed.</w:t>
      </w:r>
      <w:r w:rsidR="00FF2782">
        <w:rPr>
          <w:rStyle w:val="EndnoteReference"/>
          <w:szCs w:val="26"/>
        </w:rPr>
        <w:endnoteReference w:id="729"/>
      </w:r>
    </w:p>
    <w:p w14:paraId="44D6021E" w14:textId="77777777" w:rsidR="00056CCE" w:rsidRDefault="00056CCE" w:rsidP="00857518">
      <w:pPr>
        <w:spacing w:line="220" w:lineRule="exact"/>
        <w:ind w:left="360"/>
        <w:jc w:val="both"/>
        <w:rPr>
          <w:szCs w:val="26"/>
        </w:rPr>
      </w:pPr>
    </w:p>
    <w:p w14:paraId="6806E35F" w14:textId="77777777" w:rsidR="00857518" w:rsidRDefault="00857518" w:rsidP="00322085">
      <w:pPr>
        <w:pStyle w:val="Heading3"/>
      </w:pPr>
      <w:bookmarkStart w:id="514" w:name="_Toc159851578"/>
      <w:r>
        <w:t>5.</w:t>
      </w:r>
      <w:r>
        <w:tab/>
        <w:t>Restricting public access to a case document</w:t>
      </w:r>
      <w:bookmarkEnd w:id="514"/>
    </w:p>
    <w:p w14:paraId="6B4DB2AA" w14:textId="77777777" w:rsidR="00857518" w:rsidRDefault="00857518" w:rsidP="00857518">
      <w:pPr>
        <w:spacing w:line="220" w:lineRule="exact"/>
        <w:ind w:left="360"/>
        <w:jc w:val="both"/>
        <w:rPr>
          <w:szCs w:val="26"/>
        </w:rPr>
      </w:pPr>
      <w:r>
        <w:rPr>
          <w:szCs w:val="26"/>
        </w:rPr>
        <w:t>Sup.R. 45(E) provides a procedure for courts to restrict public access to all or part of a case document.  Any party to a judicial action may, by written motion, request that the court restrict public access to all or part of a case document.</w:t>
      </w:r>
      <w:r>
        <w:rPr>
          <w:rStyle w:val="EndnoteReference"/>
          <w:szCs w:val="26"/>
        </w:rPr>
        <w:endnoteReference w:id="730"/>
      </w:r>
      <w:r>
        <w:rPr>
          <w:szCs w:val="26"/>
        </w:rPr>
        <w:t xml:space="preserve">  The court may also restrict public access upon its own order.</w:t>
      </w:r>
      <w:r>
        <w:rPr>
          <w:rStyle w:val="EndnoteReference"/>
          <w:szCs w:val="26"/>
        </w:rPr>
        <w:endnoteReference w:id="731"/>
      </w:r>
    </w:p>
    <w:p w14:paraId="1ECC06F7" w14:textId="77777777" w:rsidR="00857518" w:rsidRDefault="00857518" w:rsidP="00857518">
      <w:pPr>
        <w:spacing w:line="220" w:lineRule="exact"/>
        <w:ind w:left="360"/>
        <w:jc w:val="both"/>
        <w:rPr>
          <w:szCs w:val="26"/>
        </w:rPr>
      </w:pPr>
    </w:p>
    <w:p w14:paraId="1433F817" w14:textId="0429177B" w:rsidR="00857518" w:rsidRDefault="00857518" w:rsidP="00857518">
      <w:pPr>
        <w:spacing w:line="220" w:lineRule="exact"/>
        <w:ind w:left="360"/>
        <w:jc w:val="both"/>
        <w:rPr>
          <w:szCs w:val="26"/>
        </w:rPr>
      </w:pPr>
      <w:r>
        <w:rPr>
          <w:szCs w:val="26"/>
        </w:rPr>
        <w:t>Under this Rule, a court shall restrict public access “if it finds by clear and convincing evidence that the presumption of allowing public access is outweighed by a higher interest after considering” certain factors.</w:t>
      </w:r>
      <w:r>
        <w:rPr>
          <w:rStyle w:val="EndnoteReference"/>
          <w:szCs w:val="26"/>
        </w:rPr>
        <w:endnoteReference w:id="732"/>
      </w:r>
      <w:r>
        <w:rPr>
          <w:szCs w:val="26"/>
        </w:rPr>
        <w:t xml:space="preserve">  The </w:t>
      </w:r>
      <w:r w:rsidR="00FF2782">
        <w:rPr>
          <w:szCs w:val="26"/>
        </w:rPr>
        <w:t>court should consider</w:t>
      </w:r>
      <w:r>
        <w:rPr>
          <w:szCs w:val="26"/>
        </w:rPr>
        <w:t xml:space="preserve"> whether public policy is served by restricting access, whether there is a law that exempts the record from public access, and whether there is a risk of injury or other harm if the record is public.</w:t>
      </w:r>
      <w:r>
        <w:rPr>
          <w:rStyle w:val="EndnoteReference"/>
          <w:szCs w:val="26"/>
        </w:rPr>
        <w:endnoteReference w:id="733"/>
      </w:r>
      <w:r>
        <w:rPr>
          <w:szCs w:val="26"/>
        </w:rPr>
        <w:t xml:space="preserve">  </w:t>
      </w:r>
    </w:p>
    <w:p w14:paraId="28C15356" w14:textId="77777777" w:rsidR="00857518" w:rsidRDefault="00857518" w:rsidP="00857518">
      <w:pPr>
        <w:spacing w:line="220" w:lineRule="exact"/>
        <w:ind w:left="360"/>
        <w:jc w:val="both"/>
        <w:rPr>
          <w:szCs w:val="26"/>
        </w:rPr>
      </w:pPr>
    </w:p>
    <w:p w14:paraId="1BA6E0F0" w14:textId="77777777" w:rsidR="00857518" w:rsidRDefault="00857518" w:rsidP="00857518">
      <w:pPr>
        <w:spacing w:line="220" w:lineRule="exact"/>
        <w:ind w:left="360"/>
        <w:jc w:val="both"/>
        <w:rPr>
          <w:szCs w:val="26"/>
        </w:rPr>
      </w:pPr>
      <w:r>
        <w:rPr>
          <w:szCs w:val="26"/>
        </w:rPr>
        <w:t>Further, when a court restricts public access, it must use “the least restrictive means available.”</w:t>
      </w:r>
      <w:r>
        <w:rPr>
          <w:rStyle w:val="EndnoteReference"/>
          <w:szCs w:val="26"/>
        </w:rPr>
        <w:endnoteReference w:id="734"/>
      </w:r>
      <w:r>
        <w:rPr>
          <w:szCs w:val="26"/>
        </w:rPr>
        <w:t xml:space="preserve">  The Supreme Court of Ohio has ordered courts to unseal records after finding that there was not clear and convincing evidence to warrant restricting access,</w:t>
      </w:r>
      <w:r>
        <w:rPr>
          <w:rStyle w:val="EndnoteReference"/>
        </w:rPr>
        <w:endnoteReference w:id="735"/>
      </w:r>
      <w:r>
        <w:rPr>
          <w:szCs w:val="26"/>
        </w:rPr>
        <w:t xml:space="preserve"> or if the court failed to use the least restrictive means to do so.</w:t>
      </w:r>
      <w:r>
        <w:rPr>
          <w:rStyle w:val="EndnoteReference"/>
          <w:szCs w:val="26"/>
        </w:rPr>
        <w:endnoteReference w:id="736"/>
      </w:r>
    </w:p>
    <w:p w14:paraId="0B474283" w14:textId="77777777" w:rsidR="00056CCE" w:rsidRDefault="00056CCE" w:rsidP="00857518">
      <w:pPr>
        <w:spacing w:line="220" w:lineRule="exact"/>
        <w:ind w:left="360"/>
        <w:jc w:val="both"/>
        <w:rPr>
          <w:szCs w:val="26"/>
        </w:rPr>
      </w:pPr>
    </w:p>
    <w:p w14:paraId="3169EF92" w14:textId="55481B1D" w:rsidR="00857518" w:rsidRDefault="00FF2782" w:rsidP="00322085">
      <w:pPr>
        <w:pStyle w:val="Heading3"/>
      </w:pPr>
      <w:bookmarkStart w:id="515" w:name="_Toc159851579"/>
      <w:r>
        <w:t>6</w:t>
      </w:r>
      <w:r w:rsidR="00857518">
        <w:t>.</w:t>
      </w:r>
      <w:r w:rsidR="00857518">
        <w:tab/>
        <w:t>General court records retention</w:t>
      </w:r>
      <w:bookmarkEnd w:id="515"/>
    </w:p>
    <w:p w14:paraId="48188137" w14:textId="77777777" w:rsidR="00857518" w:rsidRDefault="00857518" w:rsidP="00857518">
      <w:pPr>
        <w:spacing w:line="220" w:lineRule="exact"/>
        <w:ind w:left="360"/>
        <w:jc w:val="both"/>
        <w:rPr>
          <w:szCs w:val="26"/>
        </w:rPr>
      </w:pPr>
      <w:r>
        <w:rPr>
          <w:szCs w:val="26"/>
        </w:rPr>
        <w:t>Specific Rules of Superintendence provide the rules and procedures for courts’ retention of records.  Sup.R. 26 governs Court Records Management and Retention, and Sup.R. 26.01 through 26.05 set records retention schedules for each type of court.</w:t>
      </w:r>
    </w:p>
    <w:p w14:paraId="6F21F843" w14:textId="77777777" w:rsidR="00857518" w:rsidRDefault="00857518" w:rsidP="00857518">
      <w:pPr>
        <w:spacing w:line="220" w:lineRule="exact"/>
        <w:ind w:left="360"/>
        <w:jc w:val="both"/>
        <w:rPr>
          <w:szCs w:val="26"/>
        </w:rPr>
      </w:pPr>
    </w:p>
    <w:p w14:paraId="378A3BE4" w14:textId="77C044E3" w:rsidR="00857518" w:rsidRPr="00345637" w:rsidRDefault="00FF2782" w:rsidP="00322085">
      <w:pPr>
        <w:pStyle w:val="Heading2"/>
      </w:pPr>
      <w:bookmarkStart w:id="516" w:name="_Toc159851580"/>
      <w:r>
        <w:t>C</w:t>
      </w:r>
      <w:r w:rsidR="00857518" w:rsidRPr="00345637">
        <w:t>.</w:t>
      </w:r>
      <w:r w:rsidR="00857518" w:rsidRPr="00345637">
        <w:tab/>
        <w:t xml:space="preserve">HIPAA </w:t>
      </w:r>
      <w:r w:rsidR="00857518">
        <w:t>and</w:t>
      </w:r>
      <w:r w:rsidR="00857518" w:rsidRPr="00345637">
        <w:t xml:space="preserve"> HITECH</w:t>
      </w:r>
      <w:bookmarkEnd w:id="516"/>
    </w:p>
    <w:p w14:paraId="4D287A90" w14:textId="0F7E5160" w:rsidR="00857518" w:rsidRDefault="00857518" w:rsidP="00857518">
      <w:pPr>
        <w:spacing w:line="220" w:lineRule="exact"/>
        <w:ind w:left="360"/>
        <w:jc w:val="both"/>
        <w:rPr>
          <w:szCs w:val="26"/>
        </w:rPr>
      </w:pPr>
      <w:r>
        <w:rPr>
          <w:szCs w:val="26"/>
        </w:rPr>
        <w:t>The Health Insurance Portability and Accountability Act (“HIPAA”) governs the privacy of individual health records.  Among the regulations written to implement HIPAA was the “Privacy Rule,” which is a collection of federal regulations seeking to maintain the confidentiality of individually identifiable health information</w:t>
      </w:r>
      <w:r w:rsidR="00E12499">
        <w:rPr>
          <w:szCs w:val="26"/>
        </w:rPr>
        <w:t>.</w:t>
      </w:r>
      <w:r w:rsidR="00E12499">
        <w:rPr>
          <w:rStyle w:val="EndnoteReference"/>
          <w:szCs w:val="26"/>
        </w:rPr>
        <w:endnoteReference w:id="737"/>
      </w:r>
    </w:p>
    <w:p w14:paraId="24F2C3E6" w14:textId="77777777" w:rsidR="00857518" w:rsidRDefault="00857518" w:rsidP="00857518">
      <w:pPr>
        <w:spacing w:line="220" w:lineRule="exact"/>
        <w:ind w:left="360"/>
        <w:jc w:val="both"/>
        <w:rPr>
          <w:szCs w:val="26"/>
        </w:rPr>
      </w:pPr>
    </w:p>
    <w:p w14:paraId="10522360" w14:textId="22C5A9C1" w:rsidR="00857518" w:rsidRDefault="00857518" w:rsidP="00857518">
      <w:pPr>
        <w:spacing w:line="220" w:lineRule="exact"/>
        <w:ind w:left="360"/>
        <w:jc w:val="both"/>
        <w:rPr>
          <w:szCs w:val="26"/>
        </w:rPr>
      </w:pPr>
      <w:r>
        <w:rPr>
          <w:szCs w:val="26"/>
        </w:rPr>
        <w:t>The Health Information Technology Economic Clinical Health Act (“HITECH”) addresses the privacy and security concerns associated with the electronic transmission of health information and materially affects the privacy and security of protected health information</w:t>
      </w:r>
      <w:r w:rsidR="00E12499">
        <w:rPr>
          <w:szCs w:val="26"/>
        </w:rPr>
        <w:t>.</w:t>
      </w:r>
      <w:r w:rsidR="00E12499">
        <w:rPr>
          <w:rStyle w:val="EndnoteReference"/>
          <w:szCs w:val="26"/>
        </w:rPr>
        <w:endnoteReference w:id="738"/>
      </w:r>
      <w:r w:rsidR="00E12499">
        <w:rPr>
          <w:szCs w:val="26"/>
        </w:rPr>
        <w:t xml:space="preserve"> </w:t>
      </w:r>
      <w:r>
        <w:rPr>
          <w:szCs w:val="26"/>
        </w:rPr>
        <w:t xml:space="preserve"> For some public offices, the Privacy Rule and HITECH affect the </w:t>
      </w:r>
      <w:r w:rsidR="0035301A">
        <w:rPr>
          <w:szCs w:val="26"/>
        </w:rPr>
        <w:t>way</w:t>
      </w:r>
      <w:r>
        <w:rPr>
          <w:szCs w:val="26"/>
        </w:rPr>
        <w:t xml:space="preserve"> they respond to public records requests.  Amendments to HIPAA and HITECH are reflected in the </w:t>
      </w:r>
      <w:r>
        <w:rPr>
          <w:i/>
          <w:szCs w:val="26"/>
        </w:rPr>
        <w:t>Federal Register</w:t>
      </w:r>
      <w:r>
        <w:rPr>
          <w:szCs w:val="26"/>
        </w:rPr>
        <w:t xml:space="preserve"> publication, “Modifications to the HIPAA Privacy, Security, Enforcement, and Breach Notification Rules,” 78 Fed. Reg. 5565 (Jan. 25, 2013) (codified at 45 C.F.R. §§ 160 and 164).</w:t>
      </w:r>
    </w:p>
    <w:p w14:paraId="4E59347A" w14:textId="77777777" w:rsidR="00056CCE" w:rsidRDefault="00056CCE" w:rsidP="00857518">
      <w:pPr>
        <w:spacing w:line="220" w:lineRule="exact"/>
        <w:ind w:left="360"/>
        <w:jc w:val="both"/>
        <w:rPr>
          <w:szCs w:val="26"/>
        </w:rPr>
      </w:pPr>
    </w:p>
    <w:p w14:paraId="3A23E507" w14:textId="77777777" w:rsidR="00857518" w:rsidRDefault="00857518" w:rsidP="00322085">
      <w:pPr>
        <w:pStyle w:val="Heading3"/>
      </w:pPr>
      <w:bookmarkStart w:id="517" w:name="_Toc159851581"/>
      <w:r>
        <w:t>1.</w:t>
      </w:r>
      <w:r>
        <w:tab/>
        <w:t>HIPAA definitions</w:t>
      </w:r>
      <w:bookmarkEnd w:id="517"/>
    </w:p>
    <w:p w14:paraId="0E161E81" w14:textId="2F44CE45" w:rsidR="00857518" w:rsidRDefault="00857518" w:rsidP="00857518">
      <w:pPr>
        <w:spacing w:line="220" w:lineRule="exact"/>
        <w:ind w:left="360"/>
        <w:jc w:val="both"/>
        <w:rPr>
          <w:szCs w:val="26"/>
        </w:rPr>
      </w:pPr>
      <w:r>
        <w:rPr>
          <w:szCs w:val="26"/>
        </w:rPr>
        <w:t>The Privacy Rule protects all individually identifiable health information, which is called “protected health information” or “PHI.</w:t>
      </w:r>
      <w:r w:rsidR="00E12499">
        <w:rPr>
          <w:szCs w:val="26"/>
        </w:rPr>
        <w:t>”</w:t>
      </w:r>
      <w:r w:rsidR="00E12499">
        <w:rPr>
          <w:rStyle w:val="EndnoteReference"/>
          <w:szCs w:val="26"/>
        </w:rPr>
        <w:endnoteReference w:id="739"/>
      </w:r>
      <w:r>
        <w:rPr>
          <w:szCs w:val="26"/>
        </w:rPr>
        <w:t xml:space="preserve">  PHI is information that could reasonably lead to the identification of an individual, either by itself or in combination with other reasonably available information</w:t>
      </w:r>
      <w:r w:rsidR="00E12499">
        <w:rPr>
          <w:szCs w:val="26"/>
        </w:rPr>
        <w:t>.</w:t>
      </w:r>
      <w:r w:rsidR="00E12499">
        <w:rPr>
          <w:rStyle w:val="EndnoteReference"/>
          <w:szCs w:val="26"/>
        </w:rPr>
        <w:endnoteReference w:id="740"/>
      </w:r>
      <w:r>
        <w:rPr>
          <w:szCs w:val="26"/>
        </w:rPr>
        <w:t xml:space="preserve">  The HIPAA regulations apply to the three “covered entities</w:t>
      </w:r>
      <w:r w:rsidR="00E12499">
        <w:rPr>
          <w:szCs w:val="26"/>
        </w:rPr>
        <w:t>”</w:t>
      </w:r>
      <w:r w:rsidR="00E12499">
        <w:rPr>
          <w:rStyle w:val="EndnoteReference"/>
          <w:szCs w:val="26"/>
        </w:rPr>
        <w:endnoteReference w:id="741"/>
      </w:r>
      <w:r>
        <w:rPr>
          <w:szCs w:val="26"/>
        </w:rPr>
        <w:t xml:space="preserve"> listed below:</w:t>
      </w:r>
    </w:p>
    <w:p w14:paraId="019CEFFE" w14:textId="77777777" w:rsidR="00857518" w:rsidRDefault="00857518" w:rsidP="00857518">
      <w:pPr>
        <w:spacing w:line="220" w:lineRule="exact"/>
        <w:ind w:left="360"/>
        <w:jc w:val="both"/>
        <w:rPr>
          <w:szCs w:val="26"/>
        </w:rPr>
      </w:pPr>
    </w:p>
    <w:p w14:paraId="7CAF8E6E" w14:textId="1A31669F" w:rsidR="00857518" w:rsidRDefault="00857518" w:rsidP="0035301A">
      <w:pPr>
        <w:numPr>
          <w:ilvl w:val="0"/>
          <w:numId w:val="12"/>
        </w:numPr>
        <w:spacing w:after="120" w:line="220" w:lineRule="exact"/>
        <w:ind w:left="1440"/>
        <w:jc w:val="both"/>
        <w:rPr>
          <w:szCs w:val="26"/>
        </w:rPr>
      </w:pPr>
      <w:r>
        <w:rPr>
          <w:b/>
          <w:szCs w:val="26"/>
        </w:rPr>
        <w:t>Healthcare provider</w:t>
      </w:r>
      <w:r>
        <w:rPr>
          <w:szCs w:val="26"/>
        </w:rPr>
        <w:t>: any entity providing mental or health services that electronically transmits health information for any financial or administrative purpose subject to HIPAA.</w:t>
      </w:r>
    </w:p>
    <w:p w14:paraId="75F803C6" w14:textId="4B191FFB" w:rsidR="00857518" w:rsidRDefault="00857518" w:rsidP="0035301A">
      <w:pPr>
        <w:numPr>
          <w:ilvl w:val="0"/>
          <w:numId w:val="12"/>
        </w:numPr>
        <w:spacing w:after="120" w:line="220" w:lineRule="exact"/>
        <w:ind w:left="1440"/>
        <w:jc w:val="both"/>
        <w:rPr>
          <w:szCs w:val="26"/>
        </w:rPr>
      </w:pPr>
      <w:r>
        <w:rPr>
          <w:b/>
          <w:szCs w:val="26"/>
        </w:rPr>
        <w:t>A health plan</w:t>
      </w:r>
      <w:r>
        <w:rPr>
          <w:szCs w:val="26"/>
        </w:rPr>
        <w:t>: an individual or group plan that provides or pays the cost of medical care, such as an HMO.</w:t>
      </w:r>
    </w:p>
    <w:p w14:paraId="46B5CB60" w14:textId="0EFEA664" w:rsidR="00857518" w:rsidRDefault="00857518" w:rsidP="0035301A">
      <w:pPr>
        <w:numPr>
          <w:ilvl w:val="0"/>
          <w:numId w:val="12"/>
        </w:numPr>
        <w:spacing w:line="220" w:lineRule="exact"/>
        <w:ind w:left="1440"/>
        <w:jc w:val="both"/>
        <w:rPr>
          <w:szCs w:val="26"/>
        </w:rPr>
      </w:pPr>
      <w:r>
        <w:rPr>
          <w:b/>
          <w:szCs w:val="26"/>
        </w:rPr>
        <w:lastRenderedPageBreak/>
        <w:t>Health care clearinghouse</w:t>
      </w:r>
      <w:r>
        <w:rPr>
          <w:szCs w:val="26"/>
        </w:rPr>
        <w:t>: any entity that processes health information from one format into another for particular purposes, such as a billing service.</w:t>
      </w:r>
    </w:p>
    <w:p w14:paraId="4747F2DF" w14:textId="77777777" w:rsidR="00857518" w:rsidRDefault="00857518" w:rsidP="00857518">
      <w:pPr>
        <w:spacing w:line="220" w:lineRule="exact"/>
        <w:ind w:left="360"/>
        <w:jc w:val="both"/>
        <w:rPr>
          <w:szCs w:val="26"/>
        </w:rPr>
      </w:pPr>
    </w:p>
    <w:p w14:paraId="2E3D3C6A" w14:textId="3A688B3E" w:rsidR="00857518" w:rsidRDefault="0035301A" w:rsidP="00857518">
      <w:pPr>
        <w:spacing w:line="220" w:lineRule="exact"/>
        <w:ind w:left="360"/>
        <w:jc w:val="both"/>
        <w:rPr>
          <w:szCs w:val="26"/>
        </w:rPr>
      </w:pPr>
      <w:r>
        <w:rPr>
          <w:szCs w:val="26"/>
        </w:rPr>
        <w:t>Consult l</w:t>
      </w:r>
      <w:r w:rsidR="00857518">
        <w:rPr>
          <w:szCs w:val="26"/>
        </w:rPr>
        <w:t>egal counsel if there is uncertainty about whether a particular public office is a “covered entity” or “business associate” of a covered entity, for purposes of HIPAA.</w:t>
      </w:r>
    </w:p>
    <w:p w14:paraId="237DA111" w14:textId="77777777" w:rsidR="00056CCE" w:rsidRDefault="00056CCE" w:rsidP="00857518">
      <w:pPr>
        <w:spacing w:line="220" w:lineRule="exact"/>
        <w:ind w:left="360"/>
        <w:jc w:val="both"/>
        <w:rPr>
          <w:szCs w:val="26"/>
        </w:rPr>
      </w:pPr>
    </w:p>
    <w:p w14:paraId="7E437B75" w14:textId="0B426295" w:rsidR="00857518" w:rsidRDefault="00857518" w:rsidP="00322085">
      <w:pPr>
        <w:pStyle w:val="Heading3"/>
      </w:pPr>
      <w:bookmarkStart w:id="518" w:name="_Toc159851582"/>
      <w:r>
        <w:t>2.</w:t>
      </w:r>
      <w:r>
        <w:tab/>
        <w:t xml:space="preserve">HIPAA does not apply when Ohio Public Records Act requires </w:t>
      </w:r>
      <w:r w:rsidR="00056CCE">
        <w:tab/>
      </w:r>
      <w:r w:rsidR="00056CCE">
        <w:tab/>
      </w:r>
      <w:r w:rsidR="00056CCE">
        <w:tab/>
      </w:r>
      <w:r>
        <w:t>release</w:t>
      </w:r>
      <w:bookmarkEnd w:id="518"/>
    </w:p>
    <w:p w14:paraId="7DE4263F" w14:textId="3279F02A" w:rsidR="00857518" w:rsidRDefault="00857518" w:rsidP="00857518">
      <w:pPr>
        <w:spacing w:line="220" w:lineRule="exact"/>
        <w:ind w:left="360"/>
        <w:jc w:val="both"/>
        <w:rPr>
          <w:szCs w:val="26"/>
        </w:rPr>
      </w:pPr>
      <w:r>
        <w:rPr>
          <w:szCs w:val="26"/>
        </w:rPr>
        <w:t>The Privacy Rule permits a covered entity to use and disclose protected health information as required by other law, including state law</w:t>
      </w:r>
      <w:r w:rsidR="00E12499">
        <w:rPr>
          <w:szCs w:val="26"/>
        </w:rPr>
        <w:t>.</w:t>
      </w:r>
      <w:r w:rsidR="00E12499">
        <w:rPr>
          <w:rStyle w:val="EndnoteReference"/>
          <w:szCs w:val="26"/>
        </w:rPr>
        <w:endnoteReference w:id="742"/>
      </w:r>
      <w:r w:rsidR="00E12499">
        <w:rPr>
          <w:szCs w:val="26"/>
        </w:rPr>
        <w:t xml:space="preserve"> </w:t>
      </w:r>
      <w:r>
        <w:rPr>
          <w:szCs w:val="26"/>
        </w:rPr>
        <w:t xml:space="preserve"> For this purpose, note that the Public Records Act only mandates disclosure when no other exemption applies.</w:t>
      </w:r>
    </w:p>
    <w:p w14:paraId="349C2AB6" w14:textId="77777777" w:rsidR="00857518" w:rsidRDefault="00857518" w:rsidP="00857518">
      <w:pPr>
        <w:spacing w:line="220" w:lineRule="exact"/>
        <w:ind w:left="360"/>
        <w:jc w:val="both"/>
        <w:rPr>
          <w:szCs w:val="26"/>
        </w:rPr>
      </w:pPr>
    </w:p>
    <w:p w14:paraId="59716E8B" w14:textId="2F4262E1" w:rsidR="00857518" w:rsidRDefault="00857518" w:rsidP="00AD4A47">
      <w:pPr>
        <w:spacing w:line="220" w:lineRule="exact"/>
        <w:ind w:left="360"/>
        <w:jc w:val="both"/>
        <w:rPr>
          <w:szCs w:val="26"/>
        </w:rPr>
      </w:pPr>
      <w:r>
        <w:rPr>
          <w:szCs w:val="26"/>
        </w:rPr>
        <w:t>This means that when the public records law only permits, but does not mandate, the disclosure of protected health information, such disclosures are not “required by law” and would not fall within the Privacy Rule.  For example, if state public records law includes an exemption that gives a state agency discretion not to disclose medica</w:t>
      </w:r>
      <w:r w:rsidR="00B827C8">
        <w:rPr>
          <w:szCs w:val="26"/>
        </w:rPr>
        <w:t>l</w:t>
      </w:r>
      <w:r w:rsidR="00B827C8">
        <w:rPr>
          <w:rStyle w:val="EndnoteReference"/>
          <w:szCs w:val="26"/>
        </w:rPr>
        <w:endnoteReference w:id="743"/>
      </w:r>
      <w:r>
        <w:rPr>
          <w:szCs w:val="26"/>
        </w:rPr>
        <w:t xml:space="preserve"> or other information, the disclosure of such records is not required by the public records law; and therefore, the Privacy Rule would cover those records</w:t>
      </w:r>
      <w:r w:rsidR="00B827C8">
        <w:rPr>
          <w:szCs w:val="26"/>
        </w:rPr>
        <w:t>.</w:t>
      </w:r>
      <w:r w:rsidR="00B827C8">
        <w:rPr>
          <w:rStyle w:val="EndnoteReference"/>
          <w:szCs w:val="26"/>
        </w:rPr>
        <w:endnoteReference w:id="744"/>
      </w:r>
      <w:r>
        <w:rPr>
          <w:szCs w:val="26"/>
        </w:rPr>
        <w:t xml:space="preserve">  In such cases, a covered entity only would be able to make the disclosure if permitted by another provision of the Privacy Rule.  The Supreme Court of Ohio has held that HIP</w:t>
      </w:r>
      <w:r w:rsidR="00FF2782">
        <w:rPr>
          <w:szCs w:val="26"/>
        </w:rPr>
        <w:t>A</w:t>
      </w:r>
      <w:r>
        <w:rPr>
          <w:szCs w:val="26"/>
        </w:rPr>
        <w:t>A did not supersede state disclosure requirements, even if requested records contained protected health information.</w:t>
      </w:r>
      <w:r>
        <w:rPr>
          <w:rStyle w:val="EndnoteReference"/>
          <w:szCs w:val="26"/>
        </w:rPr>
        <w:endnoteReference w:id="745"/>
      </w:r>
      <w:r>
        <w:rPr>
          <w:szCs w:val="26"/>
        </w:rPr>
        <w:t xml:space="preserve">  Specifically, the Supreme Court held that “[a] review of HIPAA reveals a ‘required by law’ exception to the prohibition against disclosure of protected health information.  With respect to this position, Section 164.512(a)(1), Title 45, C.F.R., provides, ‘A covered entity may … disclose protected health information to the extent that such … disclosure is </w:t>
      </w:r>
      <w:r>
        <w:rPr>
          <w:i/>
          <w:szCs w:val="26"/>
        </w:rPr>
        <w:t>required</w:t>
      </w:r>
      <w:r>
        <w:rPr>
          <w:szCs w:val="26"/>
        </w:rPr>
        <w:t xml:space="preserve"> by law[.]’”</w:t>
      </w:r>
      <w:r>
        <w:rPr>
          <w:rStyle w:val="EndnoteReference"/>
          <w:szCs w:val="26"/>
        </w:rPr>
        <w:endnoteReference w:id="746"/>
      </w:r>
      <w:r>
        <w:rPr>
          <w:szCs w:val="26"/>
        </w:rPr>
        <w:t xml:space="preserve">  However, the “Public Records Act requires disclosure of records unless the disclosure or release is prohibited by federal law.”</w:t>
      </w:r>
      <w:r>
        <w:rPr>
          <w:rStyle w:val="EndnoteReference"/>
        </w:rPr>
        <w:endnoteReference w:id="747"/>
      </w:r>
      <w:r>
        <w:rPr>
          <w:szCs w:val="26"/>
        </w:rPr>
        <w:t xml:space="preserve">  While the court found the interaction of the federal and state law somewhat “circular,” the Court resolved it in favor of disclosure under the Public Records Act.</w:t>
      </w:r>
      <w:r>
        <w:rPr>
          <w:rStyle w:val="EndnoteReference"/>
        </w:rPr>
        <w:endnoteReference w:id="748"/>
      </w:r>
    </w:p>
    <w:p w14:paraId="6FAAA1C9" w14:textId="7F3D5C91" w:rsidR="00857518" w:rsidRPr="00805230" w:rsidRDefault="00FF2782" w:rsidP="00322085">
      <w:pPr>
        <w:pStyle w:val="Heading2"/>
      </w:pPr>
      <w:bookmarkStart w:id="519" w:name="_Toc159851583"/>
      <w:r>
        <w:t>D</w:t>
      </w:r>
      <w:r w:rsidR="00857518" w:rsidRPr="00805230">
        <w:t>.</w:t>
      </w:r>
      <w:r w:rsidR="00857518" w:rsidRPr="00805230">
        <w:tab/>
        <w:t>Ohio Personal Information Systems Act</w:t>
      </w:r>
      <w:bookmarkEnd w:id="519"/>
    </w:p>
    <w:p w14:paraId="000D8D51" w14:textId="77777777" w:rsidR="00857518" w:rsidRDefault="00857518" w:rsidP="00AD4A47">
      <w:pPr>
        <w:spacing w:line="220" w:lineRule="exact"/>
        <w:ind w:left="360"/>
        <w:jc w:val="both"/>
      </w:pPr>
      <w:r>
        <w:t>Ohio’s Personal Information Systems Act (PISA) generally regulates the maintenance and use of personal information systems (collections of information that describe individuals) by state and local agencies.</w:t>
      </w:r>
      <w:r>
        <w:rPr>
          <w:rStyle w:val="EndnoteReference"/>
        </w:rPr>
        <w:endnoteReference w:id="749"/>
      </w:r>
      <w:r>
        <w:t xml:space="preserve">  PISA applies to those items to which the Public Records Act does not apply—that is, records that have been determined to be non-public, and items and information that are not “records” as defined by the Public Records Act.</w:t>
      </w:r>
      <w:r>
        <w:rPr>
          <w:rStyle w:val="EndnoteReference"/>
        </w:rPr>
        <w:endnoteReference w:id="750"/>
      </w:r>
      <w:r>
        <w:t xml:space="preserve">  </w:t>
      </w:r>
    </w:p>
    <w:p w14:paraId="22F3021E" w14:textId="77777777" w:rsidR="00857518" w:rsidRDefault="00857518" w:rsidP="00857518">
      <w:pPr>
        <w:spacing w:line="220" w:lineRule="exact"/>
        <w:ind w:left="360" w:right="720"/>
        <w:jc w:val="both"/>
      </w:pPr>
    </w:p>
    <w:p w14:paraId="5FA4FA63" w14:textId="6E8FA853" w:rsidR="00857518" w:rsidRDefault="00857518" w:rsidP="00AD4A47">
      <w:pPr>
        <w:spacing w:line="220" w:lineRule="exact"/>
        <w:ind w:left="360"/>
        <w:jc w:val="both"/>
      </w:pPr>
      <w:r>
        <w:t xml:space="preserve">Note:  Because PISA concerns the treatment of non-records and non-public records, it is not set out in </w:t>
      </w:r>
      <w:r w:rsidR="00AD4A47">
        <w:t>detail</w:t>
      </w:r>
      <w:r>
        <w:t xml:space="preserve"> in this Sunshine Laws Manual.  Public offices should consult with their legal counsel for further guidance about this law.</w:t>
      </w:r>
    </w:p>
    <w:p w14:paraId="57268600" w14:textId="77777777" w:rsidR="00857518" w:rsidRDefault="00857518" w:rsidP="00857518">
      <w:pPr>
        <w:spacing w:line="220" w:lineRule="exact"/>
        <w:ind w:left="360"/>
        <w:jc w:val="both"/>
      </w:pPr>
    </w:p>
    <w:p w14:paraId="7BEF8643" w14:textId="77777777" w:rsidR="00857518" w:rsidRDefault="00857518" w:rsidP="00857518">
      <w:pPr>
        <w:spacing w:line="220" w:lineRule="exact"/>
        <w:ind w:left="360"/>
        <w:jc w:val="both"/>
      </w:pPr>
      <w:r>
        <w:t>The General Assembly has made clear that PISA is not designed to deprive the public of otherwise public information by incorporating the following provisions with respect to the Public Records and Open Meetings Acts:</w:t>
      </w:r>
    </w:p>
    <w:p w14:paraId="2EFEB77F" w14:textId="77777777" w:rsidR="00857518" w:rsidRDefault="00857518" w:rsidP="00857518">
      <w:pPr>
        <w:spacing w:line="220" w:lineRule="exact"/>
        <w:jc w:val="both"/>
      </w:pPr>
    </w:p>
    <w:p w14:paraId="7CD2400D" w14:textId="74876E3E" w:rsidR="00857518" w:rsidRDefault="00857518" w:rsidP="0035301A">
      <w:pPr>
        <w:numPr>
          <w:ilvl w:val="0"/>
          <w:numId w:val="35"/>
        </w:numPr>
        <w:spacing w:line="220" w:lineRule="exact"/>
        <w:ind w:left="1440"/>
        <w:jc w:val="both"/>
      </w:pPr>
      <w:r>
        <w:t xml:space="preserve">State and local agencies whose </w:t>
      </w:r>
      <w:r w:rsidR="00FF2782">
        <w:t>principal</w:t>
      </w:r>
      <w:r>
        <w:t xml:space="preserve"> activities are to enforce the criminal laws are exempt from PISA.</w:t>
      </w:r>
      <w:r>
        <w:rPr>
          <w:rStyle w:val="EndnoteReference"/>
        </w:rPr>
        <w:endnoteReference w:id="751"/>
      </w:r>
    </w:p>
    <w:p w14:paraId="28F0266A" w14:textId="77777777" w:rsidR="00857518" w:rsidRDefault="00857518" w:rsidP="0035301A">
      <w:pPr>
        <w:spacing w:line="220" w:lineRule="exact"/>
        <w:ind w:left="1440"/>
        <w:jc w:val="both"/>
      </w:pPr>
    </w:p>
    <w:p w14:paraId="1FFE755F" w14:textId="77777777" w:rsidR="00857518" w:rsidRDefault="00857518" w:rsidP="0035301A">
      <w:pPr>
        <w:numPr>
          <w:ilvl w:val="0"/>
          <w:numId w:val="30"/>
        </w:numPr>
        <w:spacing w:line="220" w:lineRule="exact"/>
        <w:jc w:val="both"/>
      </w:pPr>
      <w:r>
        <w:t>“The provisions of this chapter shall not be construed to prohibit the release of public records, or the disclosure of personal information in public records, as defined in [the Public Records Act], or to authorize a public body to hold an executive session for the discussion of personal information if the executive session is not authorized under division (G) of [the Open Meetings Act].”</w:t>
      </w:r>
      <w:r>
        <w:rPr>
          <w:rStyle w:val="EndnoteReference"/>
        </w:rPr>
        <w:endnoteReference w:id="752"/>
      </w:r>
    </w:p>
    <w:p w14:paraId="7FE96E36" w14:textId="77777777" w:rsidR="00857518" w:rsidRDefault="00857518" w:rsidP="0035301A">
      <w:pPr>
        <w:spacing w:line="220" w:lineRule="exact"/>
        <w:ind w:left="1440"/>
        <w:jc w:val="both"/>
      </w:pPr>
    </w:p>
    <w:p w14:paraId="3936105E" w14:textId="77777777" w:rsidR="00857518" w:rsidRDefault="00857518" w:rsidP="0035301A">
      <w:pPr>
        <w:numPr>
          <w:ilvl w:val="0"/>
          <w:numId w:val="30"/>
        </w:numPr>
        <w:spacing w:line="220" w:lineRule="exact"/>
        <w:jc w:val="both"/>
      </w:pPr>
      <w:r>
        <w:lastRenderedPageBreak/>
        <w:t>“The disclosure to members of the general public of personal information contained in a public record, as defined in [the Public Records Act], is not an improper use of personal information under this chapter.”</w:t>
      </w:r>
      <w:r>
        <w:rPr>
          <w:rStyle w:val="EndnoteReference"/>
        </w:rPr>
        <w:endnoteReference w:id="753"/>
      </w:r>
    </w:p>
    <w:p w14:paraId="6A1EBEA3" w14:textId="77777777" w:rsidR="00857518" w:rsidRDefault="00857518" w:rsidP="0035301A">
      <w:pPr>
        <w:spacing w:line="220" w:lineRule="exact"/>
        <w:ind w:left="1440"/>
        <w:jc w:val="both"/>
      </w:pPr>
    </w:p>
    <w:p w14:paraId="388460E9" w14:textId="77777777" w:rsidR="00857518" w:rsidRDefault="00857518" w:rsidP="0035301A">
      <w:pPr>
        <w:numPr>
          <w:ilvl w:val="0"/>
          <w:numId w:val="30"/>
        </w:numPr>
        <w:spacing w:line="220" w:lineRule="exact"/>
        <w:jc w:val="both"/>
      </w:pPr>
      <w:r>
        <w:t xml:space="preserve">As used in the PISA, “‘confidential personal information’ means personal information that is </w:t>
      </w:r>
      <w:r w:rsidRPr="0035301A">
        <w:rPr>
          <w:bCs/>
          <w:i/>
          <w:iCs/>
        </w:rPr>
        <w:t>not</w:t>
      </w:r>
      <w:r>
        <w:t xml:space="preserve"> a public record for purposes of [the Public Records Act].”</w:t>
      </w:r>
      <w:r>
        <w:rPr>
          <w:rStyle w:val="EndnoteReference"/>
        </w:rPr>
        <w:endnoteReference w:id="754"/>
      </w:r>
    </w:p>
    <w:p w14:paraId="4986A17C" w14:textId="77777777" w:rsidR="00857518" w:rsidRDefault="00857518" w:rsidP="00857518">
      <w:pPr>
        <w:spacing w:line="220" w:lineRule="exact"/>
        <w:ind w:left="720" w:right="720"/>
        <w:jc w:val="both"/>
      </w:pPr>
    </w:p>
    <w:p w14:paraId="617EB29B" w14:textId="2449077D" w:rsidR="00857518" w:rsidRDefault="00857518" w:rsidP="00056CCE">
      <w:pPr>
        <w:pStyle w:val="Heading3"/>
      </w:pPr>
      <w:bookmarkStart w:id="520" w:name="_Toc159851584"/>
      <w:r w:rsidRPr="00C47522">
        <w:t>1.</w:t>
      </w:r>
      <w:r w:rsidRPr="00C47522">
        <w:tab/>
        <w:t>Definitions that apply to the information covered by PISA</w:t>
      </w:r>
      <w:bookmarkEnd w:id="520"/>
    </w:p>
    <w:p w14:paraId="5496C9E9" w14:textId="77777777" w:rsidR="00857518" w:rsidRDefault="00857518" w:rsidP="00857518">
      <w:pPr>
        <w:spacing w:line="220" w:lineRule="exact"/>
        <w:ind w:left="360" w:right="720"/>
        <w:jc w:val="both"/>
      </w:pPr>
      <w:r>
        <w:t>“Personal information” under PISA means any information that:</w:t>
      </w:r>
    </w:p>
    <w:p w14:paraId="37CCD52C" w14:textId="77777777" w:rsidR="00857518" w:rsidRDefault="00857518" w:rsidP="00857518">
      <w:pPr>
        <w:spacing w:line="220" w:lineRule="exact"/>
        <w:ind w:right="720"/>
        <w:jc w:val="both"/>
      </w:pPr>
    </w:p>
    <w:p w14:paraId="481AD78B" w14:textId="77777777" w:rsidR="00857518" w:rsidRPr="00C47522" w:rsidRDefault="00857518" w:rsidP="0035301A">
      <w:pPr>
        <w:numPr>
          <w:ilvl w:val="0"/>
          <w:numId w:val="31"/>
        </w:numPr>
        <w:spacing w:after="120" w:line="220" w:lineRule="exact"/>
        <w:ind w:left="1440" w:right="720"/>
        <w:jc w:val="both"/>
      </w:pPr>
      <w:r>
        <w:t xml:space="preserve">Describes anything about a person; </w:t>
      </w:r>
      <w:r w:rsidRPr="00C47522">
        <w:t>or</w:t>
      </w:r>
    </w:p>
    <w:p w14:paraId="48CBD22D" w14:textId="77777777" w:rsidR="00857518" w:rsidRPr="00C47522" w:rsidRDefault="00857518" w:rsidP="0035301A">
      <w:pPr>
        <w:numPr>
          <w:ilvl w:val="0"/>
          <w:numId w:val="31"/>
        </w:numPr>
        <w:spacing w:after="120" w:line="220" w:lineRule="exact"/>
        <w:ind w:left="1440" w:right="720"/>
        <w:jc w:val="both"/>
      </w:pPr>
      <w:r w:rsidRPr="00C47522">
        <w:t>Indicates actions done by or to a person; or</w:t>
      </w:r>
    </w:p>
    <w:p w14:paraId="4E4AEAA7" w14:textId="77777777" w:rsidR="00857518" w:rsidRPr="00C47522" w:rsidRDefault="00857518" w:rsidP="0035301A">
      <w:pPr>
        <w:numPr>
          <w:ilvl w:val="0"/>
          <w:numId w:val="31"/>
        </w:numPr>
        <w:spacing w:after="120" w:line="220" w:lineRule="exact"/>
        <w:ind w:left="1440" w:right="720"/>
        <w:jc w:val="both"/>
      </w:pPr>
      <w:r w:rsidRPr="00C47522">
        <w:t>Indicates that a person possesses certain personal characteristics; and</w:t>
      </w:r>
    </w:p>
    <w:p w14:paraId="2B18EE7F" w14:textId="77777777" w:rsidR="00857518" w:rsidRDefault="00857518" w:rsidP="0035301A">
      <w:pPr>
        <w:numPr>
          <w:ilvl w:val="0"/>
          <w:numId w:val="31"/>
        </w:numPr>
        <w:spacing w:line="220" w:lineRule="exact"/>
        <w:ind w:left="1440" w:right="720"/>
        <w:jc w:val="both"/>
      </w:pPr>
      <w:r>
        <w:t>Contains, and can be retrieved from a system by, a name, identifying number, symbol, or other identifier assigned to a person.</w:t>
      </w:r>
      <w:r>
        <w:rPr>
          <w:rStyle w:val="EndnoteReference"/>
        </w:rPr>
        <w:endnoteReference w:id="755"/>
      </w:r>
    </w:p>
    <w:p w14:paraId="76825234" w14:textId="77777777" w:rsidR="00857518" w:rsidRDefault="00857518" w:rsidP="00857518">
      <w:pPr>
        <w:spacing w:line="220" w:lineRule="exact"/>
        <w:ind w:right="720"/>
        <w:jc w:val="both"/>
      </w:pPr>
    </w:p>
    <w:p w14:paraId="00988D74" w14:textId="77777777" w:rsidR="00857518" w:rsidRDefault="00857518" w:rsidP="00857518">
      <w:pPr>
        <w:spacing w:line="220" w:lineRule="exact"/>
        <w:ind w:left="360" w:right="720"/>
        <w:jc w:val="both"/>
      </w:pPr>
      <w:r>
        <w:t xml:space="preserve">“’Confidential personal information’ means personal information that is </w:t>
      </w:r>
      <w:r w:rsidRPr="00C47522">
        <w:rPr>
          <w:i/>
        </w:rPr>
        <w:t>not</w:t>
      </w:r>
      <w:r>
        <w:t xml:space="preserve"> a public record for purposes of [the Public Records Act].”</w:t>
      </w:r>
      <w:r>
        <w:rPr>
          <w:rStyle w:val="EndnoteReference"/>
        </w:rPr>
        <w:endnoteReference w:id="756"/>
      </w:r>
    </w:p>
    <w:p w14:paraId="777758A7" w14:textId="77777777" w:rsidR="00857518" w:rsidRDefault="00857518" w:rsidP="00857518">
      <w:pPr>
        <w:spacing w:line="220" w:lineRule="exact"/>
        <w:ind w:right="720"/>
        <w:jc w:val="both"/>
      </w:pPr>
    </w:p>
    <w:p w14:paraId="389103BE" w14:textId="77777777" w:rsidR="00857518" w:rsidRDefault="00857518" w:rsidP="00857518">
      <w:pPr>
        <w:spacing w:line="220" w:lineRule="exact"/>
        <w:ind w:left="360" w:right="720"/>
        <w:jc w:val="both"/>
      </w:pPr>
      <w:r>
        <w:t>A personal information “system” is:</w:t>
      </w:r>
    </w:p>
    <w:p w14:paraId="2E4965D1" w14:textId="77777777" w:rsidR="00857518" w:rsidRDefault="00857518" w:rsidP="00857518">
      <w:pPr>
        <w:spacing w:line="220" w:lineRule="exact"/>
        <w:ind w:right="720"/>
        <w:jc w:val="both"/>
      </w:pPr>
    </w:p>
    <w:p w14:paraId="50D3DBF1" w14:textId="77777777" w:rsidR="00857518" w:rsidRPr="00C47522" w:rsidRDefault="00857518" w:rsidP="0035301A">
      <w:pPr>
        <w:numPr>
          <w:ilvl w:val="0"/>
          <w:numId w:val="32"/>
        </w:numPr>
        <w:spacing w:after="120" w:line="220" w:lineRule="exact"/>
        <w:ind w:left="1440" w:right="720"/>
        <w:jc w:val="both"/>
      </w:pPr>
      <w:r>
        <w:t>Any collection or group of related records that are kept in an organized manner and maintained by a state or local agency</w:t>
      </w:r>
      <w:r w:rsidRPr="00C47522">
        <w:t>; and</w:t>
      </w:r>
    </w:p>
    <w:p w14:paraId="6AA97E4C" w14:textId="77777777" w:rsidR="00857518" w:rsidRPr="00C47522" w:rsidRDefault="00857518" w:rsidP="0035301A">
      <w:pPr>
        <w:numPr>
          <w:ilvl w:val="0"/>
          <w:numId w:val="32"/>
        </w:numPr>
        <w:spacing w:after="120" w:line="220" w:lineRule="exact"/>
        <w:ind w:left="1440" w:right="720"/>
        <w:jc w:val="both"/>
      </w:pPr>
      <w:r w:rsidRPr="00C47522">
        <w:t>From which personal information is retrieved by the name of the person or by some identifying number, symbol, or other identifier assigned to the person; including</w:t>
      </w:r>
    </w:p>
    <w:p w14:paraId="035F09F9" w14:textId="77777777" w:rsidR="00857518" w:rsidRPr="00C47522" w:rsidRDefault="00857518" w:rsidP="0035301A">
      <w:pPr>
        <w:numPr>
          <w:ilvl w:val="0"/>
          <w:numId w:val="32"/>
        </w:numPr>
        <w:spacing w:line="220" w:lineRule="exact"/>
        <w:ind w:left="1440" w:right="720"/>
        <w:jc w:val="both"/>
      </w:pPr>
      <w:r w:rsidRPr="00C47522">
        <w:t>Records that are stored manually and electronically.</w:t>
      </w:r>
      <w:r w:rsidRPr="00C47522">
        <w:rPr>
          <w:rStyle w:val="EndnoteReference"/>
        </w:rPr>
        <w:endnoteReference w:id="757"/>
      </w:r>
    </w:p>
    <w:p w14:paraId="700E3932" w14:textId="77777777" w:rsidR="00857518" w:rsidRDefault="00857518" w:rsidP="00857518">
      <w:pPr>
        <w:spacing w:line="220" w:lineRule="exact"/>
        <w:ind w:right="720"/>
        <w:jc w:val="both"/>
      </w:pPr>
    </w:p>
    <w:p w14:paraId="6CB525A7" w14:textId="77777777" w:rsidR="00857518" w:rsidRDefault="00857518" w:rsidP="00857518">
      <w:pPr>
        <w:spacing w:line="220" w:lineRule="exact"/>
        <w:ind w:left="360" w:right="720"/>
        <w:jc w:val="both"/>
      </w:pPr>
      <w:r>
        <w:t>The following are not “systems” for purposes of PISA:</w:t>
      </w:r>
    </w:p>
    <w:p w14:paraId="7C72667C" w14:textId="77777777" w:rsidR="00857518" w:rsidRDefault="00857518" w:rsidP="00857518">
      <w:pPr>
        <w:spacing w:line="220" w:lineRule="exact"/>
        <w:ind w:right="720"/>
        <w:jc w:val="both"/>
      </w:pPr>
    </w:p>
    <w:p w14:paraId="4BD295C3" w14:textId="77777777" w:rsidR="00857518" w:rsidRDefault="00857518" w:rsidP="0035301A">
      <w:pPr>
        <w:numPr>
          <w:ilvl w:val="0"/>
          <w:numId w:val="33"/>
        </w:numPr>
        <w:spacing w:after="120" w:line="220" w:lineRule="exact"/>
        <w:ind w:left="1440" w:right="720"/>
        <w:jc w:val="both"/>
      </w:pPr>
      <w:r>
        <w:t>Collected archival records in the custody of or administered under the authority of the Ohio History Connection;</w:t>
      </w:r>
    </w:p>
    <w:p w14:paraId="68C83746" w14:textId="77777777" w:rsidR="00857518" w:rsidRDefault="00857518" w:rsidP="0035301A">
      <w:pPr>
        <w:numPr>
          <w:ilvl w:val="0"/>
          <w:numId w:val="33"/>
        </w:numPr>
        <w:spacing w:after="120" w:line="220" w:lineRule="exact"/>
        <w:ind w:left="1440" w:right="720"/>
        <w:jc w:val="both"/>
      </w:pPr>
      <w:r>
        <w:t>Published directories, reference materials, or newsletters; or</w:t>
      </w:r>
    </w:p>
    <w:p w14:paraId="63FD65AC" w14:textId="77777777" w:rsidR="00857518" w:rsidRDefault="00857518" w:rsidP="0035301A">
      <w:pPr>
        <w:numPr>
          <w:ilvl w:val="0"/>
          <w:numId w:val="33"/>
        </w:numPr>
        <w:spacing w:line="220" w:lineRule="exact"/>
        <w:ind w:left="1440" w:right="720"/>
        <w:jc w:val="both"/>
      </w:pPr>
      <w:r>
        <w:t>Routine information that is maintained for the purpose of internal office administration, the use of which would not adversely affect a person.</w:t>
      </w:r>
      <w:r>
        <w:rPr>
          <w:rStyle w:val="EndnoteReference"/>
        </w:rPr>
        <w:endnoteReference w:id="758"/>
      </w:r>
    </w:p>
    <w:p w14:paraId="0B32713F" w14:textId="77777777" w:rsidR="00857518" w:rsidRDefault="00857518" w:rsidP="00857518">
      <w:pPr>
        <w:spacing w:line="220" w:lineRule="exact"/>
        <w:ind w:left="720" w:right="720"/>
        <w:jc w:val="both"/>
      </w:pPr>
    </w:p>
    <w:p w14:paraId="292F37BC" w14:textId="77777777" w:rsidR="00857518" w:rsidRDefault="00857518" w:rsidP="00857518">
      <w:pPr>
        <w:spacing w:line="220" w:lineRule="exact"/>
        <w:ind w:left="360" w:right="720"/>
        <w:jc w:val="both"/>
      </w:pPr>
      <w:r>
        <w:t>PISA generally requires accurate maintenance and prompt deletion of inaccurate personal information from “personal information systems” maintained by public offices, and protects personal information from unauthorized dissemination.</w:t>
      </w:r>
      <w:r>
        <w:rPr>
          <w:rStyle w:val="EndnoteReference"/>
        </w:rPr>
        <w:endnoteReference w:id="759"/>
      </w:r>
      <w:r>
        <w:t xml:space="preserve">  Based on provisions added to the law in 2009, state agencies</w:t>
      </w:r>
      <w:r>
        <w:rPr>
          <w:rStyle w:val="EndnoteReference"/>
        </w:rPr>
        <w:endnoteReference w:id="760"/>
      </w:r>
      <w:r>
        <w:t xml:space="preserve"> must adopt rules under Chapter 119 of the Revised Code regulating access to confidential personal information the agency keeps, whether electronically or on paper.</w:t>
      </w:r>
      <w:r>
        <w:rPr>
          <w:rStyle w:val="EndnoteReference"/>
        </w:rPr>
        <w:endnoteReference w:id="761"/>
      </w:r>
      <w:r>
        <w:t xml:space="preserve">  No person shall knowingly access “confidential personal information” in violation of these rules,</w:t>
      </w:r>
      <w:r>
        <w:rPr>
          <w:rStyle w:val="EndnoteReference"/>
        </w:rPr>
        <w:endnoteReference w:id="762"/>
      </w:r>
      <w:r>
        <w:t xml:space="preserve"> and no person shall knowingly use or disclose “confidential personal information” in a manner prohibited by law.</w:t>
      </w:r>
      <w:r>
        <w:rPr>
          <w:rStyle w:val="EndnoteReference"/>
        </w:rPr>
        <w:endnoteReference w:id="763"/>
      </w:r>
      <w:r>
        <w:t xml:space="preserve">  A state agency may not employ persons who have violated access, use, or disclosure laws regarding confidential personal information.</w:t>
      </w:r>
      <w:r>
        <w:rPr>
          <w:rStyle w:val="EndnoteReference"/>
        </w:rPr>
        <w:endnoteReference w:id="764"/>
      </w:r>
      <w:r>
        <w:t xml:space="preserve">  In general, state and local agencies must “[t]ake reasonable precautions to protect personal information in the system from unauthorized modification, destruction, use, or disclosure.”</w:t>
      </w:r>
      <w:r>
        <w:rPr>
          <w:rStyle w:val="EndnoteReference"/>
        </w:rPr>
        <w:endnoteReference w:id="765"/>
      </w:r>
    </w:p>
    <w:p w14:paraId="1379E378" w14:textId="77777777" w:rsidR="00857518" w:rsidRDefault="00857518" w:rsidP="00857518">
      <w:pPr>
        <w:spacing w:line="220" w:lineRule="exact"/>
        <w:ind w:right="720"/>
        <w:jc w:val="both"/>
      </w:pPr>
    </w:p>
    <w:p w14:paraId="4163A025" w14:textId="77777777" w:rsidR="00056CCE" w:rsidRDefault="00056CCE" w:rsidP="00857518">
      <w:pPr>
        <w:spacing w:line="220" w:lineRule="exact"/>
        <w:ind w:right="720"/>
        <w:jc w:val="both"/>
      </w:pPr>
    </w:p>
    <w:p w14:paraId="26A77BA7" w14:textId="0CCCB504" w:rsidR="00857518" w:rsidRDefault="00857518" w:rsidP="00056CCE">
      <w:pPr>
        <w:pStyle w:val="Heading3"/>
      </w:pPr>
      <w:bookmarkStart w:id="521" w:name="_Toc159851585"/>
      <w:r>
        <w:lastRenderedPageBreak/>
        <w:t>2.</w:t>
      </w:r>
      <w:r>
        <w:tab/>
      </w:r>
      <w:r w:rsidRPr="00C47522">
        <w:t xml:space="preserve">Sanctions for </w:t>
      </w:r>
      <w:r>
        <w:t>v</w:t>
      </w:r>
      <w:r w:rsidRPr="00C47522">
        <w:t>iolations of PISA</w:t>
      </w:r>
      <w:bookmarkEnd w:id="521"/>
    </w:p>
    <w:p w14:paraId="023F88FE" w14:textId="77777777" w:rsidR="00857518" w:rsidRDefault="00857518" w:rsidP="00857518">
      <w:pPr>
        <w:spacing w:line="220" w:lineRule="exact"/>
        <w:ind w:left="360" w:right="720"/>
        <w:jc w:val="both"/>
      </w:pPr>
      <w:r>
        <w:t>The enforcement provisions of PISA can include injunctive relief, civil damages, and/or criminal penalties, depending on the nature of the violation(s).</w:t>
      </w:r>
      <w:r>
        <w:rPr>
          <w:rStyle w:val="EndnoteReference"/>
        </w:rPr>
        <w:endnoteReference w:id="766"/>
      </w:r>
    </w:p>
    <w:p w14:paraId="5A772B26" w14:textId="77777777" w:rsidR="00857518" w:rsidRDefault="00857518" w:rsidP="00857518">
      <w:pPr>
        <w:spacing w:line="220" w:lineRule="exact"/>
        <w:ind w:left="360" w:right="720"/>
        <w:jc w:val="both"/>
      </w:pPr>
    </w:p>
    <w:p w14:paraId="16BB7B00" w14:textId="77777777" w:rsidR="004B7E2A" w:rsidRDefault="00857518" w:rsidP="004B7E2A">
      <w:pPr>
        <w:spacing w:line="220" w:lineRule="exact"/>
        <w:ind w:right="720"/>
        <w:jc w:val="both"/>
        <w:rPr>
          <w:szCs w:val="26"/>
        </w:rPr>
        <w:sectPr w:rsidR="004B7E2A" w:rsidSect="00AF6868">
          <w:headerReference w:type="default" r:id="rId50"/>
          <w:endnotePr>
            <w:numFmt w:val="decimal"/>
          </w:endnotePr>
          <w:pgSz w:w="12240" w:h="15840"/>
          <w:pgMar w:top="1440" w:right="1440" w:bottom="1440" w:left="1440" w:header="720" w:footer="210" w:gutter="0"/>
          <w:cols w:space="720"/>
          <w:docGrid w:linePitch="360"/>
        </w:sectPr>
      </w:pPr>
      <w:r>
        <w:rPr>
          <w:szCs w:val="26"/>
        </w:rPr>
        <w:br w:type="page"/>
      </w:r>
      <w:r>
        <w:rPr>
          <w:szCs w:val="26"/>
        </w:rPr>
        <w:lastRenderedPageBreak/>
        <w:t>Notes:</w:t>
      </w:r>
      <w:bookmarkEnd w:id="509"/>
    </w:p>
    <w:p w14:paraId="45F1B585" w14:textId="38830DF6" w:rsidR="00681BA7" w:rsidRPr="00E864C3" w:rsidRDefault="004B7E2A" w:rsidP="004B7E2A">
      <w:pPr>
        <w:pStyle w:val="Heading1"/>
      </w:pPr>
      <w:bookmarkStart w:id="522" w:name="_Toc159851586"/>
      <w:r>
        <w:lastRenderedPageBreak/>
        <w:t>VI</w:t>
      </w:r>
      <w:r w:rsidR="00681BA7" w:rsidRPr="00E864C3">
        <w:t>.</w:t>
      </w:r>
      <w:r w:rsidR="00681BA7" w:rsidRPr="00E864C3">
        <w:tab/>
        <w:t xml:space="preserve">Chapter </w:t>
      </w:r>
      <w:r>
        <w:t>Six: Enforcement and Liabilities</w:t>
      </w:r>
      <w:bookmarkEnd w:id="522"/>
    </w:p>
    <w:p w14:paraId="64CD7C91" w14:textId="7E64EC69" w:rsidR="00681BA7" w:rsidRDefault="00681BA7">
      <w:pPr>
        <w:spacing w:line="220" w:lineRule="exact"/>
        <w:jc w:val="both"/>
      </w:pPr>
      <w:r>
        <w:t xml:space="preserve">The Public Records Act is a “self-help” statute.  This means that a person who believes that the Act has been violated must independently pursue a remedy, rather than ask a public official (such as the Ohio Attorney General) to initiate legal action on his or her behalf.  If a public office or person responsible for public records fails to produce requested records, or otherwise fails to comply with the requirements of division (B) of the Public Records Act, the requester can file a lawsuit to 1) seek a writ of </w:t>
      </w:r>
      <w:r w:rsidRPr="00EF1C47">
        <w:t>mandamus</w:t>
      </w:r>
      <w:r>
        <w:t xml:space="preserve"> to enforce compliance and 2)</w:t>
      </w:r>
      <w:r w:rsidR="009959E1">
        <w:t xml:space="preserve"> </w:t>
      </w:r>
      <w:r>
        <w:t>apply for various sanctions.  Alternatively, the requester may file a complaint in the Court of Claims</w:t>
      </w:r>
      <w:r w:rsidR="002C4636">
        <w:t>, where there is a special statutory procedure for public records cases.</w:t>
      </w:r>
      <w:r>
        <w:t xml:space="preserve"> </w:t>
      </w:r>
    </w:p>
    <w:p w14:paraId="3A30C1EF" w14:textId="77777777" w:rsidR="00681BA7" w:rsidRDefault="00681BA7">
      <w:pPr>
        <w:spacing w:line="220" w:lineRule="exact"/>
        <w:jc w:val="both"/>
      </w:pPr>
    </w:p>
    <w:p w14:paraId="0A5120EE" w14:textId="534CCBDC" w:rsidR="002B54ED" w:rsidRDefault="00681BA7">
      <w:pPr>
        <w:spacing w:line="220" w:lineRule="exact"/>
        <w:jc w:val="both"/>
      </w:pPr>
      <w:r>
        <w:t xml:space="preserve">This </w:t>
      </w:r>
      <w:r w:rsidR="008D4246">
        <w:t>Chapter</w:t>
      </w:r>
      <w:r>
        <w:t xml:space="preserve"> discusses the basic aspects of both a mandamus suit and the Court of Claims procedure, along with the types of relief available.</w:t>
      </w:r>
    </w:p>
    <w:p w14:paraId="61AC83C0" w14:textId="5D65667B" w:rsidR="00681BA7" w:rsidRDefault="00681BA7" w:rsidP="00322085">
      <w:pPr>
        <w:pStyle w:val="Heading2"/>
      </w:pPr>
      <w:bookmarkStart w:id="523" w:name="_Toc159851587"/>
      <w:r w:rsidRPr="00345637">
        <w:t>A.</w:t>
      </w:r>
      <w:r w:rsidRPr="00345637">
        <w:tab/>
        <w:t>Mandamus Lawsuit</w:t>
      </w:r>
      <w:bookmarkEnd w:id="523"/>
    </w:p>
    <w:p w14:paraId="324738B0" w14:textId="00D6CD82" w:rsidR="00681BA7" w:rsidRDefault="00681BA7" w:rsidP="00322085">
      <w:pPr>
        <w:pStyle w:val="Heading3"/>
      </w:pPr>
      <w:bookmarkStart w:id="524" w:name="_Toc159851588"/>
      <w:r>
        <w:t>1.</w:t>
      </w:r>
      <w:r>
        <w:tab/>
        <w:t>Parties</w:t>
      </w:r>
      <w:bookmarkEnd w:id="524"/>
    </w:p>
    <w:p w14:paraId="71568CE7" w14:textId="74662A38" w:rsidR="00681BA7" w:rsidRDefault="00681BA7">
      <w:pPr>
        <w:spacing w:line="220" w:lineRule="exact"/>
        <w:ind w:left="360"/>
        <w:jc w:val="both"/>
      </w:pPr>
      <w:r>
        <w:t>A person allegedly “aggrieved by” a public office’s failure to comply with division (B) of the Public Records Act may file an action in mandamus</w:t>
      </w:r>
      <w:r>
        <w:rPr>
          <w:rStyle w:val="EndnoteReference"/>
        </w:rPr>
        <w:endnoteReference w:id="767"/>
      </w:r>
      <w:r>
        <w:t xml:space="preserve"> against the public office or any person responsible for the office’s public records.</w:t>
      </w:r>
      <w:r>
        <w:rPr>
          <w:rStyle w:val="EndnoteReference"/>
        </w:rPr>
        <w:endnoteReference w:id="768"/>
      </w:r>
      <w:r>
        <w:t xml:space="preserve">  A person may file a public records mandamus action regardless of pending related actions</w:t>
      </w:r>
      <w:r>
        <w:rPr>
          <w:rStyle w:val="EndnoteReference"/>
        </w:rPr>
        <w:endnoteReference w:id="769"/>
      </w:r>
      <w:r>
        <w:t xml:space="preserve"> but may not seek compliance with a public records request in an action for other types of relief, like an injunction or declaratory judgment.</w:t>
      </w:r>
      <w:r>
        <w:rPr>
          <w:rStyle w:val="EndnoteReference"/>
        </w:rPr>
        <w:endnoteReference w:id="770"/>
      </w:r>
      <w:r>
        <w:t xml:space="preserve">  </w:t>
      </w:r>
      <w:r w:rsidR="009959E1">
        <w:t>The person who files the suit is called the “relator,” and the named public office or person responsible for the records is called the “respondent.”</w:t>
      </w:r>
      <w:r w:rsidR="00EF1C47">
        <w:t xml:space="preserve"> </w:t>
      </w:r>
      <w:r w:rsidR="00B7751A">
        <w:t xml:space="preserve"> </w:t>
      </w:r>
      <w:r>
        <w:t xml:space="preserve">A relator can file a mandamus action or </w:t>
      </w:r>
      <w:r w:rsidR="009959E1">
        <w:t xml:space="preserve">use </w:t>
      </w:r>
      <w:r>
        <w:t>the Court of Claims</w:t>
      </w:r>
      <w:r w:rsidR="009959E1">
        <w:t>’ procedure</w:t>
      </w:r>
      <w:r>
        <w:t>, but not both.</w:t>
      </w:r>
      <w:r>
        <w:rPr>
          <w:rStyle w:val="EndnoteReference"/>
        </w:rPr>
        <w:endnoteReference w:id="771"/>
      </w:r>
      <w:r>
        <w:t xml:space="preserve">  </w:t>
      </w:r>
    </w:p>
    <w:p w14:paraId="4EFB8075" w14:textId="77777777" w:rsidR="006338B3" w:rsidRDefault="006338B3">
      <w:pPr>
        <w:spacing w:line="220" w:lineRule="exact"/>
        <w:ind w:left="360"/>
        <w:jc w:val="both"/>
      </w:pPr>
    </w:p>
    <w:p w14:paraId="20687960" w14:textId="5E0073DD" w:rsidR="00681BA7" w:rsidRDefault="00681BA7" w:rsidP="00322085">
      <w:pPr>
        <w:pStyle w:val="Heading3"/>
      </w:pPr>
      <w:bookmarkStart w:id="525" w:name="_Toc159851589"/>
      <w:r>
        <w:t>2.</w:t>
      </w:r>
      <w:r>
        <w:tab/>
        <w:t>Where to file</w:t>
      </w:r>
      <w:bookmarkEnd w:id="525"/>
    </w:p>
    <w:p w14:paraId="63050A4D" w14:textId="218C7EA6" w:rsidR="00681BA7" w:rsidRDefault="00681BA7">
      <w:pPr>
        <w:spacing w:line="220" w:lineRule="exact"/>
        <w:ind w:left="360"/>
        <w:jc w:val="both"/>
      </w:pPr>
      <w:r>
        <w:t>The relator can file the mandamus action in any one of three courts:  the common pleas court of the county where the alleged violation occurred, the court of appeals for the appellate district where the alleged violation occurred, or the Supreme Court</w:t>
      </w:r>
      <w:r w:rsidR="0040318D">
        <w:t xml:space="preserve"> of Ohio</w:t>
      </w:r>
      <w:r>
        <w:t>.</w:t>
      </w:r>
      <w:r>
        <w:rPr>
          <w:rStyle w:val="EndnoteReference"/>
        </w:rPr>
        <w:endnoteReference w:id="772"/>
      </w:r>
      <w:r>
        <w:t xml:space="preserve">  If a relator files in the Supreme Court, the Court may refer the case to mediation counsel for a settlement conference.</w:t>
      </w:r>
      <w:r>
        <w:rPr>
          <w:rStyle w:val="EndnoteReference"/>
        </w:rPr>
        <w:endnoteReference w:id="773"/>
      </w:r>
      <w:r w:rsidR="00162A4D">
        <w:t xml:space="preserve"> </w:t>
      </w:r>
    </w:p>
    <w:p w14:paraId="2ABDC396" w14:textId="77777777" w:rsidR="006338B3" w:rsidRDefault="006338B3">
      <w:pPr>
        <w:spacing w:line="220" w:lineRule="exact"/>
        <w:ind w:left="360"/>
        <w:jc w:val="both"/>
      </w:pPr>
    </w:p>
    <w:p w14:paraId="53690F2D" w14:textId="3ECBCA50" w:rsidR="00681BA7" w:rsidRDefault="00681BA7" w:rsidP="00322085">
      <w:pPr>
        <w:pStyle w:val="Heading3"/>
      </w:pPr>
      <w:bookmarkStart w:id="526" w:name="_Toc159851590"/>
      <w:r>
        <w:t>3.</w:t>
      </w:r>
      <w:r>
        <w:tab/>
        <w:t>When to file</w:t>
      </w:r>
      <w:bookmarkEnd w:id="526"/>
    </w:p>
    <w:p w14:paraId="00781E13" w14:textId="77777777" w:rsidR="00681BA7" w:rsidRDefault="00681BA7">
      <w:pPr>
        <w:spacing w:line="220" w:lineRule="exact"/>
        <w:ind w:left="360"/>
        <w:jc w:val="both"/>
      </w:pPr>
      <w:r>
        <w:t>When an official responsible for records has denied a public records request, no administrative appeal to the official’s supervisor is necessary before filing a mandamus action in court.</w:t>
      </w:r>
      <w:r>
        <w:rPr>
          <w:rStyle w:val="EndnoteReference"/>
        </w:rPr>
        <w:endnoteReference w:id="774"/>
      </w:r>
      <w:r>
        <w:t xml:space="preserve">  The likely statute of limitations for filing a public records mandamus action is within ten years after the cause of action accrues.</w:t>
      </w:r>
      <w:r>
        <w:rPr>
          <w:rStyle w:val="EndnoteReference"/>
        </w:rPr>
        <w:endnoteReference w:id="775"/>
      </w:r>
      <w:r>
        <w:t xml:space="preserve">  However, the defense of laches may apply if the respondent can show that unreasonable and inexcusable delay in asserting a known right caused material prejudice to the respondent.</w:t>
      </w:r>
      <w:r>
        <w:rPr>
          <w:rStyle w:val="EndnoteReference"/>
        </w:rPr>
        <w:endnoteReference w:id="776"/>
      </w:r>
    </w:p>
    <w:p w14:paraId="3D9F3F92" w14:textId="77777777" w:rsidR="006338B3" w:rsidRDefault="006338B3">
      <w:pPr>
        <w:spacing w:line="220" w:lineRule="exact"/>
        <w:ind w:left="360"/>
        <w:jc w:val="both"/>
      </w:pPr>
    </w:p>
    <w:p w14:paraId="1B266186" w14:textId="04727505" w:rsidR="00681BA7" w:rsidRDefault="00681BA7" w:rsidP="00322085">
      <w:pPr>
        <w:pStyle w:val="Heading3"/>
      </w:pPr>
      <w:bookmarkStart w:id="527" w:name="_Toc159851591"/>
      <w:r>
        <w:t>4.</w:t>
      </w:r>
      <w:r>
        <w:tab/>
        <w:t>Discovery</w:t>
      </w:r>
      <w:bookmarkEnd w:id="527"/>
    </w:p>
    <w:p w14:paraId="2A780203" w14:textId="3E157653" w:rsidR="00681BA7" w:rsidRDefault="00681BA7">
      <w:pPr>
        <w:spacing w:after="120" w:line="220" w:lineRule="exact"/>
        <w:ind w:left="360"/>
        <w:jc w:val="both"/>
      </w:pPr>
      <w:r>
        <w:t>In general, the Ohio Rules of Civil Procedure govern discovery in a public records mandamus case, as in any other civil lawsuit.</w:t>
      </w:r>
      <w:r>
        <w:rPr>
          <w:rStyle w:val="EndnoteReference"/>
        </w:rPr>
        <w:endnoteReference w:id="777"/>
      </w:r>
      <w:r>
        <w:t xml:space="preserve">  While discovery procedures are generally designed to ensure the free flow of accessible information,</w:t>
      </w:r>
      <w:r>
        <w:rPr>
          <w:rStyle w:val="EndnoteReference"/>
        </w:rPr>
        <w:endnoteReference w:id="778"/>
      </w:r>
      <w:r>
        <w:t xml:space="preserve"> in a public records case, it is </w:t>
      </w:r>
      <w:r w:rsidR="00162A4D">
        <w:t xml:space="preserve">often </w:t>
      </w:r>
      <w:r>
        <w:t xml:space="preserve">the access to requested records that is in dispute.  Instead of allowing a party to access the withheld records through discovery, the court will usually conduct an </w:t>
      </w:r>
      <w:r>
        <w:rPr>
          <w:i/>
        </w:rPr>
        <w:t>in camera</w:t>
      </w:r>
      <w:r>
        <w:t xml:space="preserve"> inspection of the disputed records.</w:t>
      </w:r>
      <w:r>
        <w:rPr>
          <w:rStyle w:val="EndnoteReference"/>
        </w:rPr>
        <w:endnoteReference w:id="779"/>
      </w:r>
      <w:r>
        <w:t xml:space="preserve">  An </w:t>
      </w:r>
      <w:r>
        <w:rPr>
          <w:i/>
        </w:rPr>
        <w:t>in camera</w:t>
      </w:r>
      <w:r>
        <w:t xml:space="preserve"> inspection allows the court to view the unredacted records in private</w:t>
      </w:r>
      <w:r>
        <w:rPr>
          <w:rStyle w:val="EndnoteReference"/>
        </w:rPr>
        <w:endnoteReference w:id="780"/>
      </w:r>
      <w:r>
        <w:t xml:space="preserve"> to determine whether the claimed exemption was appropriately applied.  Not allowing the relator to view the unredacted records does not violate the relator’s due process rights.</w:t>
      </w:r>
      <w:r>
        <w:rPr>
          <w:rStyle w:val="EndnoteReference"/>
        </w:rPr>
        <w:endnoteReference w:id="781"/>
      </w:r>
      <w:r>
        <w:t xml:space="preserve">  Attorneys are required to prepare a log of the documents subject to the attorney-client privilege in the course of discovery,</w:t>
      </w:r>
      <w:r>
        <w:rPr>
          <w:rStyle w:val="EndnoteReference"/>
        </w:rPr>
        <w:endnoteReference w:id="782"/>
      </w:r>
      <w:r>
        <w:t xml:space="preserve"> but a public office is not required to provide such a log during the initial response to a public records request.</w:t>
      </w:r>
      <w:r>
        <w:rPr>
          <w:rStyle w:val="EndnoteReference"/>
        </w:rPr>
        <w:endnoteReference w:id="783"/>
      </w:r>
      <w:r>
        <w:t xml:space="preserve">  In addition, law enforcement investigatory files sought in discovery may be entitled to a qualified common law privilege.</w:t>
      </w:r>
      <w:r>
        <w:rPr>
          <w:rStyle w:val="EndnoteReference"/>
        </w:rPr>
        <w:endnoteReference w:id="784"/>
      </w:r>
    </w:p>
    <w:p w14:paraId="58F1F223" w14:textId="6F94A1BE" w:rsidR="00681BA7" w:rsidRDefault="00681BA7" w:rsidP="00322085">
      <w:pPr>
        <w:pStyle w:val="Heading3"/>
      </w:pPr>
      <w:bookmarkStart w:id="528" w:name="_Toc159851592"/>
      <w:r>
        <w:lastRenderedPageBreak/>
        <w:t>5.</w:t>
      </w:r>
      <w:r>
        <w:tab/>
        <w:t>Requirements to prevail</w:t>
      </w:r>
      <w:bookmarkEnd w:id="528"/>
    </w:p>
    <w:p w14:paraId="54E2FE05" w14:textId="2CA74112" w:rsidR="00681BA7" w:rsidRDefault="00681BA7">
      <w:pPr>
        <w:spacing w:line="220" w:lineRule="exact"/>
        <w:ind w:left="360"/>
        <w:jc w:val="both"/>
      </w:pPr>
      <w:r>
        <w:t>A person is not entitled to file a mandamus action unless a prior request for records has already been made.</w:t>
      </w:r>
      <w:r>
        <w:rPr>
          <w:rStyle w:val="EndnoteReference"/>
        </w:rPr>
        <w:endnoteReference w:id="785"/>
      </w:r>
      <w:r>
        <w:t xml:space="preserve">  Only those records that were requested from the public office can be litigated in the mandamus action.</w:t>
      </w:r>
      <w:r>
        <w:rPr>
          <w:rStyle w:val="EndnoteReference"/>
        </w:rPr>
        <w:endnoteReference w:id="786"/>
      </w:r>
    </w:p>
    <w:p w14:paraId="2337EB1F" w14:textId="77777777" w:rsidR="00681BA7" w:rsidRDefault="00681BA7">
      <w:pPr>
        <w:spacing w:line="220" w:lineRule="exact"/>
        <w:ind w:left="360"/>
        <w:jc w:val="both"/>
      </w:pPr>
    </w:p>
    <w:p w14:paraId="3343CDEB" w14:textId="63F6E9EF" w:rsidR="00681BA7" w:rsidRDefault="00681BA7">
      <w:pPr>
        <w:spacing w:line="220" w:lineRule="exact"/>
        <w:ind w:left="360"/>
        <w:jc w:val="both"/>
      </w:pPr>
      <w:r>
        <w:t>To be entitled to a writ of mandamus, the relator must prove that he or she has a clear legal right to the requested relief and that the respondent had a clear legal duty to perform the requested act.</w:t>
      </w:r>
      <w:r>
        <w:rPr>
          <w:rStyle w:val="EndnoteReference"/>
        </w:rPr>
        <w:endnoteReference w:id="787"/>
      </w:r>
      <w:r>
        <w:t xml:space="preserve">  In a public records mandamus lawsuit, this usually includes specifying in the mandamus action the records withheld or other failure to comply with R.C. 149.43(B) and showing that, when the requester made the request, he or she specifically described the records being sought.</w:t>
      </w:r>
      <w:r>
        <w:rPr>
          <w:rStyle w:val="EndnoteReference"/>
        </w:rPr>
        <w:endnoteReference w:id="788"/>
      </w:r>
      <w:r w:rsidR="00162A4D">
        <w:t xml:space="preserve"> Unlike most mandamus actions, a relator in a public records mandamus action need not prove the lack of an adequate remedy at law.</w:t>
      </w:r>
      <w:r w:rsidR="00162A4D">
        <w:rPr>
          <w:rStyle w:val="EndnoteReference"/>
        </w:rPr>
        <w:endnoteReference w:id="789"/>
      </w:r>
    </w:p>
    <w:p w14:paraId="4B3F790D" w14:textId="77777777" w:rsidR="00681BA7" w:rsidRDefault="00681BA7">
      <w:pPr>
        <w:spacing w:line="220" w:lineRule="exact"/>
        <w:ind w:left="360"/>
        <w:jc w:val="both"/>
      </w:pPr>
    </w:p>
    <w:p w14:paraId="29256155" w14:textId="2E35E09E" w:rsidR="00184DFF" w:rsidRDefault="00681BA7">
      <w:pPr>
        <w:spacing w:line="220" w:lineRule="exact"/>
        <w:ind w:left="360"/>
        <w:jc w:val="both"/>
      </w:pPr>
      <w:r>
        <w:t>If these requirements are met, the respondent then has the burden of proving in court that any items withheld are exempt from disclosure</w:t>
      </w:r>
      <w:r>
        <w:rPr>
          <w:rStyle w:val="EndnoteReference"/>
        </w:rPr>
        <w:endnoteReference w:id="790"/>
      </w:r>
      <w:r>
        <w:t xml:space="preserve"> and of countering any other alleged violations of R.C. 149.43(B).  In defending the action, the public office may rely on any applicable legal authority for withholding or redacti</w:t>
      </w:r>
      <w:r w:rsidR="007E4D99">
        <w:t>ng</w:t>
      </w:r>
      <w:r>
        <w:t xml:space="preserve">, even if </w:t>
      </w:r>
      <w:r w:rsidR="00162A4D">
        <w:t>the public office did not rely on that authority</w:t>
      </w:r>
      <w:r>
        <w:t xml:space="preserve"> in response to the request.</w:t>
      </w:r>
      <w:r>
        <w:rPr>
          <w:rStyle w:val="EndnoteReference"/>
        </w:rPr>
        <w:endnoteReference w:id="791"/>
      </w:r>
      <w:r>
        <w:t xml:space="preserve">  </w:t>
      </w:r>
      <w:r w:rsidR="00184DFF">
        <w:t xml:space="preserve">Note, though, that a public office cannot claim that a request is ambiguous or overly broad for the first time in litigation. </w:t>
      </w:r>
      <w:r w:rsidR="003438D4">
        <w:t xml:space="preserve"> </w:t>
      </w:r>
      <w:r w:rsidR="00184DFF">
        <w:t>This is because when a public office claims a request is overly broad or ambiguous, a public office is required to give the requester a chance to revise the request by informing the requester of how the office’s records are maintained and accessed</w:t>
      </w:r>
      <w:r w:rsidR="00E411B9">
        <w:t>.</w:t>
      </w:r>
      <w:r w:rsidR="00E411B9">
        <w:rPr>
          <w:rStyle w:val="EndnoteReference"/>
        </w:rPr>
        <w:endnoteReference w:id="792"/>
      </w:r>
    </w:p>
    <w:p w14:paraId="04B116E6" w14:textId="77777777" w:rsidR="00184DFF" w:rsidRDefault="00184DFF">
      <w:pPr>
        <w:spacing w:line="220" w:lineRule="exact"/>
        <w:ind w:left="360"/>
        <w:jc w:val="both"/>
      </w:pPr>
    </w:p>
    <w:p w14:paraId="5D13C8E7" w14:textId="3688EE4D" w:rsidR="00681BA7" w:rsidRDefault="007E4D99">
      <w:pPr>
        <w:spacing w:line="220" w:lineRule="exact"/>
        <w:ind w:left="360"/>
        <w:jc w:val="both"/>
      </w:pPr>
      <w:r>
        <w:t>If necessary, t</w:t>
      </w:r>
      <w:r w:rsidR="00681BA7">
        <w:t xml:space="preserve">he court, will review </w:t>
      </w:r>
      <w:r w:rsidR="00681BA7">
        <w:rPr>
          <w:i/>
        </w:rPr>
        <w:t>in camera</w:t>
      </w:r>
      <w:r w:rsidR="00681BA7">
        <w:t xml:space="preserve"> the materials that were withheld or redacted.</w:t>
      </w:r>
      <w:r w:rsidR="00681BA7">
        <w:rPr>
          <w:rStyle w:val="EndnoteReference"/>
        </w:rPr>
        <w:endnoteReference w:id="793"/>
      </w:r>
      <w:r w:rsidR="00681BA7">
        <w:t xml:space="preserve">  To the extent any doubt or ambiguity exists as </w:t>
      </w:r>
      <w:r w:rsidR="00F56211">
        <w:t>to the applicability of an exemption</w:t>
      </w:r>
      <w:r w:rsidR="00681BA7">
        <w:t>, the public records law will be liberally interpreted in favor of disclosure.</w:t>
      </w:r>
      <w:r w:rsidR="00681BA7">
        <w:rPr>
          <w:rStyle w:val="EndnoteReference"/>
        </w:rPr>
        <w:endnoteReference w:id="794"/>
      </w:r>
    </w:p>
    <w:p w14:paraId="5B0F364F" w14:textId="77777777" w:rsidR="00681BA7" w:rsidRDefault="00681BA7">
      <w:pPr>
        <w:spacing w:line="220" w:lineRule="exact"/>
        <w:ind w:left="360"/>
        <w:jc w:val="both"/>
      </w:pPr>
    </w:p>
    <w:p w14:paraId="71A36038" w14:textId="2A81EA4D" w:rsidR="00681BA7" w:rsidRDefault="00F56211">
      <w:pPr>
        <w:spacing w:line="220" w:lineRule="exact"/>
        <w:ind w:left="360"/>
        <w:jc w:val="both"/>
      </w:pPr>
      <w:r>
        <w:t>N</w:t>
      </w:r>
      <w:r w:rsidR="00681BA7">
        <w:t>ote that if a respondent provides requested records to the relator after the filing of a public records mandamus action, all or part of the case may be rendered moot or concluded.</w:t>
      </w:r>
      <w:r w:rsidR="00681BA7">
        <w:rPr>
          <w:rStyle w:val="EndnoteReference"/>
        </w:rPr>
        <w:endnoteReference w:id="795"/>
      </w:r>
      <w:r w:rsidR="00681BA7">
        <w:t xml:space="preserve">  Even if the case is rendered moot, the relator may still be entitled to statutory damages and attorney fees.</w:t>
      </w:r>
      <w:r w:rsidR="00681BA7">
        <w:rPr>
          <w:rStyle w:val="EndnoteReference"/>
        </w:rPr>
        <w:endnoteReference w:id="796"/>
      </w:r>
      <w:r w:rsidR="00681BA7">
        <w:t xml:space="preserve">  </w:t>
      </w:r>
      <w:r w:rsidR="009959E1">
        <w:t>Further</w:t>
      </w:r>
      <w:r w:rsidR="00681BA7">
        <w:t>, a court may still decide the merits of the case if the issue is capable of repetition yet evading review.</w:t>
      </w:r>
      <w:r w:rsidR="00681BA7">
        <w:rPr>
          <w:rStyle w:val="EndnoteReference"/>
        </w:rPr>
        <w:endnoteReference w:id="797"/>
      </w:r>
    </w:p>
    <w:p w14:paraId="111AB152" w14:textId="77777777" w:rsidR="00E411B9" w:rsidRDefault="00E411B9">
      <w:pPr>
        <w:spacing w:line="220" w:lineRule="exact"/>
        <w:ind w:left="360"/>
        <w:jc w:val="both"/>
      </w:pPr>
    </w:p>
    <w:p w14:paraId="23AF3749" w14:textId="47BC47FB" w:rsidR="00681BA7" w:rsidRDefault="00681BA7" w:rsidP="00322085">
      <w:pPr>
        <w:pStyle w:val="Heading3"/>
      </w:pPr>
      <w:bookmarkStart w:id="529" w:name="_Toc159851593"/>
      <w:r w:rsidRPr="00B430FA">
        <w:t>6.</w:t>
      </w:r>
      <w:r w:rsidRPr="00B430FA">
        <w:tab/>
        <w:t>Liabilities of the public office under the Public Records Act</w:t>
      </w:r>
      <w:bookmarkEnd w:id="529"/>
    </w:p>
    <w:p w14:paraId="13E8B793" w14:textId="7B76E630" w:rsidR="00681BA7" w:rsidRDefault="00F56211" w:rsidP="007E4D99">
      <w:pPr>
        <w:spacing w:line="220" w:lineRule="exact"/>
        <w:ind w:left="360"/>
        <w:jc w:val="both"/>
      </w:pPr>
      <w:r>
        <w:t>I</w:t>
      </w:r>
      <w:r w:rsidR="00681BA7">
        <w:t>f a court determines that the public office or the person responsible for public records failed to comply with an obligation contained in R.C. 149.43(B) and issues a writ of mandamus, the relator shall be entitled to an award of all court costs and may receive an award of attorney fees and/or statutory damages, as detailed below.</w:t>
      </w:r>
      <w:r w:rsidR="00BB1631">
        <w:rPr>
          <w:rStyle w:val="EndnoteReference"/>
        </w:rPr>
        <w:endnoteReference w:id="798"/>
      </w:r>
    </w:p>
    <w:p w14:paraId="34352715" w14:textId="77777777" w:rsidR="006338B3" w:rsidRDefault="006338B3" w:rsidP="007E4D99">
      <w:pPr>
        <w:spacing w:line="220" w:lineRule="exact"/>
        <w:ind w:left="360"/>
        <w:jc w:val="both"/>
      </w:pPr>
    </w:p>
    <w:p w14:paraId="61D743E3" w14:textId="64FD2440" w:rsidR="00681BA7" w:rsidRDefault="00681BA7" w:rsidP="00BD2AE1">
      <w:pPr>
        <w:pStyle w:val="Heading4"/>
      </w:pPr>
      <w:bookmarkStart w:id="530" w:name="_Toc159851594"/>
      <w:r>
        <w:t>a.</w:t>
      </w:r>
      <w:r>
        <w:tab/>
      </w:r>
      <w:r w:rsidR="005A29C8">
        <w:tab/>
      </w:r>
      <w:r>
        <w:t>Attorney fees</w:t>
      </w:r>
      <w:bookmarkEnd w:id="530"/>
    </w:p>
    <w:p w14:paraId="2AC16FC2" w14:textId="0EEF417A" w:rsidR="00E00CA8" w:rsidRDefault="00681BA7" w:rsidP="00E00CA8">
      <w:pPr>
        <w:spacing w:line="220" w:lineRule="exact"/>
        <w:ind w:left="360"/>
        <w:jc w:val="both"/>
      </w:pPr>
      <w:r>
        <w:t>Any award of attorney fees is within the discretion of the court.</w:t>
      </w:r>
      <w:r>
        <w:rPr>
          <w:rStyle w:val="EndnoteReference"/>
        </w:rPr>
        <w:endnoteReference w:id="799"/>
      </w:r>
      <w:r>
        <w:t xml:space="preserve">  </w:t>
      </w:r>
      <w:r w:rsidR="000A4D10">
        <w:t xml:space="preserve">A </w:t>
      </w:r>
      <w:r>
        <w:t xml:space="preserve">court may award reasonable attorney fees to a relator if: </w:t>
      </w:r>
    </w:p>
    <w:p w14:paraId="6262ECCA" w14:textId="77777777" w:rsidR="00E00CA8" w:rsidRDefault="00E00CA8" w:rsidP="00E00CA8">
      <w:pPr>
        <w:spacing w:line="220" w:lineRule="exact"/>
        <w:ind w:left="360"/>
        <w:jc w:val="both"/>
      </w:pPr>
    </w:p>
    <w:p w14:paraId="28008048" w14:textId="0F821B70" w:rsidR="00E00CA8" w:rsidRDefault="00E00CA8" w:rsidP="00E00CA8">
      <w:pPr>
        <w:spacing w:line="220" w:lineRule="exact"/>
        <w:ind w:left="1440" w:hanging="360"/>
        <w:jc w:val="both"/>
      </w:pPr>
      <w:r>
        <w:t>(</w:t>
      </w:r>
      <w:r w:rsidR="00681BA7">
        <w:t>1)</w:t>
      </w:r>
      <w:r>
        <w:tab/>
        <w:t>T</w:t>
      </w:r>
      <w:r w:rsidR="00681BA7">
        <w:t>he court orders the public office to comply with R.C. 149.43(B);</w:t>
      </w:r>
      <w:r w:rsidR="00F56211">
        <w:rPr>
          <w:rStyle w:val="EndnoteReference"/>
        </w:rPr>
        <w:endnoteReference w:id="800"/>
      </w:r>
      <w:r w:rsidR="00681BA7">
        <w:t xml:space="preserve"> </w:t>
      </w:r>
    </w:p>
    <w:p w14:paraId="3C165CDA" w14:textId="77777777" w:rsidR="00E00CA8" w:rsidRDefault="00E00CA8" w:rsidP="00E00CA8">
      <w:pPr>
        <w:spacing w:line="220" w:lineRule="exact"/>
        <w:ind w:left="1440" w:hanging="360"/>
        <w:jc w:val="both"/>
      </w:pPr>
    </w:p>
    <w:p w14:paraId="33112096" w14:textId="03D67D99" w:rsidR="00E00CA8" w:rsidRDefault="00E00CA8" w:rsidP="00E00CA8">
      <w:pPr>
        <w:spacing w:line="220" w:lineRule="exact"/>
        <w:ind w:left="1440" w:hanging="360"/>
        <w:jc w:val="both"/>
      </w:pPr>
      <w:r>
        <w:t>(</w:t>
      </w:r>
      <w:r w:rsidR="00681BA7">
        <w:t>2)</w:t>
      </w:r>
      <w:r>
        <w:tab/>
        <w:t>T</w:t>
      </w:r>
      <w:r w:rsidR="00681BA7">
        <w:t>he court determines that the public office failed to respond affirmatively or negatively to the public records request in accordance with the time allowed under R.C. 149.43(B);</w:t>
      </w:r>
      <w:r w:rsidR="00681BA7">
        <w:rPr>
          <w:rStyle w:val="EndnoteReference"/>
        </w:rPr>
        <w:endnoteReference w:id="801"/>
      </w:r>
      <w:r w:rsidR="00681BA7">
        <w:t xml:space="preserve"> </w:t>
      </w:r>
    </w:p>
    <w:p w14:paraId="4F00FA83" w14:textId="77777777" w:rsidR="00E00CA8" w:rsidRDefault="00E00CA8" w:rsidP="00E00CA8">
      <w:pPr>
        <w:spacing w:line="220" w:lineRule="exact"/>
        <w:ind w:left="1440" w:hanging="360"/>
        <w:jc w:val="both"/>
      </w:pPr>
    </w:p>
    <w:p w14:paraId="31BC3FE5" w14:textId="77777777" w:rsidR="00E00CA8" w:rsidRDefault="00E00CA8" w:rsidP="00E00CA8">
      <w:pPr>
        <w:spacing w:line="220" w:lineRule="exact"/>
        <w:ind w:left="1440" w:hanging="360"/>
        <w:jc w:val="both"/>
      </w:pPr>
      <w:r>
        <w:t>(</w:t>
      </w:r>
      <w:r w:rsidR="00681BA7">
        <w:t xml:space="preserve">3) </w:t>
      </w:r>
      <w:r>
        <w:tab/>
        <w:t>T</w:t>
      </w:r>
      <w:r w:rsidR="00681BA7">
        <w:t>he court determines that the public office promised to permit inspection or deliver copies within a specified period of time but failed to fulfill that promise;</w:t>
      </w:r>
      <w:r w:rsidR="00681BA7">
        <w:rPr>
          <w:rStyle w:val="EndnoteReference"/>
        </w:rPr>
        <w:endnoteReference w:id="802"/>
      </w:r>
      <w:r w:rsidR="00681BA7">
        <w:t xml:space="preserve"> or </w:t>
      </w:r>
    </w:p>
    <w:p w14:paraId="002BA564" w14:textId="77777777" w:rsidR="00E00CA8" w:rsidRDefault="00E00CA8" w:rsidP="00E00CA8">
      <w:pPr>
        <w:spacing w:line="220" w:lineRule="exact"/>
        <w:ind w:left="1440" w:hanging="360"/>
        <w:jc w:val="both"/>
      </w:pPr>
    </w:p>
    <w:p w14:paraId="5E9C3D51" w14:textId="77777777" w:rsidR="00E00CA8" w:rsidRDefault="00E00CA8" w:rsidP="00E00CA8">
      <w:pPr>
        <w:spacing w:line="220" w:lineRule="exact"/>
        <w:ind w:left="1440" w:hanging="360"/>
        <w:jc w:val="both"/>
      </w:pPr>
      <w:r>
        <w:t>(</w:t>
      </w:r>
      <w:r w:rsidR="00681BA7">
        <w:t>4)</w:t>
      </w:r>
      <w:r>
        <w:tab/>
        <w:t>T</w:t>
      </w:r>
      <w:r w:rsidR="00681BA7">
        <w:t>he court determines that the public office acted in bad faith when it voluntarily made the public records available to the relator for the first time after the relator commenced the mandamus action but before the court issued any order.</w:t>
      </w:r>
      <w:r w:rsidR="00681BA7">
        <w:rPr>
          <w:rStyle w:val="EndnoteReference"/>
        </w:rPr>
        <w:endnoteReference w:id="803"/>
      </w:r>
      <w:r w:rsidR="00681BA7">
        <w:t xml:space="preserve">  </w:t>
      </w:r>
    </w:p>
    <w:p w14:paraId="54B44067" w14:textId="77777777" w:rsidR="00E00CA8" w:rsidRDefault="00E00CA8" w:rsidP="00E00CA8">
      <w:pPr>
        <w:spacing w:line="220" w:lineRule="exact"/>
        <w:jc w:val="both"/>
      </w:pPr>
    </w:p>
    <w:p w14:paraId="3EAAA6EA" w14:textId="62A10225" w:rsidR="00681BA7" w:rsidRDefault="00681BA7" w:rsidP="00E00CA8">
      <w:pPr>
        <w:spacing w:line="220" w:lineRule="exact"/>
        <w:ind w:left="360"/>
        <w:jc w:val="both"/>
      </w:pPr>
      <w:r>
        <w:t>In the last scenario, the relator may not conduct discovery on the issue of bad faith and the court may not presume bad faith by the public office.</w:t>
      </w:r>
      <w:r>
        <w:rPr>
          <w:rStyle w:val="EndnoteReference"/>
        </w:rPr>
        <w:endnoteReference w:id="804"/>
      </w:r>
    </w:p>
    <w:p w14:paraId="33D22464" w14:textId="77777777" w:rsidR="000A4D10" w:rsidRDefault="000A4D10">
      <w:pPr>
        <w:spacing w:line="220" w:lineRule="exact"/>
        <w:ind w:left="360"/>
        <w:jc w:val="both"/>
      </w:pPr>
    </w:p>
    <w:p w14:paraId="3EEC4029" w14:textId="3EBDF6A6" w:rsidR="00E00CA8" w:rsidRDefault="002B2620" w:rsidP="002B2620">
      <w:pPr>
        <w:spacing w:line="220" w:lineRule="exact"/>
        <w:ind w:left="360"/>
        <w:jc w:val="both"/>
      </w:pPr>
      <w:r>
        <w:t>An award of fees is considered remedial rather than punitive</w:t>
      </w:r>
      <w:r>
        <w:rPr>
          <w:rStyle w:val="EndnoteReference"/>
        </w:rPr>
        <w:endnoteReference w:id="805"/>
      </w:r>
      <w:r>
        <w:t xml:space="preserve"> and</w:t>
      </w:r>
      <w:r w:rsidR="00E00CA8">
        <w:t xml:space="preserve"> may be reduced or eliminated at the discretion of the court.  </w:t>
      </w:r>
      <w:r>
        <w:t xml:space="preserve">A court may decline to award attorney fees </w:t>
      </w:r>
      <w:r w:rsidR="00786142">
        <w:t>if</w:t>
      </w:r>
      <w:r>
        <w:t xml:space="preserve"> doing so would be disproportionate to the case.</w:t>
      </w:r>
      <w:r w:rsidR="00434F09">
        <w:rPr>
          <w:rStyle w:val="EndnoteReference"/>
        </w:rPr>
        <w:endnoteReference w:id="806"/>
      </w:r>
      <w:r w:rsidR="00434F09">
        <w:t xml:space="preserve"> </w:t>
      </w:r>
      <w:r>
        <w:t xml:space="preserve"> </w:t>
      </w:r>
      <w:r w:rsidR="00E00CA8">
        <w:t xml:space="preserve">A court may also reduce an award of attorney fees if it determines that, given the facts of the </w:t>
      </w:r>
      <w:r w:rsidR="00434F09">
        <w:t>specific</w:t>
      </w:r>
      <w:r w:rsidR="00E00CA8">
        <w:t xml:space="preserve"> case, an alternative means should have been pursued to </w:t>
      </w:r>
      <w:r w:rsidR="004B3626">
        <w:t>resolve the public records dispute more effectively and efficiently</w:t>
      </w:r>
      <w:r w:rsidR="00E00CA8">
        <w:t>.</w:t>
      </w:r>
      <w:r w:rsidR="00E00CA8">
        <w:rPr>
          <w:rStyle w:val="EndnoteReference"/>
        </w:rPr>
        <w:endnoteReference w:id="807"/>
      </w:r>
    </w:p>
    <w:p w14:paraId="6F23792A" w14:textId="77777777" w:rsidR="00E00CA8" w:rsidRDefault="00E00CA8">
      <w:pPr>
        <w:spacing w:line="220" w:lineRule="exact"/>
        <w:ind w:left="360"/>
        <w:jc w:val="both"/>
      </w:pPr>
    </w:p>
    <w:p w14:paraId="69B0E559" w14:textId="271CEACF" w:rsidR="00E00CA8" w:rsidRDefault="00681BA7">
      <w:pPr>
        <w:spacing w:line="220" w:lineRule="exact"/>
        <w:ind w:left="360"/>
        <w:jc w:val="both"/>
      </w:pPr>
      <w:r>
        <w:t>Only those attorney fees directly associated with the mandamus action</w:t>
      </w:r>
      <w:r w:rsidR="00AA576F">
        <w:t xml:space="preserve"> may be awarded.</w:t>
      </w:r>
      <w:r>
        <w:rPr>
          <w:rStyle w:val="EndnoteReference"/>
        </w:rPr>
        <w:endnoteReference w:id="808"/>
      </w:r>
      <w:r>
        <w:t xml:space="preserve"> </w:t>
      </w:r>
      <w:r w:rsidR="00E00CA8">
        <w:t xml:space="preserve"> The relator is entitled to fees only insofar as the requests have merit.</w:t>
      </w:r>
      <w:r w:rsidR="00E00CA8">
        <w:rPr>
          <w:rStyle w:val="EndnoteReference"/>
        </w:rPr>
        <w:endnoteReference w:id="809"/>
      </w:r>
      <w:r w:rsidR="00E00CA8">
        <w:t xml:space="preserve">  Reasonable attorney fees also include reasonable fees incurred to produce proof of the reasonableness and amount of the fees and to otherwise litigate entitlement to the fees.</w:t>
      </w:r>
      <w:r w:rsidR="00E00CA8">
        <w:rPr>
          <w:rStyle w:val="EndnoteReference"/>
        </w:rPr>
        <w:endnoteReference w:id="810"/>
      </w:r>
      <w:r w:rsidR="00E00CA8">
        <w:t xml:space="preserve">  The attorney fees award shall not exceed the fees incurred before the public record was made available to the relator and the reasonable fees incurred to demonstrate entitlement to fees.</w:t>
      </w:r>
      <w:r w:rsidR="00E00CA8">
        <w:rPr>
          <w:rStyle w:val="EndnoteReference"/>
        </w:rPr>
        <w:endnoteReference w:id="811"/>
      </w:r>
      <w:r w:rsidR="00E00CA8">
        <w:t xml:space="preserve">  </w:t>
      </w:r>
    </w:p>
    <w:p w14:paraId="49602B7A" w14:textId="77777777" w:rsidR="00E00CA8" w:rsidRDefault="00E00CA8" w:rsidP="00E00CA8">
      <w:pPr>
        <w:spacing w:line="220" w:lineRule="exact"/>
        <w:jc w:val="both"/>
      </w:pPr>
    </w:p>
    <w:p w14:paraId="1B76E3F7" w14:textId="77777777" w:rsidR="00E00CA8" w:rsidRDefault="00E00CA8" w:rsidP="00E00CA8">
      <w:pPr>
        <w:spacing w:line="220" w:lineRule="exact"/>
        <w:ind w:left="360"/>
        <w:jc w:val="both"/>
      </w:pPr>
      <w:r>
        <w:t xml:space="preserve">A court shall </w:t>
      </w:r>
      <w:r w:rsidRPr="00B001F2">
        <w:rPr>
          <w:i/>
          <w:iCs/>
        </w:rPr>
        <w:t>not</w:t>
      </w:r>
      <w:r>
        <w:t xml:space="preserve"> award any attorney fees if it determines both of the following:</w:t>
      </w:r>
      <w:r>
        <w:rPr>
          <w:rStyle w:val="EndnoteReference"/>
        </w:rPr>
        <w:endnoteReference w:id="812"/>
      </w:r>
    </w:p>
    <w:p w14:paraId="3B143540" w14:textId="77777777" w:rsidR="00E00CA8" w:rsidRDefault="00E00CA8" w:rsidP="00E00CA8">
      <w:pPr>
        <w:spacing w:line="220" w:lineRule="exact"/>
        <w:ind w:left="360"/>
        <w:jc w:val="both"/>
      </w:pPr>
    </w:p>
    <w:p w14:paraId="114BACC6" w14:textId="77777777" w:rsidR="00E00CA8" w:rsidRDefault="00E00CA8" w:rsidP="00E00CA8">
      <w:pPr>
        <w:spacing w:line="220" w:lineRule="exact"/>
        <w:ind w:left="1440" w:hanging="360"/>
        <w:jc w:val="both"/>
      </w:pPr>
      <w:r>
        <w:t>(1)</w:t>
      </w:r>
      <w:r>
        <w:tab/>
        <w:t>Based on the law as it exists at the time, a well-informed person responsible for the requested public records reasonably would have believed that the conduct of the respondent did not constitute a failure to comply with an obligation of R.C. 149.43(B);</w:t>
      </w:r>
      <w:r>
        <w:rPr>
          <w:rStyle w:val="EndnoteReference"/>
        </w:rPr>
        <w:endnoteReference w:id="813"/>
      </w:r>
      <w:r>
        <w:t xml:space="preserve"> </w:t>
      </w:r>
    </w:p>
    <w:p w14:paraId="1F2FD736" w14:textId="77777777" w:rsidR="00E00CA8" w:rsidRDefault="00E00CA8" w:rsidP="00E00CA8">
      <w:pPr>
        <w:spacing w:line="220" w:lineRule="exact"/>
        <w:ind w:left="1440" w:hanging="360"/>
        <w:jc w:val="both"/>
      </w:pPr>
    </w:p>
    <w:p w14:paraId="095FFDB3" w14:textId="77777777" w:rsidR="00E00CA8" w:rsidRDefault="00E00CA8" w:rsidP="00E00CA8">
      <w:pPr>
        <w:spacing w:line="220" w:lineRule="exact"/>
        <w:ind w:left="1440"/>
        <w:jc w:val="both"/>
      </w:pPr>
      <w:r>
        <w:t>and</w:t>
      </w:r>
    </w:p>
    <w:p w14:paraId="42946FA7" w14:textId="77777777" w:rsidR="00E00CA8" w:rsidRDefault="00E00CA8" w:rsidP="00E00CA8">
      <w:pPr>
        <w:spacing w:line="220" w:lineRule="exact"/>
        <w:ind w:left="1440" w:hanging="360"/>
        <w:jc w:val="both"/>
      </w:pPr>
    </w:p>
    <w:p w14:paraId="45AF1391" w14:textId="1E24713F" w:rsidR="00E00CA8" w:rsidRDefault="00E00CA8" w:rsidP="00E00CA8">
      <w:pPr>
        <w:spacing w:line="220" w:lineRule="exact"/>
        <w:ind w:left="1440" w:hanging="360"/>
        <w:jc w:val="both"/>
      </w:pPr>
      <w:r>
        <w:t>(2)</w:t>
      </w:r>
      <w:r>
        <w:tab/>
        <w:t>A well-informed person responsible for the requested public records reasonably would have believed that the conduct of the public office would serve the public policy that underlies the authority that it asserted as permitting that conduct.</w:t>
      </w:r>
      <w:r>
        <w:rPr>
          <w:rStyle w:val="EndnoteReference"/>
        </w:rPr>
        <w:endnoteReference w:id="814"/>
      </w:r>
    </w:p>
    <w:p w14:paraId="0DDAE767" w14:textId="77777777" w:rsidR="00E00CA8" w:rsidRDefault="00E00CA8" w:rsidP="00E00CA8">
      <w:pPr>
        <w:spacing w:line="220" w:lineRule="exact"/>
        <w:jc w:val="both"/>
      </w:pPr>
    </w:p>
    <w:p w14:paraId="6923208F" w14:textId="77777777" w:rsidR="00FD2550" w:rsidRDefault="00FD2550" w:rsidP="00FD2550">
      <w:pPr>
        <w:spacing w:line="220" w:lineRule="exact"/>
        <w:ind w:left="360"/>
        <w:jc w:val="both"/>
      </w:pPr>
      <w:r>
        <w:t xml:space="preserve">The opportunity to collect attorney fees does not apply when the relator appears before the court </w:t>
      </w:r>
      <w:r>
        <w:rPr>
          <w:i/>
        </w:rPr>
        <w:t xml:space="preserve">pro se </w:t>
      </w:r>
      <w:r>
        <w:t xml:space="preserve">(without an attorney), even if the </w:t>
      </w:r>
      <w:r>
        <w:rPr>
          <w:i/>
        </w:rPr>
        <w:t>pro se</w:t>
      </w:r>
      <w:r>
        <w:t xml:space="preserve"> relator is an attorney.</w:t>
      </w:r>
      <w:r>
        <w:rPr>
          <w:rStyle w:val="EndnoteReference"/>
        </w:rPr>
        <w:endnoteReference w:id="815"/>
      </w:r>
      <w:r>
        <w:t xml:space="preserve">  Neither the wages of in-house counsel</w:t>
      </w:r>
      <w:r>
        <w:rPr>
          <w:rStyle w:val="EndnoteReference"/>
        </w:rPr>
        <w:endnoteReference w:id="816"/>
      </w:r>
      <w:r>
        <w:t xml:space="preserve"> nor contingency fees are recoverable.</w:t>
      </w:r>
      <w:r>
        <w:rPr>
          <w:rStyle w:val="EndnoteReference"/>
        </w:rPr>
        <w:endnoteReference w:id="817"/>
      </w:r>
      <w:r>
        <w:t xml:space="preserve">  </w:t>
      </w:r>
    </w:p>
    <w:p w14:paraId="7970265A" w14:textId="77777777" w:rsidR="00FD2550" w:rsidRDefault="00FD2550" w:rsidP="00E00CA8">
      <w:pPr>
        <w:spacing w:line="220" w:lineRule="exact"/>
        <w:ind w:left="360"/>
        <w:jc w:val="both"/>
      </w:pPr>
    </w:p>
    <w:p w14:paraId="76EF4698" w14:textId="1B4677D7" w:rsidR="00E00CA8" w:rsidRDefault="00E00CA8" w:rsidP="00E00CA8">
      <w:pPr>
        <w:spacing w:line="220" w:lineRule="exact"/>
        <w:ind w:left="360"/>
        <w:jc w:val="both"/>
      </w:pPr>
      <w:r>
        <w:t>A relator may waive a claim for attorney fees (and statutory damages) by not including any argument in support of an award of fees in its merit brief.</w:t>
      </w:r>
      <w:r>
        <w:rPr>
          <w:rStyle w:val="EndnoteReference"/>
        </w:rPr>
        <w:endnoteReference w:id="818"/>
      </w:r>
      <w:r>
        <w:t xml:space="preserve">  </w:t>
      </w:r>
    </w:p>
    <w:p w14:paraId="75AA06BC" w14:textId="77777777" w:rsidR="006338B3" w:rsidRDefault="006338B3" w:rsidP="00E00CA8">
      <w:pPr>
        <w:spacing w:line="220" w:lineRule="exact"/>
        <w:ind w:left="360"/>
        <w:jc w:val="both"/>
      </w:pPr>
    </w:p>
    <w:p w14:paraId="182B587C" w14:textId="5B25A483" w:rsidR="00681BA7" w:rsidRDefault="00AA576F" w:rsidP="00BD2AE1">
      <w:pPr>
        <w:pStyle w:val="Heading4"/>
      </w:pPr>
      <w:bookmarkStart w:id="531" w:name="_Toc159851595"/>
      <w:r>
        <w:t>b</w:t>
      </w:r>
      <w:r w:rsidR="00681BA7">
        <w:t>.</w:t>
      </w:r>
      <w:r w:rsidR="00681BA7">
        <w:tab/>
      </w:r>
      <w:r w:rsidR="005A29C8">
        <w:tab/>
      </w:r>
      <w:r w:rsidR="00681BA7">
        <w:t>Statutory damages</w:t>
      </w:r>
      <w:bookmarkEnd w:id="531"/>
    </w:p>
    <w:p w14:paraId="3725AE6B" w14:textId="25C5BECF" w:rsidR="00E411B9" w:rsidRDefault="00681BA7">
      <w:pPr>
        <w:spacing w:line="220" w:lineRule="exact"/>
        <w:ind w:left="360"/>
        <w:jc w:val="both"/>
      </w:pPr>
      <w:r>
        <w:t>A person who transmits a valid written request for public records by hand delivery, electronic submission, or certified mail</w:t>
      </w:r>
      <w:r>
        <w:rPr>
          <w:rStyle w:val="EndnoteReference"/>
        </w:rPr>
        <w:endnoteReference w:id="819"/>
      </w:r>
      <w:r>
        <w:t xml:space="preserve"> is entitled to receive statutory damages if a court finds that the public office failed to comply with its obligations under R.C. 149.43(B).</w:t>
      </w:r>
      <w:r>
        <w:rPr>
          <w:rStyle w:val="EndnoteReference"/>
        </w:rPr>
        <w:endnoteReference w:id="820"/>
      </w:r>
      <w:r>
        <w:t xml:space="preserve">  </w:t>
      </w:r>
      <w:r w:rsidR="00E411B9">
        <w:t>To be entitled to statutory damages, a requester must establish b</w:t>
      </w:r>
      <w:r w:rsidR="002B54ED">
        <w:t>y</w:t>
      </w:r>
      <w:r w:rsidR="00E411B9">
        <w:t xml:space="preserve"> clear and convincing evidence that the</w:t>
      </w:r>
      <w:r w:rsidR="00F56211">
        <w:t xml:space="preserve"> requester</w:t>
      </w:r>
      <w:r w:rsidR="00E411B9">
        <w:t xml:space="preserve"> transmitted the request by hand delivery, electronic submission, or certified mail.</w:t>
      </w:r>
      <w:r w:rsidR="00E411B9">
        <w:rPr>
          <w:rStyle w:val="EndnoteReference"/>
        </w:rPr>
        <w:endnoteReference w:id="821"/>
      </w:r>
    </w:p>
    <w:p w14:paraId="2F4923C3" w14:textId="77777777" w:rsidR="00E411B9" w:rsidRDefault="00E411B9">
      <w:pPr>
        <w:spacing w:line="220" w:lineRule="exact"/>
        <w:ind w:left="360"/>
        <w:jc w:val="both"/>
      </w:pPr>
    </w:p>
    <w:p w14:paraId="2BABFE20" w14:textId="47602388" w:rsidR="00F56211" w:rsidRDefault="00681BA7">
      <w:pPr>
        <w:spacing w:line="220" w:lineRule="exact"/>
        <w:ind w:left="360"/>
        <w:jc w:val="both"/>
      </w:pPr>
      <w:r>
        <w:t>The award of statutory damages is not considered a penalty, but it is intended to compensate the requester for injury arising from lost use</w:t>
      </w:r>
      <w:r>
        <w:rPr>
          <w:rStyle w:val="EndnoteReference"/>
        </w:rPr>
        <w:endnoteReference w:id="822"/>
      </w:r>
      <w:r>
        <w:t xml:space="preserve"> of the requested information</w:t>
      </w:r>
      <w:r w:rsidR="00C27828">
        <w:t>.</w:t>
      </w:r>
      <w:r w:rsidR="003438D4">
        <w:t xml:space="preserve"> </w:t>
      </w:r>
      <w:r w:rsidR="00C27828">
        <w:t xml:space="preserve"> </w:t>
      </w:r>
      <w:r w:rsidR="00F56211">
        <w:t>The existence of injury arising from lost use shall be presumed. Merely failing to organize and maintain records, standing alone, does not support an award for statutory damages.</w:t>
      </w:r>
      <w:r w:rsidR="00F56211">
        <w:rPr>
          <w:rStyle w:val="EndnoteReference"/>
        </w:rPr>
        <w:endnoteReference w:id="823"/>
      </w:r>
      <w:r w:rsidR="00F56211">
        <w:t xml:space="preserve"> Because statutory damages are intended to compensate for lost use, they are available when a public office fails to timely produce a public record.</w:t>
      </w:r>
      <w:r w:rsidR="00F56211">
        <w:rPr>
          <w:rStyle w:val="EndnoteReference"/>
        </w:rPr>
        <w:endnoteReference w:id="824"/>
      </w:r>
    </w:p>
    <w:p w14:paraId="542BD632" w14:textId="77777777" w:rsidR="00F56211" w:rsidRDefault="00F56211">
      <w:pPr>
        <w:spacing w:line="220" w:lineRule="exact"/>
        <w:ind w:left="360"/>
        <w:jc w:val="both"/>
      </w:pPr>
    </w:p>
    <w:p w14:paraId="51EE5B1F" w14:textId="25F3A866" w:rsidR="00681BA7" w:rsidRDefault="00F56211">
      <w:pPr>
        <w:spacing w:line="220" w:lineRule="exact"/>
        <w:ind w:left="360"/>
        <w:jc w:val="both"/>
      </w:pPr>
      <w:r>
        <w:t>S</w:t>
      </w:r>
      <w:r w:rsidR="00681BA7">
        <w:t xml:space="preserve">tatutory damages are fixed at $100 for each business day the respondent fails to comply with </w:t>
      </w:r>
      <w:r>
        <w:t>R.C. 149.43</w:t>
      </w:r>
      <w:r w:rsidR="00681BA7">
        <w:t>(B), beginning with the day on which the relator files a mandamus action to recover statutory damages, up to a maximum of $1</w:t>
      </w:r>
      <w:r w:rsidR="00C27828">
        <w:t>,</w:t>
      </w:r>
      <w:r w:rsidR="00681BA7">
        <w:t>000.</w:t>
      </w:r>
      <w:r w:rsidR="00681BA7">
        <w:rPr>
          <w:rStyle w:val="EndnoteReference"/>
        </w:rPr>
        <w:endnoteReference w:id="825"/>
      </w:r>
      <w:r w:rsidR="00681BA7">
        <w:t xml:space="preserve">  The Act “does not permit stacking of statutory damages based on what is essentially the same records request.”</w:t>
      </w:r>
      <w:r w:rsidR="00681BA7">
        <w:rPr>
          <w:rStyle w:val="EndnoteReference"/>
        </w:rPr>
        <w:endnoteReference w:id="826"/>
      </w:r>
    </w:p>
    <w:p w14:paraId="5B0BED8C" w14:textId="77777777" w:rsidR="00E00CA8" w:rsidRDefault="00E00CA8">
      <w:pPr>
        <w:spacing w:line="220" w:lineRule="exact"/>
        <w:ind w:left="360"/>
        <w:jc w:val="both"/>
      </w:pPr>
    </w:p>
    <w:p w14:paraId="74978E16" w14:textId="418D1B35" w:rsidR="00681BA7" w:rsidRDefault="00681BA7">
      <w:pPr>
        <w:spacing w:line="220" w:lineRule="exact"/>
        <w:ind w:left="360"/>
        <w:jc w:val="both"/>
      </w:pPr>
      <w:r>
        <w:t xml:space="preserve">A court shall </w:t>
      </w:r>
      <w:r w:rsidRPr="00B001F2">
        <w:rPr>
          <w:i/>
          <w:iCs/>
        </w:rPr>
        <w:t>not</w:t>
      </w:r>
      <w:r>
        <w:t xml:space="preserve"> award </w:t>
      </w:r>
      <w:r w:rsidR="0099465A">
        <w:t>statutory damages</w:t>
      </w:r>
      <w:r>
        <w:t xml:space="preserve"> if it determines both of the following:</w:t>
      </w:r>
    </w:p>
    <w:p w14:paraId="7532E0D8" w14:textId="77777777" w:rsidR="00681BA7" w:rsidRDefault="00681BA7">
      <w:pPr>
        <w:spacing w:line="220" w:lineRule="exact"/>
        <w:ind w:left="360"/>
        <w:jc w:val="both"/>
      </w:pPr>
    </w:p>
    <w:p w14:paraId="3BE8AC3D" w14:textId="2A020B44" w:rsidR="00681BA7" w:rsidRDefault="00365787" w:rsidP="002B214D">
      <w:pPr>
        <w:spacing w:line="220" w:lineRule="exact"/>
        <w:ind w:left="1440" w:hanging="360"/>
        <w:jc w:val="both"/>
      </w:pPr>
      <w:r>
        <w:t>(</w:t>
      </w:r>
      <w:r w:rsidR="00681BA7">
        <w:t>1)</w:t>
      </w:r>
      <w:r w:rsidR="00681BA7">
        <w:tab/>
      </w:r>
      <w:r w:rsidR="00C27828">
        <w:t>B</w:t>
      </w:r>
      <w:r w:rsidR="00681BA7">
        <w:t>ased on the law as it exist</w:t>
      </w:r>
      <w:r w:rsidR="00C27828">
        <w:t>s</w:t>
      </w:r>
      <w:r w:rsidR="00681BA7">
        <w:t xml:space="preserve"> at the time, a well-informed person responsible for the requested public records reasonably would have believed that the conduct of the respondent did not constitute a failure to comply with an obligation of R.C. 149.43(B)</w:t>
      </w:r>
      <w:r w:rsidR="00C27828">
        <w:t>;</w:t>
      </w:r>
    </w:p>
    <w:p w14:paraId="68247E0B" w14:textId="77777777" w:rsidR="00681BA7" w:rsidRDefault="00681BA7">
      <w:pPr>
        <w:spacing w:line="220" w:lineRule="exact"/>
        <w:ind w:left="1440" w:hanging="360"/>
        <w:jc w:val="both"/>
      </w:pPr>
    </w:p>
    <w:p w14:paraId="5B045CB0" w14:textId="455336FC" w:rsidR="00681BA7" w:rsidRDefault="00681BA7">
      <w:pPr>
        <w:spacing w:line="220" w:lineRule="exact"/>
        <w:ind w:left="1440"/>
        <w:jc w:val="both"/>
      </w:pPr>
      <w:r>
        <w:t>an</w:t>
      </w:r>
      <w:r w:rsidR="002B54ED">
        <w:t>d</w:t>
      </w:r>
    </w:p>
    <w:p w14:paraId="5164ACF8" w14:textId="77777777" w:rsidR="00681BA7" w:rsidRDefault="00681BA7">
      <w:pPr>
        <w:spacing w:line="220" w:lineRule="exact"/>
        <w:ind w:left="1440" w:hanging="360"/>
        <w:jc w:val="both"/>
      </w:pPr>
    </w:p>
    <w:p w14:paraId="1D00CEED" w14:textId="03FC8D30" w:rsidR="00AA576F" w:rsidRDefault="00365787" w:rsidP="0099465A">
      <w:pPr>
        <w:spacing w:line="220" w:lineRule="exact"/>
        <w:ind w:left="1440" w:hanging="360"/>
        <w:jc w:val="both"/>
      </w:pPr>
      <w:r>
        <w:t>(</w:t>
      </w:r>
      <w:r w:rsidR="00681BA7">
        <w:t>2)</w:t>
      </w:r>
      <w:r w:rsidR="00681BA7">
        <w:tab/>
      </w:r>
      <w:r w:rsidR="00C27828">
        <w:t>A</w:t>
      </w:r>
      <w:r w:rsidR="00681BA7">
        <w:t xml:space="preserve"> well-informed person responsible for the requested public records reasonably would have believed that the conduct of the public office would serve the public policy that underlies the authority that it asserted as permitting that conduct.</w:t>
      </w:r>
      <w:r w:rsidR="00681BA7">
        <w:rPr>
          <w:rStyle w:val="EndnoteReference"/>
        </w:rPr>
        <w:endnoteReference w:id="827"/>
      </w:r>
      <w:r w:rsidR="002B214D">
        <w:t xml:space="preserve"> </w:t>
      </w:r>
    </w:p>
    <w:p w14:paraId="2518AEE1" w14:textId="77777777" w:rsidR="006338B3" w:rsidRDefault="006338B3" w:rsidP="0099465A">
      <w:pPr>
        <w:spacing w:line="220" w:lineRule="exact"/>
        <w:ind w:left="1440" w:hanging="360"/>
        <w:jc w:val="both"/>
      </w:pPr>
    </w:p>
    <w:p w14:paraId="6A29CEB5" w14:textId="43654B9F" w:rsidR="00E00CA8" w:rsidRDefault="00E00CA8" w:rsidP="00BD2AE1">
      <w:pPr>
        <w:pStyle w:val="Heading4"/>
      </w:pPr>
      <w:bookmarkStart w:id="532" w:name="_Toc159851596"/>
      <w:r>
        <w:t>c</w:t>
      </w:r>
      <w:r w:rsidR="00AA576F">
        <w:t>.</w:t>
      </w:r>
      <w:r w:rsidR="00AA576F">
        <w:tab/>
      </w:r>
      <w:r w:rsidR="005A29C8">
        <w:tab/>
      </w:r>
      <w:r>
        <w:t>Court costs</w:t>
      </w:r>
      <w:bookmarkEnd w:id="532"/>
    </w:p>
    <w:p w14:paraId="109B9B1D" w14:textId="55AA8590" w:rsidR="00E00CA8" w:rsidRDefault="00A0683B" w:rsidP="00310038">
      <w:pPr>
        <w:spacing w:line="220" w:lineRule="exact"/>
        <w:ind w:left="360"/>
        <w:jc w:val="both"/>
      </w:pPr>
      <w:r>
        <w:t>An award of court costs is mandatory if the court orders the public office or the person responsible for the public records to comply with R.C. 149.43(B).</w:t>
      </w:r>
      <w:r>
        <w:rPr>
          <w:rStyle w:val="EndnoteReference"/>
        </w:rPr>
        <w:endnoteReference w:id="828"/>
      </w:r>
      <w:r>
        <w:t xml:space="preserve">  Court costs shall also be awarded when a court determines that the public office or person responsible for public records acted in bad faith when making the requested records available after a mandamus action was filed but before the court ordered the production of the records.</w:t>
      </w:r>
      <w:r>
        <w:rPr>
          <w:rStyle w:val="EndnoteReference"/>
        </w:rPr>
        <w:endnoteReference w:id="829"/>
      </w:r>
      <w:r>
        <w:t xml:space="preserve">  Like an award of attorney fees, an award of court costs is considered remedial rather than punitive.</w:t>
      </w:r>
      <w:r>
        <w:rPr>
          <w:rStyle w:val="EndnoteReference"/>
        </w:rPr>
        <w:endnoteReference w:id="830"/>
      </w:r>
      <w:r>
        <w:t xml:space="preserve"> </w:t>
      </w:r>
      <w:r w:rsidR="00E00CA8">
        <w:t>Litigation expenses, other than court costs, are not recoverable at all.</w:t>
      </w:r>
      <w:r w:rsidR="00E00CA8">
        <w:rPr>
          <w:rStyle w:val="EndnoteReference"/>
        </w:rPr>
        <w:endnoteReference w:id="831"/>
      </w:r>
    </w:p>
    <w:p w14:paraId="37F9B16C" w14:textId="77777777" w:rsidR="006338B3" w:rsidRDefault="006338B3" w:rsidP="00310038">
      <w:pPr>
        <w:spacing w:line="220" w:lineRule="exact"/>
        <w:ind w:left="360"/>
        <w:jc w:val="both"/>
      </w:pPr>
    </w:p>
    <w:p w14:paraId="056CEACF" w14:textId="435D57DE" w:rsidR="00AA576F" w:rsidRDefault="00E00CA8" w:rsidP="00BD2AE1">
      <w:pPr>
        <w:pStyle w:val="Heading4"/>
      </w:pPr>
      <w:bookmarkStart w:id="533" w:name="_Toc159851597"/>
      <w:r>
        <w:t>d.</w:t>
      </w:r>
      <w:r>
        <w:tab/>
      </w:r>
      <w:r w:rsidR="005A29C8">
        <w:tab/>
      </w:r>
      <w:r w:rsidR="00AA576F">
        <w:t>Recovery of deleted email records</w:t>
      </w:r>
      <w:bookmarkEnd w:id="533"/>
    </w:p>
    <w:p w14:paraId="7880EF65" w14:textId="3AA7FF3F" w:rsidR="00AA576F" w:rsidRDefault="00AA576F" w:rsidP="00AA576F">
      <w:pPr>
        <w:spacing w:line="220" w:lineRule="exact"/>
        <w:ind w:left="360"/>
        <w:jc w:val="both"/>
      </w:pPr>
      <w:r>
        <w:t>The Supreme Court of Ohio has determined that if evidence shows that records in email format have been deleted in violation of a public office’s records retention schedule, the public office has a duty to recover the contents of deleted emails and to provide access to them.</w:t>
      </w:r>
      <w:r>
        <w:rPr>
          <w:rStyle w:val="EndnoteReference"/>
        </w:rPr>
        <w:endnoteReference w:id="832"/>
      </w:r>
      <w:r>
        <w:t xml:space="preserve">  The courts will consider the relief available to the requester based on several factors, including whether: emails were improperly destroyed; forensic recovery of emails might be successful; and the proposed recovery efforts were reasonable.</w:t>
      </w:r>
      <w:r>
        <w:rPr>
          <w:rStyle w:val="EndnoteReference"/>
        </w:rPr>
        <w:endnoteReference w:id="833"/>
      </w:r>
    </w:p>
    <w:p w14:paraId="45623346" w14:textId="77777777" w:rsidR="00C27828" w:rsidRPr="00C27828" w:rsidRDefault="00C27828" w:rsidP="00C27828">
      <w:pPr>
        <w:spacing w:line="220" w:lineRule="exact"/>
        <w:ind w:left="360"/>
        <w:jc w:val="both"/>
      </w:pPr>
    </w:p>
    <w:p w14:paraId="7EBB086B" w14:textId="29050BD9" w:rsidR="00681BA7" w:rsidRDefault="00681BA7" w:rsidP="00322085">
      <w:pPr>
        <w:pStyle w:val="Heading3"/>
      </w:pPr>
      <w:bookmarkStart w:id="534" w:name="_Toc159851598"/>
      <w:r>
        <w:t>7.</w:t>
      </w:r>
      <w:r>
        <w:tab/>
        <w:t>Liabilities applicable to either party</w:t>
      </w:r>
      <w:bookmarkEnd w:id="534"/>
    </w:p>
    <w:p w14:paraId="683EFB09" w14:textId="427EA674" w:rsidR="00681BA7" w:rsidRDefault="00681BA7" w:rsidP="007E4D99">
      <w:pPr>
        <w:spacing w:line="220" w:lineRule="exact"/>
        <w:ind w:left="360"/>
        <w:jc w:val="both"/>
      </w:pPr>
      <w:r>
        <w:t xml:space="preserve">The following additional remedies may be available against a party in a public records mandamus action.  They are applicable regardless </w:t>
      </w:r>
      <w:r w:rsidR="00F56211">
        <w:t xml:space="preserve">of </w:t>
      </w:r>
      <w:r>
        <w:t xml:space="preserve">whether the party represents </w:t>
      </w:r>
      <w:r w:rsidR="00C27828">
        <w:t>themselves</w:t>
      </w:r>
      <w:r>
        <w:t xml:space="preserve"> (“</w:t>
      </w:r>
      <w:r>
        <w:rPr>
          <w:i/>
        </w:rPr>
        <w:t>pro se</w:t>
      </w:r>
      <w:r>
        <w:t>”) or is represented by counsel.</w:t>
      </w:r>
    </w:p>
    <w:p w14:paraId="740E2429" w14:textId="77777777" w:rsidR="006338B3" w:rsidRDefault="006338B3" w:rsidP="007E4D99">
      <w:pPr>
        <w:spacing w:line="220" w:lineRule="exact"/>
        <w:ind w:left="360"/>
        <w:jc w:val="both"/>
      </w:pPr>
    </w:p>
    <w:p w14:paraId="5331865F" w14:textId="59750E9D" w:rsidR="00681BA7" w:rsidRDefault="00681BA7" w:rsidP="00BD2AE1">
      <w:pPr>
        <w:pStyle w:val="Heading4"/>
      </w:pPr>
      <w:bookmarkStart w:id="535" w:name="_Toc159851599"/>
      <w:r>
        <w:t>a.</w:t>
      </w:r>
      <w:r>
        <w:tab/>
      </w:r>
      <w:r w:rsidR="005A29C8">
        <w:tab/>
      </w:r>
      <w:r>
        <w:t>Frivolous conduct</w:t>
      </w:r>
      <w:bookmarkEnd w:id="535"/>
    </w:p>
    <w:p w14:paraId="2DFCDF40" w14:textId="77777777" w:rsidR="00681BA7" w:rsidRDefault="00681BA7">
      <w:pPr>
        <w:spacing w:line="220" w:lineRule="exact"/>
        <w:ind w:left="360"/>
        <w:jc w:val="both"/>
      </w:pPr>
      <w:r>
        <w:t>If the court does not issue a writ of mandamus and the court determines that bringing the mandamus action was frivolous conduct as defined in R.C. 2323.51(A), the court may award to the public office all court costs, expenses, and reasonable attorney fees, as determined by the court.</w:t>
      </w:r>
      <w:r>
        <w:rPr>
          <w:rStyle w:val="EndnoteReference"/>
        </w:rPr>
        <w:endnoteReference w:id="834"/>
      </w:r>
    </w:p>
    <w:p w14:paraId="590D73F0" w14:textId="77777777" w:rsidR="00681BA7" w:rsidRDefault="00681BA7">
      <w:pPr>
        <w:spacing w:line="220" w:lineRule="exact"/>
        <w:ind w:left="360"/>
        <w:jc w:val="both"/>
      </w:pPr>
    </w:p>
    <w:p w14:paraId="7425A848" w14:textId="7B88BD8B" w:rsidR="00681BA7" w:rsidRDefault="00681BA7">
      <w:pPr>
        <w:spacing w:line="220" w:lineRule="exact"/>
        <w:ind w:left="360"/>
        <w:jc w:val="both"/>
      </w:pPr>
      <w:r>
        <w:t>Any party adversely affected by the frivolous conduct of another party may file a motion with the court, not more than 30 days after the entry of final judgment,</w:t>
      </w:r>
      <w:r>
        <w:rPr>
          <w:rStyle w:val="EndnoteReference"/>
        </w:rPr>
        <w:endnoteReference w:id="835"/>
      </w:r>
      <w:r>
        <w:t xml:space="preserve"> for an award of court costs, reasonable attorney fees, and other reasonable expenses incurred in connection with the lawsuit or appeal.</w:t>
      </w:r>
      <w:r>
        <w:rPr>
          <w:rStyle w:val="EndnoteReference"/>
        </w:rPr>
        <w:endnoteReference w:id="836"/>
      </w:r>
      <w:r>
        <w:t xml:space="preserve">  When a court determines that the accused party has engaged in frivolous conduct, a party adversely affected by the conduct may recover the full amount of the reasonable attorney fees incurred, even fees paid or in the process of being paid, or in the process of being paid by an insurance carrier.</w:t>
      </w:r>
      <w:r>
        <w:rPr>
          <w:rStyle w:val="EndnoteReference"/>
        </w:rPr>
        <w:endnoteReference w:id="837"/>
      </w:r>
    </w:p>
    <w:p w14:paraId="49B2587A" w14:textId="77777777" w:rsidR="006338B3" w:rsidRDefault="006338B3">
      <w:pPr>
        <w:spacing w:line="220" w:lineRule="exact"/>
        <w:ind w:left="360"/>
        <w:jc w:val="both"/>
      </w:pPr>
    </w:p>
    <w:p w14:paraId="2C2F08C4" w14:textId="77777777" w:rsidR="006338B3" w:rsidRDefault="006338B3">
      <w:pPr>
        <w:spacing w:line="220" w:lineRule="exact"/>
        <w:ind w:left="360"/>
        <w:jc w:val="both"/>
      </w:pPr>
    </w:p>
    <w:p w14:paraId="081E370F" w14:textId="77777777" w:rsidR="006338B3" w:rsidRDefault="006338B3">
      <w:pPr>
        <w:spacing w:line="220" w:lineRule="exact"/>
        <w:ind w:left="360"/>
        <w:jc w:val="both"/>
      </w:pPr>
    </w:p>
    <w:p w14:paraId="51D39BA7" w14:textId="77777777" w:rsidR="006338B3" w:rsidRDefault="006338B3">
      <w:pPr>
        <w:spacing w:line="220" w:lineRule="exact"/>
        <w:ind w:left="360"/>
        <w:jc w:val="both"/>
      </w:pPr>
    </w:p>
    <w:p w14:paraId="63B5DA26" w14:textId="658FA41C" w:rsidR="00681BA7" w:rsidRDefault="00681BA7" w:rsidP="00BD2AE1">
      <w:pPr>
        <w:pStyle w:val="Heading4"/>
      </w:pPr>
      <w:bookmarkStart w:id="536" w:name="_Toc159851600"/>
      <w:r>
        <w:lastRenderedPageBreak/>
        <w:t>b.</w:t>
      </w:r>
      <w:r w:rsidR="005A29C8">
        <w:tab/>
      </w:r>
      <w:r>
        <w:tab/>
        <w:t>Civil Rule 11</w:t>
      </w:r>
      <w:bookmarkEnd w:id="536"/>
    </w:p>
    <w:p w14:paraId="527ED7B8" w14:textId="77777777" w:rsidR="00681BA7" w:rsidRDefault="00681BA7">
      <w:pPr>
        <w:spacing w:line="220" w:lineRule="exact"/>
        <w:ind w:left="360"/>
        <w:jc w:val="both"/>
      </w:pPr>
      <w:r>
        <w:t>Civil Rule 11 provides, in part:</w:t>
      </w:r>
    </w:p>
    <w:p w14:paraId="6726879B" w14:textId="77777777" w:rsidR="00681BA7" w:rsidRDefault="00681BA7">
      <w:pPr>
        <w:spacing w:line="220" w:lineRule="exact"/>
        <w:ind w:left="360"/>
        <w:jc w:val="both"/>
      </w:pPr>
    </w:p>
    <w:p w14:paraId="4C2D3660" w14:textId="02754DC8" w:rsidR="00681BA7" w:rsidRDefault="00681BA7">
      <w:pPr>
        <w:spacing w:line="220" w:lineRule="exact"/>
        <w:ind w:left="720"/>
        <w:jc w:val="both"/>
      </w:pPr>
      <w:r>
        <w:t xml:space="preserve">The signature of an attorney or </w:t>
      </w:r>
      <w:r>
        <w:rPr>
          <w:i/>
        </w:rPr>
        <w:t>pro se</w:t>
      </w:r>
      <w:r>
        <w:t xml:space="preserve"> party constitutes a certificate by the attorney or party that the attorney or party has read the document; that to the best of the attorney’s or party’s knowledge, information, and belief there is good ground</w:t>
      </w:r>
      <w:r>
        <w:rPr>
          <w:i/>
        </w:rPr>
        <w:t xml:space="preserve"> </w:t>
      </w:r>
      <w:r>
        <w:t xml:space="preserve">to support it; and that it is not interposed for delay . . .  For a willful violation of this rule, an attorney or </w:t>
      </w:r>
      <w:r>
        <w:rPr>
          <w:i/>
        </w:rPr>
        <w:t>pro se</w:t>
      </w:r>
      <w:r>
        <w:t xml:space="preserve"> party, upon motion of a party or upon the court’s own motion, may be subjected to appropriate action, including an award to the opposing party of expenses and reasonable attorney fees incurred in bringing any motion under this rule.</w:t>
      </w:r>
    </w:p>
    <w:p w14:paraId="7D8BDE62" w14:textId="77777777" w:rsidR="00681BA7" w:rsidRDefault="00681BA7">
      <w:pPr>
        <w:spacing w:line="220" w:lineRule="exact"/>
        <w:ind w:left="720"/>
        <w:jc w:val="both"/>
      </w:pPr>
    </w:p>
    <w:p w14:paraId="79DF49D0" w14:textId="33036692" w:rsidR="00681BA7" w:rsidRDefault="00681BA7">
      <w:pPr>
        <w:spacing w:line="220" w:lineRule="exact"/>
        <w:ind w:left="360"/>
        <w:jc w:val="both"/>
      </w:pPr>
      <w:r>
        <w:t>Courts have found sanctionable conduct under Civil Rule 11 in public records cases.</w:t>
      </w:r>
      <w:r>
        <w:rPr>
          <w:rStyle w:val="EndnoteReference"/>
        </w:rPr>
        <w:endnoteReference w:id="838"/>
      </w:r>
      <w:r>
        <w:t xml:space="preserve">  Any Civil Rule 11 motion must be filed within a reasonable period of time following the final judgment.</w:t>
      </w:r>
      <w:r>
        <w:rPr>
          <w:rStyle w:val="EndnoteReference"/>
        </w:rPr>
        <w:endnoteReference w:id="839"/>
      </w:r>
      <w:r>
        <w:t xml:space="preserve">  </w:t>
      </w:r>
    </w:p>
    <w:p w14:paraId="061FA647" w14:textId="539CBD5B" w:rsidR="00681BA7" w:rsidRPr="00345637" w:rsidRDefault="00681BA7" w:rsidP="00322085">
      <w:pPr>
        <w:pStyle w:val="Heading2"/>
      </w:pPr>
      <w:bookmarkStart w:id="537" w:name="_Toc159851601"/>
      <w:r w:rsidRPr="00345637">
        <w:t>B.</w:t>
      </w:r>
      <w:r w:rsidRPr="00345637">
        <w:tab/>
        <w:t>Court of Claims Procedure</w:t>
      </w:r>
      <w:bookmarkEnd w:id="537"/>
    </w:p>
    <w:p w14:paraId="333C8B58" w14:textId="58F60756" w:rsidR="00824580" w:rsidRDefault="00824580" w:rsidP="002B214D">
      <w:pPr>
        <w:spacing w:line="220" w:lineRule="exact"/>
        <w:ind w:left="360"/>
        <w:jc w:val="both"/>
      </w:pPr>
      <w:r>
        <w:t>The other option available to requesters to resolve public records disputes is to file a complaint in the Ohio Court of Claims.</w:t>
      </w:r>
      <w:r>
        <w:rPr>
          <w:rStyle w:val="EndnoteReference"/>
        </w:rPr>
        <w:endnoteReference w:id="840"/>
      </w:r>
      <w:r>
        <w:t xml:space="preserve"> </w:t>
      </w:r>
      <w:r w:rsidR="00717CC0">
        <w:t xml:space="preserve"> </w:t>
      </w:r>
      <w:r w:rsidR="00EF2546">
        <w:t>R.C. 2743.75</w:t>
      </w:r>
      <w:r w:rsidR="00681BA7">
        <w:t xml:space="preserve"> </w:t>
      </w:r>
      <w:r>
        <w:t xml:space="preserve">provides a special statutory procedure for </w:t>
      </w:r>
      <w:r w:rsidR="00681BA7">
        <w:t xml:space="preserve">requesters </w:t>
      </w:r>
      <w:r>
        <w:t>to resolve public records disputes arising under the Public Records Act</w:t>
      </w:r>
      <w:r>
        <w:rPr>
          <w:rStyle w:val="EndnoteReference"/>
        </w:rPr>
        <w:endnoteReference w:id="841"/>
      </w:r>
      <w:r>
        <w:t xml:space="preserve"> in </w:t>
      </w:r>
      <w:r w:rsidR="00681BA7">
        <w:t xml:space="preserve">an expedited and economical </w:t>
      </w:r>
      <w:r w:rsidR="00EF2546">
        <w:t>way</w:t>
      </w:r>
      <w:r w:rsidR="00681BA7">
        <w:t>.</w:t>
      </w:r>
      <w:r w:rsidR="00681BA7">
        <w:rPr>
          <w:rStyle w:val="EndnoteReference"/>
        </w:rPr>
        <w:endnoteReference w:id="842"/>
      </w:r>
      <w:r w:rsidR="00681BA7">
        <w:t xml:space="preserve">  </w:t>
      </w:r>
      <w:r w:rsidR="00F56211">
        <w:t>A</w:t>
      </w:r>
      <w:r w:rsidR="00681BA7">
        <w:t xml:space="preserve"> requester can pursue either a mandamus action or resolution in the Court of Claims, but not both.</w:t>
      </w:r>
      <w:r w:rsidR="00681BA7">
        <w:rPr>
          <w:rStyle w:val="EndnoteReference"/>
        </w:rPr>
        <w:endnoteReference w:id="843"/>
      </w:r>
      <w:r w:rsidR="00DE1C46" w:rsidRPr="00DE1C46">
        <w:t xml:space="preserve"> </w:t>
      </w:r>
      <w:r w:rsidR="00DE1C46">
        <w:t>The Court of Claims does not have jurisdiction in mandamus.</w:t>
      </w:r>
      <w:r w:rsidR="00DE1C46">
        <w:rPr>
          <w:rStyle w:val="EndnoteReference"/>
        </w:rPr>
        <w:endnoteReference w:id="844"/>
      </w:r>
    </w:p>
    <w:p w14:paraId="3A578EB6" w14:textId="77777777" w:rsidR="002B214D" w:rsidRDefault="002B214D" w:rsidP="002B214D">
      <w:pPr>
        <w:spacing w:line="220" w:lineRule="exact"/>
        <w:ind w:left="360"/>
        <w:jc w:val="both"/>
      </w:pPr>
    </w:p>
    <w:p w14:paraId="71F401F1" w14:textId="55D7B037" w:rsidR="00681BA7" w:rsidRDefault="00824580" w:rsidP="00786142">
      <w:pPr>
        <w:pStyle w:val="Heading3"/>
        <w:numPr>
          <w:ilvl w:val="0"/>
          <w:numId w:val="56"/>
        </w:numPr>
        <w:ind w:left="900" w:firstLine="540"/>
      </w:pPr>
      <w:bookmarkStart w:id="538" w:name="_Toc159851602"/>
      <w:r>
        <w:t>Filing procedure and initial review</w:t>
      </w:r>
      <w:bookmarkEnd w:id="538"/>
    </w:p>
    <w:p w14:paraId="38FB5CEF" w14:textId="3B7AF128" w:rsidR="00681BA7" w:rsidRDefault="00681BA7" w:rsidP="00BE5E2A">
      <w:pPr>
        <w:spacing w:line="220" w:lineRule="exact"/>
        <w:ind w:left="360"/>
        <w:jc w:val="both"/>
      </w:pPr>
      <w:r>
        <w:t xml:space="preserve">A requester may file a </w:t>
      </w:r>
      <w:r w:rsidR="00717CC0">
        <w:t xml:space="preserve">complaint in the </w:t>
      </w:r>
      <w:r>
        <w:t xml:space="preserve">Court of Claims on a form prescribed by the clerk of the </w:t>
      </w:r>
      <w:r w:rsidR="007E4D99">
        <w:t>C</w:t>
      </w:r>
      <w:r>
        <w:t xml:space="preserve">ourt of </w:t>
      </w:r>
      <w:r w:rsidR="007E4D99">
        <w:t>C</w:t>
      </w:r>
      <w:r>
        <w:t>laims, in either the common pleas court in the county where the public office is located</w:t>
      </w:r>
      <w:r w:rsidR="00F56211">
        <w:t xml:space="preserve"> </w:t>
      </w:r>
      <w:r>
        <w:t>or directly with the Court of Claims.</w:t>
      </w:r>
      <w:r>
        <w:rPr>
          <w:rStyle w:val="EndnoteReference"/>
        </w:rPr>
        <w:endnoteReference w:id="845"/>
      </w:r>
      <w:r>
        <w:t xml:space="preserve">  The requester must attach to the complaint copies of the records request in dispute and any written responses or other communications about the request from the public office.</w:t>
      </w:r>
      <w:r>
        <w:rPr>
          <w:rStyle w:val="EndnoteReference"/>
        </w:rPr>
        <w:endnoteReference w:id="846"/>
      </w:r>
      <w:r>
        <w:t xml:space="preserve">  The filing fee is $25.</w:t>
      </w:r>
      <w:r>
        <w:rPr>
          <w:rStyle w:val="EndnoteReference"/>
        </w:rPr>
        <w:endnoteReference w:id="847"/>
      </w:r>
      <w:r>
        <w:t xml:space="preserve">  If the requester files the complaint in a common pleas court, the clerk of that court will serve the complaint on the public office and then forward it to the Court of Claims for all further proceedings.</w:t>
      </w:r>
      <w:r>
        <w:rPr>
          <w:rStyle w:val="EndnoteReference"/>
        </w:rPr>
        <w:endnoteReference w:id="848"/>
      </w:r>
    </w:p>
    <w:p w14:paraId="1E290356" w14:textId="77777777" w:rsidR="00681BA7" w:rsidRDefault="00681BA7">
      <w:pPr>
        <w:spacing w:line="220" w:lineRule="exact"/>
        <w:jc w:val="both"/>
      </w:pPr>
    </w:p>
    <w:p w14:paraId="2671AACC" w14:textId="0BBB3D1B" w:rsidR="00681BA7" w:rsidRDefault="00681BA7" w:rsidP="00BE5E2A">
      <w:pPr>
        <w:spacing w:line="220" w:lineRule="exact"/>
        <w:ind w:left="360"/>
        <w:jc w:val="both"/>
      </w:pPr>
      <w:r>
        <w:t xml:space="preserve">When the Court of Claims receives a public records complaint, it </w:t>
      </w:r>
      <w:r w:rsidR="00EF2546">
        <w:t>will assign the complaint</w:t>
      </w:r>
      <w:r>
        <w:t xml:space="preserve"> to a special master for review.</w:t>
      </w:r>
      <w:r>
        <w:rPr>
          <w:rStyle w:val="EndnoteReference"/>
        </w:rPr>
        <w:endnoteReference w:id="849"/>
      </w:r>
      <w:r>
        <w:t xml:space="preserve">  A special master is an attorney who serves as a judicial officer in the Court of Claims; his or her recommended decisions are reviewed by a judge of the Court of Claims.</w:t>
      </w:r>
      <w:r>
        <w:rPr>
          <w:rStyle w:val="EndnoteReference"/>
        </w:rPr>
        <w:endnoteReference w:id="850"/>
      </w:r>
      <w:r>
        <w:t xml:space="preserve">  The Court of Claims is able to dismiss the complaint on its own authority, if recommended by the special master.</w:t>
      </w:r>
      <w:r>
        <w:rPr>
          <w:rStyle w:val="EndnoteReference"/>
        </w:rPr>
        <w:endnoteReference w:id="851"/>
      </w:r>
      <w:r>
        <w:t xml:space="preserve">  The requester may also voluntarily dismiss his or her complaint at any time.</w:t>
      </w:r>
      <w:r>
        <w:rPr>
          <w:rStyle w:val="EndnoteReference"/>
        </w:rPr>
        <w:endnoteReference w:id="852"/>
      </w:r>
      <w:r>
        <w:t xml:space="preserve">  If the Court of Claims determines that the complaint constitutes a case of first impression that involves an issue of substantial public interest, the Court must dismiss the complaint and direct the requester to file a mandamus action in the appropriate court of appeals.</w:t>
      </w:r>
      <w:r>
        <w:rPr>
          <w:rStyle w:val="EndnoteReference"/>
        </w:rPr>
        <w:endnoteReference w:id="853"/>
      </w:r>
    </w:p>
    <w:p w14:paraId="2923E9C9" w14:textId="61CC879A" w:rsidR="006F119B" w:rsidRDefault="006F119B">
      <w:pPr>
        <w:spacing w:line="220" w:lineRule="exact"/>
        <w:jc w:val="both"/>
      </w:pPr>
    </w:p>
    <w:p w14:paraId="71B2228E" w14:textId="4B01C21A" w:rsidR="00681BA7" w:rsidRDefault="006F119B" w:rsidP="00786142">
      <w:pPr>
        <w:pStyle w:val="Heading3"/>
        <w:numPr>
          <w:ilvl w:val="0"/>
          <w:numId w:val="56"/>
        </w:numPr>
        <w:ind w:left="900" w:firstLine="540"/>
      </w:pPr>
      <w:bookmarkStart w:id="539" w:name="_Toc159851603"/>
      <w:r>
        <w:t>Mediation</w:t>
      </w:r>
      <w:bookmarkEnd w:id="539"/>
    </w:p>
    <w:p w14:paraId="0FBCDC67" w14:textId="2BAE62FA" w:rsidR="006F119B" w:rsidRDefault="00681BA7" w:rsidP="00BE5E2A">
      <w:pPr>
        <w:spacing w:line="220" w:lineRule="exact"/>
        <w:ind w:left="360"/>
        <w:jc w:val="both"/>
      </w:pPr>
      <w:r>
        <w:t>Once the complaint is served on the public office, the special master will refer the case to mediation.</w:t>
      </w:r>
      <w:r>
        <w:rPr>
          <w:rStyle w:val="EndnoteReference"/>
        </w:rPr>
        <w:endnoteReference w:id="854"/>
      </w:r>
      <w:r>
        <w:t xml:space="preserve">  While in mediation, the case is stayed</w:t>
      </w:r>
      <w:r>
        <w:rPr>
          <w:rFonts w:cs="Calibri"/>
        </w:rPr>
        <w:t>—</w:t>
      </w:r>
      <w:r>
        <w:t>that is, action in the case is suspended until mediation concludes.</w:t>
      </w:r>
      <w:r>
        <w:rPr>
          <w:rStyle w:val="EndnoteReference"/>
        </w:rPr>
        <w:endnoteReference w:id="855"/>
      </w:r>
      <w:r>
        <w:t xml:space="preserve">  Mediation may </w:t>
      </w:r>
      <w:r w:rsidR="00EF2546">
        <w:t>occur</w:t>
      </w:r>
      <w:r>
        <w:t xml:space="preserve"> by telephone or any other electronic means.</w:t>
      </w:r>
      <w:r>
        <w:rPr>
          <w:rStyle w:val="EndnoteReference"/>
        </w:rPr>
        <w:endnoteReference w:id="856"/>
      </w:r>
      <w:r>
        <w:t xml:space="preserve">  If mediation </w:t>
      </w:r>
      <w:r w:rsidR="00E3206E">
        <w:t xml:space="preserve">fully </w:t>
      </w:r>
      <w:r>
        <w:t>resolves the dispute between the parties, the case is dismissed.</w:t>
      </w:r>
      <w:r>
        <w:rPr>
          <w:rStyle w:val="EndnoteReference"/>
        </w:rPr>
        <w:endnoteReference w:id="857"/>
      </w:r>
      <w:r>
        <w:t xml:space="preserve">  The special master can also determine, in consideration of the particular circumstances of the case and the interests of justice, that the case should not be referred to mediation at all.</w:t>
      </w:r>
      <w:r>
        <w:rPr>
          <w:rStyle w:val="EndnoteReference"/>
        </w:rPr>
        <w:endnoteReference w:id="858"/>
      </w:r>
      <w:r w:rsidR="007E4D99">
        <w:t xml:space="preserve"> </w:t>
      </w:r>
      <w:r w:rsidR="009F11B3">
        <w:t xml:space="preserve"> </w:t>
      </w:r>
      <w:r>
        <w:t>If mediation does not</w:t>
      </w:r>
      <w:r w:rsidR="00E3206E">
        <w:t xml:space="preserve"> fully</w:t>
      </w:r>
      <w:r>
        <w:t xml:space="preserve"> resolve the dispute, the mediation stay terminates</w:t>
      </w:r>
      <w:r w:rsidR="00EF2546">
        <w:t>,</w:t>
      </w:r>
      <w:r>
        <w:t xml:space="preserve"> and the case proceeds.</w:t>
      </w:r>
      <w:r>
        <w:rPr>
          <w:rStyle w:val="EndnoteReference"/>
        </w:rPr>
        <w:endnoteReference w:id="859"/>
      </w:r>
      <w:r>
        <w:t xml:space="preserve">  </w:t>
      </w:r>
    </w:p>
    <w:p w14:paraId="6996A519" w14:textId="77777777" w:rsidR="006338B3" w:rsidRDefault="006338B3" w:rsidP="00BE5E2A">
      <w:pPr>
        <w:spacing w:line="220" w:lineRule="exact"/>
        <w:ind w:left="360"/>
        <w:jc w:val="both"/>
      </w:pPr>
    </w:p>
    <w:p w14:paraId="58C59054" w14:textId="77777777" w:rsidR="006338B3" w:rsidRDefault="006338B3" w:rsidP="00BE5E2A">
      <w:pPr>
        <w:spacing w:line="220" w:lineRule="exact"/>
        <w:ind w:left="360"/>
        <w:jc w:val="both"/>
      </w:pPr>
    </w:p>
    <w:p w14:paraId="3BBBEE52" w14:textId="77777777" w:rsidR="006338B3" w:rsidRDefault="006338B3" w:rsidP="00BE5E2A">
      <w:pPr>
        <w:spacing w:line="220" w:lineRule="exact"/>
        <w:ind w:left="360"/>
        <w:jc w:val="both"/>
      </w:pPr>
    </w:p>
    <w:p w14:paraId="50E0E2A9" w14:textId="77777777" w:rsidR="009F11B3" w:rsidRDefault="009F11B3">
      <w:pPr>
        <w:spacing w:line="220" w:lineRule="exact"/>
        <w:jc w:val="both"/>
      </w:pPr>
    </w:p>
    <w:p w14:paraId="071E732A" w14:textId="0C3CBF70" w:rsidR="007E4D99" w:rsidRDefault="006F119B" w:rsidP="00786142">
      <w:pPr>
        <w:pStyle w:val="Heading3"/>
        <w:numPr>
          <w:ilvl w:val="0"/>
          <w:numId w:val="56"/>
        </w:numPr>
        <w:ind w:left="900" w:firstLine="540"/>
      </w:pPr>
      <w:bookmarkStart w:id="540" w:name="_Toc159851604"/>
      <w:r>
        <w:lastRenderedPageBreak/>
        <w:t>Expedited briefing</w:t>
      </w:r>
      <w:bookmarkEnd w:id="540"/>
    </w:p>
    <w:p w14:paraId="108D1A45" w14:textId="03B9E911" w:rsidR="00681BA7" w:rsidRDefault="00681BA7" w:rsidP="00BE5E2A">
      <w:pPr>
        <w:spacing w:line="220" w:lineRule="exact"/>
        <w:ind w:left="360"/>
        <w:jc w:val="both"/>
      </w:pPr>
      <w:r>
        <w:t>After mediation terminates, the public office has ten business days to file a response to the complaint.</w:t>
      </w:r>
      <w:r>
        <w:rPr>
          <w:rStyle w:val="EndnoteReference"/>
        </w:rPr>
        <w:endnoteReference w:id="860"/>
      </w:r>
      <w:r>
        <w:t xml:space="preserve">  The public office may also file a motion to dismiss, if applicable.</w:t>
      </w:r>
      <w:r>
        <w:rPr>
          <w:rStyle w:val="EndnoteReference"/>
        </w:rPr>
        <w:endnoteReference w:id="861"/>
      </w:r>
      <w:r>
        <w:t xml:space="preserve">  No other motions or pleadings</w:t>
      </w:r>
      <w:r>
        <w:rPr>
          <w:rFonts w:cs="Calibri"/>
        </w:rPr>
        <w:t>—</w:t>
      </w:r>
      <w:r>
        <w:t>other than the complaint, response, and/or motion to dismiss</w:t>
      </w:r>
      <w:r>
        <w:rPr>
          <w:rFonts w:cs="Calibri"/>
        </w:rPr>
        <w:t>—</w:t>
      </w:r>
      <w:r>
        <w:t>will be accepted by the Court of Claims in the matter.</w:t>
      </w:r>
      <w:r>
        <w:rPr>
          <w:rStyle w:val="EndnoteReference"/>
        </w:rPr>
        <w:endnoteReference w:id="862"/>
      </w:r>
      <w:r>
        <w:t xml:space="preserve">  The special master may direct the parties in writing to file any additional motions, pleadings, information, or documentation, if needed.</w:t>
      </w:r>
      <w:r>
        <w:rPr>
          <w:rStyle w:val="EndnoteReference"/>
        </w:rPr>
        <w:endnoteReference w:id="863"/>
      </w:r>
      <w:r>
        <w:t xml:space="preserve">  No discovery is permitted, and the parties may support their pleadings with affidavits.</w:t>
      </w:r>
      <w:r>
        <w:rPr>
          <w:rStyle w:val="EndnoteReference"/>
        </w:rPr>
        <w:endnoteReference w:id="864"/>
      </w:r>
      <w:r w:rsidR="00E3206E">
        <w:t xml:space="preserve"> Unless the special master orders otherwise, the parties must provide all their evidence with their pleadings.</w:t>
      </w:r>
      <w:r w:rsidR="00E3206E">
        <w:rPr>
          <w:rStyle w:val="EndnoteReference"/>
        </w:rPr>
        <w:endnoteReference w:id="865"/>
      </w:r>
    </w:p>
    <w:p w14:paraId="0B521733" w14:textId="6750B387" w:rsidR="006F119B" w:rsidRDefault="006F119B">
      <w:pPr>
        <w:spacing w:line="220" w:lineRule="exact"/>
        <w:jc w:val="both"/>
      </w:pPr>
    </w:p>
    <w:p w14:paraId="3A9A079C" w14:textId="52EC117E" w:rsidR="006F119B" w:rsidRDefault="006F119B" w:rsidP="00B001F2">
      <w:pPr>
        <w:spacing w:line="220" w:lineRule="exact"/>
        <w:ind w:left="360"/>
        <w:jc w:val="both"/>
      </w:pPr>
      <w:r>
        <w:t xml:space="preserve">The Court of Claims can only resolve disputes related to the public records request identified in the complaint. </w:t>
      </w:r>
      <w:r w:rsidR="009F11B3">
        <w:t xml:space="preserve"> </w:t>
      </w:r>
      <w:r>
        <w:t>Thus, if a requester make</w:t>
      </w:r>
      <w:r w:rsidR="002B54ED">
        <w:t>s</w:t>
      </w:r>
      <w:r>
        <w:t xml:space="preserve"> a new request during mediation or at any time after filing their complaint, the Court of Claims does not have jurisdiction to adjudicate disputes related to the new request.</w:t>
      </w:r>
      <w:r>
        <w:rPr>
          <w:rStyle w:val="EndnoteReference"/>
        </w:rPr>
        <w:endnoteReference w:id="866"/>
      </w:r>
    </w:p>
    <w:p w14:paraId="66382199" w14:textId="77777777" w:rsidR="006338B3" w:rsidRDefault="006338B3" w:rsidP="00B001F2">
      <w:pPr>
        <w:spacing w:line="220" w:lineRule="exact"/>
        <w:ind w:left="360"/>
        <w:jc w:val="both"/>
      </w:pPr>
    </w:p>
    <w:p w14:paraId="23BA7624" w14:textId="003E9EAB" w:rsidR="007E4D99" w:rsidRDefault="006F119B" w:rsidP="00786142">
      <w:pPr>
        <w:pStyle w:val="Heading3"/>
        <w:numPr>
          <w:ilvl w:val="0"/>
          <w:numId w:val="56"/>
        </w:numPr>
        <w:ind w:left="900" w:firstLine="540"/>
      </w:pPr>
      <w:bookmarkStart w:id="541" w:name="_Toc159851605"/>
      <w:r>
        <w:t>Requirements to prevail</w:t>
      </w:r>
      <w:bookmarkEnd w:id="541"/>
    </w:p>
    <w:p w14:paraId="5EDED82B" w14:textId="2E76EFE5" w:rsidR="007E4D99" w:rsidRDefault="007E4D99" w:rsidP="00BE5E2A">
      <w:pPr>
        <w:spacing w:line="220" w:lineRule="exact"/>
        <w:ind w:left="360"/>
        <w:jc w:val="both"/>
      </w:pPr>
      <w:r>
        <w:t xml:space="preserve">Proceedings in the Court of Claims are consistent with the burden of proof standards </w:t>
      </w:r>
      <w:r w:rsidR="005B33B7">
        <w:t>in public records mandamus actions.</w:t>
      </w:r>
      <w:r w:rsidR="005B33B7">
        <w:rPr>
          <w:rStyle w:val="EndnoteReference"/>
        </w:rPr>
        <w:endnoteReference w:id="867"/>
      </w:r>
      <w:r w:rsidR="005B33B7">
        <w:t xml:space="preserve"> That is, the requester must plead and prove facts showing that </w:t>
      </w:r>
      <w:r w:rsidR="006F119B">
        <w:t>they</w:t>
      </w:r>
      <w:r w:rsidR="005B33B7">
        <w:t xml:space="preserve"> sought public records and the public office or records custodian did not make the records available.</w:t>
      </w:r>
      <w:r w:rsidR="005B33B7">
        <w:rPr>
          <w:rStyle w:val="EndnoteReference"/>
        </w:rPr>
        <w:endnoteReference w:id="868"/>
      </w:r>
      <w:r w:rsidR="005B33B7">
        <w:t xml:space="preserve"> </w:t>
      </w:r>
      <w:r w:rsidR="009F11B3">
        <w:t xml:space="preserve"> </w:t>
      </w:r>
      <w:r w:rsidR="005B33B7">
        <w:t>The requester must establish entitlement to relief by clear and convincing evidence.</w:t>
      </w:r>
      <w:r w:rsidR="005B33B7">
        <w:rPr>
          <w:rStyle w:val="EndnoteReference"/>
        </w:rPr>
        <w:endnoteReference w:id="869"/>
      </w:r>
      <w:r w:rsidR="00C305AA">
        <w:t xml:space="preserve"> </w:t>
      </w:r>
      <w:r w:rsidR="009F11B3">
        <w:t xml:space="preserve"> </w:t>
      </w:r>
      <w:r w:rsidR="00C305AA">
        <w:t>The public office or person responsible for the records has the burden of establishing that an exemption applies.</w:t>
      </w:r>
      <w:r w:rsidR="00C305AA">
        <w:rPr>
          <w:rStyle w:val="EndnoteReference"/>
        </w:rPr>
        <w:endnoteReference w:id="870"/>
      </w:r>
      <w:r w:rsidR="005B33B7">
        <w:t xml:space="preserve"> </w:t>
      </w:r>
      <w:r w:rsidR="009F11B3">
        <w:t xml:space="preserve"> </w:t>
      </w:r>
      <w:r w:rsidR="005B33B7">
        <w:t xml:space="preserve">The public office or person responsible fails to meet that burden if it </w:t>
      </w:r>
      <w:r w:rsidR="009F11B3">
        <w:t>doe</w:t>
      </w:r>
      <w:r w:rsidR="005B33B7">
        <w:t>s not prove that the requested records fall squarely</w:t>
      </w:r>
      <w:r w:rsidR="002B72A7">
        <w:t xml:space="preserve"> within the exemption.</w:t>
      </w:r>
      <w:r w:rsidR="002B72A7">
        <w:rPr>
          <w:rStyle w:val="EndnoteReference"/>
        </w:rPr>
        <w:endnoteReference w:id="871"/>
      </w:r>
      <w:r w:rsidR="002B72A7">
        <w:t xml:space="preserve"> </w:t>
      </w:r>
      <w:r w:rsidR="009F11B3">
        <w:t xml:space="preserve"> </w:t>
      </w:r>
      <w:r w:rsidR="002B72A7">
        <w:t xml:space="preserve">For proceedings in the Court of Claims, the Supreme Court </w:t>
      </w:r>
      <w:r w:rsidR="0040318D">
        <w:t xml:space="preserve">of Ohio </w:t>
      </w:r>
      <w:r w:rsidR="002B72A7">
        <w:t>has clarified that a public office or person responsible for the records must produce competent, admissible evidence to support the exemption claimed by the public office.</w:t>
      </w:r>
      <w:r w:rsidR="002B72A7">
        <w:rPr>
          <w:rStyle w:val="EndnoteReference"/>
        </w:rPr>
        <w:endnoteReference w:id="872"/>
      </w:r>
    </w:p>
    <w:p w14:paraId="10358AC8" w14:textId="77777777" w:rsidR="00681BA7" w:rsidRDefault="00681BA7">
      <w:pPr>
        <w:spacing w:line="220" w:lineRule="exact"/>
        <w:jc w:val="both"/>
      </w:pPr>
    </w:p>
    <w:p w14:paraId="7119D998" w14:textId="7D11C2AC" w:rsidR="00681BA7" w:rsidRDefault="00681BA7" w:rsidP="00BE5E2A">
      <w:pPr>
        <w:spacing w:line="220" w:lineRule="exact"/>
        <w:ind w:left="360"/>
        <w:jc w:val="both"/>
      </w:pPr>
      <w:r>
        <w:t>Within seven business days of receiving the public office’s response to the complaint or motion to dismiss, the special master must submit a report and recommendation to the Court of Claims.</w:t>
      </w:r>
      <w:r>
        <w:rPr>
          <w:rStyle w:val="EndnoteReference"/>
        </w:rPr>
        <w:endnoteReference w:id="873"/>
      </w:r>
      <w:r>
        <w:t xml:space="preserve">  A report and recommendation is a written statement of findings by the special master and a proposal for the Court of Claims about how the case should be resolved.</w:t>
      </w:r>
      <w:r>
        <w:rPr>
          <w:rStyle w:val="EndnoteReference"/>
        </w:rPr>
        <w:endnoteReference w:id="874"/>
      </w:r>
      <w:r>
        <w:t xml:space="preserve">  All parties will receive a copy of the report and recommendation.</w:t>
      </w:r>
      <w:r>
        <w:rPr>
          <w:rStyle w:val="EndnoteReference"/>
        </w:rPr>
        <w:endnoteReference w:id="875"/>
      </w:r>
      <w:r>
        <w:t xml:space="preserve">  The parties have seven business days after receipt of the report and recommendation to file a written objection.</w:t>
      </w:r>
      <w:r>
        <w:rPr>
          <w:rStyle w:val="EndnoteReference"/>
        </w:rPr>
        <w:endnoteReference w:id="876"/>
      </w:r>
      <w:r>
        <w:t xml:space="preserve">  The objection must be specific and state with particularity all grounds for the objection</w:t>
      </w:r>
      <w:r w:rsidR="00D65B63">
        <w:t>, and must be served on the opposing party via certified mail, return receipt requested</w:t>
      </w:r>
      <w:r>
        <w:t>.</w:t>
      </w:r>
      <w:r>
        <w:rPr>
          <w:rStyle w:val="EndnoteReference"/>
        </w:rPr>
        <w:endnoteReference w:id="877"/>
      </w:r>
      <w:r>
        <w:t xml:space="preserve">  If a party objects, the other party may file a response to the objection within seven business days</w:t>
      </w:r>
      <w:r w:rsidR="004B5C85">
        <w:t xml:space="preserve"> and serve the response on the opposing party via certified mail, return receipt requested</w:t>
      </w:r>
      <w:r>
        <w:t>.</w:t>
      </w:r>
      <w:r>
        <w:rPr>
          <w:rStyle w:val="EndnoteReference"/>
        </w:rPr>
        <w:endnoteReference w:id="878"/>
      </w:r>
    </w:p>
    <w:p w14:paraId="07BD8C3E" w14:textId="77777777" w:rsidR="00681BA7" w:rsidRDefault="00681BA7">
      <w:pPr>
        <w:spacing w:line="220" w:lineRule="exact"/>
        <w:jc w:val="both"/>
      </w:pPr>
    </w:p>
    <w:p w14:paraId="09E8C893" w14:textId="2B669471" w:rsidR="006F119B" w:rsidRDefault="00681BA7" w:rsidP="00BE5E2A">
      <w:pPr>
        <w:spacing w:line="220" w:lineRule="exact"/>
        <w:ind w:left="360"/>
        <w:jc w:val="both"/>
      </w:pPr>
      <w:r>
        <w:t>If neither party timely objects, the Court of Claims must issue an order adopting the report and recommendation unless there is an error evident on its face.</w:t>
      </w:r>
      <w:r>
        <w:rPr>
          <w:rStyle w:val="EndnoteReference"/>
        </w:rPr>
        <w:endnoteReference w:id="879"/>
      </w:r>
      <w:r>
        <w:t xml:space="preserve">  There can be no appeal from this decision unless the Court of Claims materially altered the report and recommendation.</w:t>
      </w:r>
      <w:r>
        <w:rPr>
          <w:rStyle w:val="EndnoteReference"/>
        </w:rPr>
        <w:endnoteReference w:id="880"/>
      </w:r>
      <w:r>
        <w:t xml:space="preserve">  If one or more of the parties objected to the report and recommendation, the Court of Claims must issue a final order within seven business days after the final response(s) to the objection(s) is received.</w:t>
      </w:r>
      <w:r>
        <w:rPr>
          <w:rStyle w:val="EndnoteReference"/>
        </w:rPr>
        <w:endnoteReference w:id="881"/>
      </w:r>
      <w:r>
        <w:t xml:space="preserve">  </w:t>
      </w:r>
    </w:p>
    <w:p w14:paraId="19596B79" w14:textId="167CD22F" w:rsidR="006F119B" w:rsidRDefault="006F119B">
      <w:pPr>
        <w:spacing w:line="220" w:lineRule="exact"/>
        <w:jc w:val="both"/>
      </w:pPr>
    </w:p>
    <w:p w14:paraId="7806583A" w14:textId="4567F20E" w:rsidR="006F119B" w:rsidRDefault="006F119B" w:rsidP="00B001F2">
      <w:pPr>
        <w:spacing w:line="220" w:lineRule="exact"/>
        <w:ind w:left="360"/>
        <w:jc w:val="both"/>
      </w:pPr>
      <w:r>
        <w:t>If no appeal is taken and the Court of Claims determines that the public office denied access to public records in violation of R.C. 149.43(B), the Court of Claims must order the public office to permit access to the public records, and to reimburse the requester for the $25 filing fee and any other costs associated with the action that were incurred by the requester.</w:t>
      </w:r>
      <w:r>
        <w:rPr>
          <w:rStyle w:val="EndnoteReference"/>
        </w:rPr>
        <w:endnoteReference w:id="882"/>
      </w:r>
      <w:r>
        <w:t xml:space="preserve"> </w:t>
      </w:r>
      <w:r w:rsidR="009F11B3">
        <w:t xml:space="preserve"> </w:t>
      </w:r>
      <w:r>
        <w:t>The requester is not entitled to recover attorney fees</w:t>
      </w:r>
      <w:r w:rsidR="00E3206E">
        <w:t xml:space="preserve"> or other monetary relief</w:t>
      </w:r>
      <w:r>
        <w:t>.</w:t>
      </w:r>
      <w:r>
        <w:rPr>
          <w:rStyle w:val="EndnoteReference"/>
        </w:rPr>
        <w:endnoteReference w:id="883"/>
      </w:r>
    </w:p>
    <w:p w14:paraId="7363AFA9" w14:textId="77777777" w:rsidR="00B001F2" w:rsidRDefault="00B001F2" w:rsidP="00B001F2">
      <w:pPr>
        <w:spacing w:line="220" w:lineRule="exact"/>
        <w:ind w:left="360"/>
        <w:jc w:val="both"/>
      </w:pPr>
    </w:p>
    <w:p w14:paraId="3E95A9B6" w14:textId="4A403C1D" w:rsidR="00531C41" w:rsidRDefault="006F119B" w:rsidP="00786142">
      <w:pPr>
        <w:pStyle w:val="Heading3"/>
        <w:numPr>
          <w:ilvl w:val="0"/>
          <w:numId w:val="56"/>
        </w:numPr>
        <w:ind w:left="900" w:firstLine="540"/>
      </w:pPr>
      <w:bookmarkStart w:id="542" w:name="_Toc159851606"/>
      <w:r>
        <w:t>Appeals from the Court of Claims</w:t>
      </w:r>
      <w:bookmarkEnd w:id="542"/>
      <w:r w:rsidR="004D662D">
        <w:tab/>
      </w:r>
    </w:p>
    <w:p w14:paraId="0DB9C8EB" w14:textId="1E8A6B82" w:rsidR="00681BA7" w:rsidRDefault="00681BA7" w:rsidP="00BE5E2A">
      <w:pPr>
        <w:spacing w:line="220" w:lineRule="exact"/>
        <w:ind w:left="360"/>
        <w:jc w:val="both"/>
      </w:pPr>
      <w:r>
        <w:t>Either party may appeal th</w:t>
      </w:r>
      <w:r w:rsidR="00531C41">
        <w:t>e final</w:t>
      </w:r>
      <w:r>
        <w:t xml:space="preserve"> order</w:t>
      </w:r>
      <w:r w:rsidR="00531C41">
        <w:t xml:space="preserve"> from the Court of Claims</w:t>
      </w:r>
      <w:r>
        <w:t xml:space="preserve"> to the court of appeals for the appellate district where the public office is located.</w:t>
      </w:r>
      <w:r>
        <w:rPr>
          <w:rStyle w:val="EndnoteReference"/>
        </w:rPr>
        <w:endnoteReference w:id="884"/>
      </w:r>
      <w:r>
        <w:t xml:space="preserve">  Any appeal must be given precedence to ensure </w:t>
      </w:r>
      <w:r w:rsidR="00EF2546">
        <w:t>a</w:t>
      </w:r>
      <w:r>
        <w:t xml:space="preserve"> </w:t>
      </w:r>
      <w:r w:rsidR="00EF2546">
        <w:t>prompt decision</w:t>
      </w:r>
      <w:r>
        <w:t>.</w:t>
      </w:r>
      <w:r>
        <w:rPr>
          <w:rStyle w:val="EndnoteReference"/>
        </w:rPr>
        <w:endnoteReference w:id="885"/>
      </w:r>
    </w:p>
    <w:p w14:paraId="2B5DA129" w14:textId="77777777" w:rsidR="00681BA7" w:rsidRDefault="00681BA7">
      <w:pPr>
        <w:spacing w:line="220" w:lineRule="exact"/>
        <w:jc w:val="both"/>
      </w:pPr>
    </w:p>
    <w:p w14:paraId="41FC67CE" w14:textId="77777777" w:rsidR="00681BA7" w:rsidRDefault="00681BA7" w:rsidP="00BE5E2A">
      <w:pPr>
        <w:spacing w:line="220" w:lineRule="exact"/>
        <w:ind w:left="360"/>
        <w:jc w:val="both"/>
      </w:pPr>
      <w:r>
        <w:t>If the appellate court finds that the public office obviously filed an appeal with the intent to delay compliance with R.C. 149.43(B) or unduly harass the requester, the court of appeals may award reasonable attorne</w:t>
      </w:r>
      <w:r w:rsidR="00EF2546">
        <w:t>y</w:t>
      </w:r>
      <w:r>
        <w:t xml:space="preserve"> fees to the requester pursuant to R.C. 149.43(C).</w:t>
      </w:r>
      <w:r>
        <w:rPr>
          <w:rStyle w:val="EndnoteReference"/>
        </w:rPr>
        <w:endnoteReference w:id="886"/>
      </w:r>
      <w:r>
        <w:t xml:space="preserve">  No discovery can be taken on this issue, and the court is not to presume that the appeal was filed with intent to delay or harass.</w:t>
      </w:r>
      <w:r>
        <w:rPr>
          <w:rStyle w:val="EndnoteReference"/>
        </w:rPr>
        <w:endnoteReference w:id="887"/>
      </w:r>
    </w:p>
    <w:p w14:paraId="0B270F5F" w14:textId="77777777" w:rsidR="00681BA7" w:rsidRDefault="00681BA7">
      <w:pPr>
        <w:spacing w:line="220" w:lineRule="exact"/>
        <w:jc w:val="both"/>
      </w:pPr>
    </w:p>
    <w:p w14:paraId="7A84CCAD" w14:textId="77777777" w:rsidR="00681BA7" w:rsidRDefault="00673A5E">
      <w:pPr>
        <w:spacing w:line="220" w:lineRule="exact"/>
        <w:jc w:val="both"/>
      </w:pPr>
      <w:r>
        <w:br w:type="page"/>
      </w:r>
      <w:r w:rsidR="00AA189A">
        <w:lastRenderedPageBreak/>
        <w:t>N</w:t>
      </w:r>
      <w:r>
        <w:t>otes:</w:t>
      </w:r>
    </w:p>
    <w:bookmarkEnd w:id="444"/>
    <w:p w14:paraId="53AD084D" w14:textId="77777777" w:rsidR="00681BA7" w:rsidRDefault="00681BA7">
      <w:pPr>
        <w:spacing w:line="220" w:lineRule="exact"/>
        <w:ind w:left="360"/>
        <w:jc w:val="both"/>
        <w:sectPr w:rsidR="00681BA7" w:rsidSect="00AF6868">
          <w:headerReference w:type="default" r:id="rId51"/>
          <w:endnotePr>
            <w:numFmt w:val="decimal"/>
          </w:endnotePr>
          <w:pgSz w:w="12240" w:h="15840"/>
          <w:pgMar w:top="1440" w:right="1440" w:bottom="1440" w:left="1440" w:header="720" w:footer="210" w:gutter="0"/>
          <w:cols w:space="720"/>
          <w:docGrid w:linePitch="360"/>
        </w:sectPr>
      </w:pPr>
    </w:p>
    <w:p w14:paraId="30244AC4" w14:textId="469832A6" w:rsidR="00681BA7" w:rsidRPr="00A169CA" w:rsidRDefault="00681BA7" w:rsidP="0085553E">
      <w:pPr>
        <w:pStyle w:val="Heading1"/>
      </w:pPr>
      <w:bookmarkStart w:id="543" w:name="_Toc159851607"/>
      <w:bookmarkStart w:id="544" w:name="_Hlk90901272"/>
      <w:bookmarkStart w:id="545" w:name="_Hlk150426444"/>
      <w:r w:rsidRPr="00A169CA">
        <w:lastRenderedPageBreak/>
        <w:t>V</w:t>
      </w:r>
      <w:r w:rsidR="004B7E2A">
        <w:t>II</w:t>
      </w:r>
      <w:r w:rsidRPr="00A169CA">
        <w:t>.</w:t>
      </w:r>
      <w:r w:rsidRPr="00A169CA">
        <w:tab/>
        <w:t xml:space="preserve">Chapter </w:t>
      </w:r>
      <w:r w:rsidR="004B7E2A">
        <w:t>Seven</w:t>
      </w:r>
      <w:r w:rsidRPr="00A169CA">
        <w:t>:  Other Obligations of a Public Office</w:t>
      </w:r>
      <w:bookmarkEnd w:id="543"/>
    </w:p>
    <w:p w14:paraId="7B54FE0B" w14:textId="259B072F" w:rsidR="00681BA7" w:rsidRDefault="00695B2B">
      <w:pPr>
        <w:spacing w:line="220" w:lineRule="exact"/>
        <w:jc w:val="both"/>
      </w:pPr>
      <w:r>
        <w:t>In addition to producing public records,</w:t>
      </w:r>
      <w:r w:rsidR="00667C3F">
        <w:t xml:space="preserve"> the Public Records Act and other statutes impose obligations on</w:t>
      </w:r>
      <w:r>
        <w:t xml:space="preserve"> </w:t>
      </w:r>
      <w:r w:rsidR="004B05E5">
        <w:t>p</w:t>
      </w:r>
      <w:r w:rsidR="00681BA7">
        <w:t xml:space="preserve">ublic offices </w:t>
      </w:r>
      <w:r w:rsidR="00667C3F">
        <w:t>on how</w:t>
      </w:r>
      <w:r w:rsidR="00681BA7">
        <w:t xml:space="preserve"> records </w:t>
      </w:r>
      <w:r w:rsidR="004B05E5">
        <w:t>are kept and managed</w:t>
      </w:r>
      <w:r w:rsidR="00681BA7">
        <w:t>.  These include</w:t>
      </w:r>
      <w:r w:rsidR="004B05E5">
        <w:t>, but are not limited to</w:t>
      </w:r>
      <w:r w:rsidR="00681BA7">
        <w:t>:</w:t>
      </w:r>
    </w:p>
    <w:p w14:paraId="06A2D8B9" w14:textId="77777777" w:rsidR="00681BA7" w:rsidRDefault="00681BA7">
      <w:pPr>
        <w:spacing w:line="220" w:lineRule="exact"/>
        <w:jc w:val="both"/>
      </w:pPr>
    </w:p>
    <w:p w14:paraId="3060D3E6" w14:textId="2CA0FE4A" w:rsidR="00681BA7" w:rsidRDefault="00681BA7" w:rsidP="002B214D">
      <w:pPr>
        <w:numPr>
          <w:ilvl w:val="0"/>
          <w:numId w:val="4"/>
        </w:numPr>
        <w:spacing w:after="120" w:line="220" w:lineRule="exact"/>
        <w:ind w:left="1440" w:right="720"/>
        <w:jc w:val="both"/>
      </w:pPr>
      <w:r>
        <w:t>Managing</w:t>
      </w:r>
      <w:r w:rsidR="004B05E5">
        <w:t xml:space="preserve"> and organizing</w:t>
      </w:r>
      <w:r>
        <w:t xml:space="preserve"> public records</w:t>
      </w:r>
      <w:r w:rsidR="004B05E5">
        <w:t xml:space="preserve"> such that they can be made available for copying and inspection</w:t>
      </w:r>
      <w:r>
        <w:t xml:space="preserve"> in response to </w:t>
      </w:r>
      <w:r w:rsidR="004B05E5">
        <w:t xml:space="preserve">a </w:t>
      </w:r>
      <w:r>
        <w:t>public records request,</w:t>
      </w:r>
      <w:r>
        <w:rPr>
          <w:rStyle w:val="EndnoteReference"/>
        </w:rPr>
        <w:endnoteReference w:id="888"/>
      </w:r>
      <w:r>
        <w:t xml:space="preserve"> and ensuring that all records – public or not – are maintained and disposed of only in accordance with properly adopted, applicable records retention schedules;</w:t>
      </w:r>
      <w:r>
        <w:rPr>
          <w:rStyle w:val="EndnoteReference"/>
        </w:rPr>
        <w:endnoteReference w:id="889"/>
      </w:r>
    </w:p>
    <w:p w14:paraId="0DADFC38" w14:textId="77777777" w:rsidR="00681BA7" w:rsidRDefault="00681BA7" w:rsidP="002B214D">
      <w:pPr>
        <w:numPr>
          <w:ilvl w:val="0"/>
          <w:numId w:val="4"/>
        </w:numPr>
        <w:spacing w:after="120" w:line="220" w:lineRule="exact"/>
        <w:ind w:left="1440" w:right="720"/>
        <w:jc w:val="both"/>
      </w:pPr>
      <w:r>
        <w:t>Maintaining a copy of the office’s current records retention schedules at a location readily available to the public;</w:t>
      </w:r>
      <w:r>
        <w:rPr>
          <w:rStyle w:val="EndnoteReference"/>
        </w:rPr>
        <w:endnoteReference w:id="890"/>
      </w:r>
    </w:p>
    <w:p w14:paraId="66B1A5C4" w14:textId="77777777" w:rsidR="00681BA7" w:rsidRDefault="00681BA7" w:rsidP="002B214D">
      <w:pPr>
        <w:numPr>
          <w:ilvl w:val="0"/>
          <w:numId w:val="4"/>
        </w:numPr>
        <w:spacing w:after="120" w:line="220" w:lineRule="exact"/>
        <w:ind w:left="1440" w:right="720"/>
        <w:jc w:val="both"/>
      </w:pPr>
      <w:r>
        <w:t>Adopting and posting an office public records policy;</w:t>
      </w:r>
      <w:r>
        <w:rPr>
          <w:rStyle w:val="EndnoteReference"/>
        </w:rPr>
        <w:endnoteReference w:id="891"/>
      </w:r>
      <w:r>
        <w:t xml:space="preserve"> and</w:t>
      </w:r>
    </w:p>
    <w:p w14:paraId="48313D99" w14:textId="5583FE39" w:rsidR="00681BA7" w:rsidRDefault="00681BA7" w:rsidP="002B214D">
      <w:pPr>
        <w:numPr>
          <w:ilvl w:val="0"/>
          <w:numId w:val="4"/>
        </w:numPr>
        <w:spacing w:line="220" w:lineRule="exact"/>
        <w:ind w:left="1440" w:right="720"/>
        <w:jc w:val="both"/>
      </w:pPr>
      <w:r>
        <w:t>Ensuring that all elected officials associated with the public office, or their designees, obtain three hours of certified public records training once during each term of office</w:t>
      </w:r>
      <w:r w:rsidR="00667C3F">
        <w:t xml:space="preserve"> to ensure that public offices are aware of these obligations</w:t>
      </w:r>
      <w:r>
        <w:t>.</w:t>
      </w:r>
      <w:r>
        <w:rPr>
          <w:rStyle w:val="EndnoteReference"/>
        </w:rPr>
        <w:endnoteReference w:id="892"/>
      </w:r>
    </w:p>
    <w:p w14:paraId="2414F7EA" w14:textId="77777777" w:rsidR="00681BA7" w:rsidRDefault="00681BA7">
      <w:pPr>
        <w:spacing w:line="220" w:lineRule="exact"/>
        <w:jc w:val="both"/>
      </w:pPr>
    </w:p>
    <w:p w14:paraId="5377A3F9" w14:textId="66309D01" w:rsidR="00681BA7" w:rsidRDefault="004B05E5">
      <w:pPr>
        <w:spacing w:line="220" w:lineRule="exact"/>
        <w:jc w:val="both"/>
      </w:pPr>
      <w:r>
        <w:t>Using its Star Rating System (StaRS), the Auditor of State evaluates, rates, and reports on each public office’s compliance with these requirements and with best practices.</w:t>
      </w:r>
      <w:r w:rsidR="00681BA7">
        <w:rPr>
          <w:rStyle w:val="EndnoteReference"/>
        </w:rPr>
        <w:endnoteReference w:id="893"/>
      </w:r>
      <w:r w:rsidR="002C6141">
        <w:t xml:space="preserve"> </w:t>
      </w:r>
      <w:r w:rsidR="00DC3010">
        <w:t xml:space="preserve"> </w:t>
      </w:r>
      <w:r w:rsidR="002C6141">
        <w:t>These reports and ratings can be found on the Auditor of State’s Website.</w:t>
      </w:r>
      <w:r w:rsidR="002C6141">
        <w:rPr>
          <w:rStyle w:val="EndnoteReference"/>
        </w:rPr>
        <w:endnoteReference w:id="894"/>
      </w:r>
    </w:p>
    <w:p w14:paraId="2FDA6ABD" w14:textId="44A3EA2A" w:rsidR="00681BA7" w:rsidRPr="00345637" w:rsidRDefault="00681BA7" w:rsidP="00322085">
      <w:pPr>
        <w:pStyle w:val="Heading2"/>
      </w:pPr>
      <w:bookmarkStart w:id="546" w:name="_Toc159851608"/>
      <w:r w:rsidRPr="00345637">
        <w:t>A.</w:t>
      </w:r>
      <w:r w:rsidRPr="00345637">
        <w:tab/>
        <w:t>Records Management</w:t>
      </w:r>
      <w:bookmarkEnd w:id="546"/>
    </w:p>
    <w:p w14:paraId="693DA1FC" w14:textId="5F8AF262" w:rsidR="00681BA7" w:rsidRDefault="00667C3F" w:rsidP="00BE5E2A">
      <w:pPr>
        <w:spacing w:line="220" w:lineRule="exact"/>
        <w:ind w:left="360"/>
        <w:jc w:val="both"/>
      </w:pPr>
      <w:r>
        <w:t>A good records management system i</w:t>
      </w:r>
      <w:r w:rsidR="002B214D">
        <w:t>s</w:t>
      </w:r>
      <w:r w:rsidR="00681BA7">
        <w:t xml:space="preserve"> a crucial component </w:t>
      </w:r>
      <w:r>
        <w:t>to</w:t>
      </w:r>
      <w:r w:rsidR="00681BA7">
        <w:t xml:space="preserve"> </w:t>
      </w:r>
      <w:r w:rsidR="004B05E5">
        <w:t>government</w:t>
      </w:r>
      <w:r>
        <w:t xml:space="preserve"> transparency</w:t>
      </w:r>
      <w:r w:rsidR="00681BA7">
        <w:t xml:space="preserve">.  </w:t>
      </w:r>
      <w:r>
        <w:t>R</w:t>
      </w:r>
      <w:r w:rsidR="004B05E5">
        <w:t xml:space="preserve">ecords and the information they contain must be well-managed to ensure accountability, efficiency, economy, and overall good government. </w:t>
      </w:r>
    </w:p>
    <w:p w14:paraId="7C7C2BC4" w14:textId="77777777" w:rsidR="00681BA7" w:rsidRDefault="00681BA7">
      <w:pPr>
        <w:spacing w:line="220" w:lineRule="exact"/>
        <w:jc w:val="both"/>
      </w:pPr>
    </w:p>
    <w:p w14:paraId="42A7FBA2" w14:textId="49D769FB" w:rsidR="00681BA7" w:rsidRDefault="00681BA7" w:rsidP="00BE5E2A">
      <w:pPr>
        <w:spacing w:line="220" w:lineRule="exact"/>
        <w:ind w:left="360"/>
        <w:jc w:val="both"/>
      </w:pPr>
      <w:r>
        <w:t>The term “records management” encompasses two distinct obligations of a public office, each</w:t>
      </w:r>
      <w:r w:rsidR="004B05E5">
        <w:t xml:space="preserve"> </w:t>
      </w:r>
      <w:r w:rsidR="002E51ED">
        <w:t xml:space="preserve">of </w:t>
      </w:r>
      <w:r>
        <w:t xml:space="preserve">which furthers the goals of the Public Records Act.  First, </w:t>
      </w:r>
      <w:r w:rsidR="002B214D">
        <w:t>to</w:t>
      </w:r>
      <w:r>
        <w:t xml:space="preserve"> facilitate broader access to public records, a public office must organize and maintain the public records it keeps in a manner such that they can be made available for inspection or copying in response to a public records request.</w:t>
      </w:r>
      <w:r>
        <w:rPr>
          <w:rStyle w:val="EndnoteReference"/>
        </w:rPr>
        <w:endnoteReference w:id="895"/>
      </w:r>
    </w:p>
    <w:p w14:paraId="416D5263" w14:textId="77777777" w:rsidR="00681BA7" w:rsidRDefault="00681BA7">
      <w:pPr>
        <w:spacing w:line="220" w:lineRule="exact"/>
        <w:jc w:val="both"/>
      </w:pPr>
    </w:p>
    <w:p w14:paraId="488D5F19" w14:textId="520CD6DD" w:rsidR="00A94C68" w:rsidRDefault="00681BA7" w:rsidP="00BE5E2A">
      <w:pPr>
        <w:spacing w:line="220" w:lineRule="exact"/>
        <w:ind w:left="360"/>
        <w:jc w:val="both"/>
      </w:pPr>
      <w:r>
        <w:t>Second, Ohio’s records retention law, R.C. 149.351,</w:t>
      </w:r>
      <w:r w:rsidR="00667C3F">
        <w:t xml:space="preserve"> helps facilitate transparency in government and is one means of preventing the circumvention of the Public Records Act.</w:t>
      </w:r>
      <w:r w:rsidR="00667C3F">
        <w:rPr>
          <w:rStyle w:val="EndnoteReference"/>
        </w:rPr>
        <w:endnoteReference w:id="896"/>
      </w:r>
      <w:r>
        <w:t xml:space="preserve"> </w:t>
      </w:r>
      <w:r w:rsidR="00667C3F">
        <w:t xml:space="preserve">R.C. 149.351 </w:t>
      </w:r>
      <w:r>
        <w:t>prohibits</w:t>
      </w:r>
      <w:r w:rsidR="00A94C68">
        <w:t xml:space="preserve"> the removal, destruction, mutilation, transfer, damage, or disposal of any record or part of a record, except as provided by law or under the rules adopted by the records commissions (i.e., pursuant to approved records retention schedules)</w:t>
      </w:r>
      <w:r w:rsidR="002B214D">
        <w:t>.</w:t>
      </w:r>
      <w:r>
        <w:rPr>
          <w:rStyle w:val="EndnoteReference"/>
        </w:rPr>
        <w:endnoteReference w:id="897"/>
      </w:r>
      <w:r>
        <w:t xml:space="preserve">  </w:t>
      </w:r>
    </w:p>
    <w:p w14:paraId="41437F46" w14:textId="77777777" w:rsidR="00BE5E2A" w:rsidRDefault="00BE5E2A" w:rsidP="00BE5E2A">
      <w:pPr>
        <w:spacing w:line="220" w:lineRule="exact"/>
        <w:ind w:left="360"/>
        <w:jc w:val="both"/>
      </w:pPr>
    </w:p>
    <w:p w14:paraId="19FE8652" w14:textId="476C7B6B" w:rsidR="00681BA7" w:rsidRDefault="00A94C68" w:rsidP="00BE5E2A">
      <w:pPr>
        <w:spacing w:line="220" w:lineRule="exact"/>
        <w:ind w:left="360"/>
        <w:jc w:val="both"/>
      </w:pPr>
      <w:r>
        <w:t>Records that do not fall within a</w:t>
      </w:r>
      <w:r w:rsidR="00667C3F">
        <w:t>n approved</w:t>
      </w:r>
      <w:r>
        <w:t xml:space="preserve"> retention schedule</w:t>
      </w:r>
      <w:r w:rsidR="00667C3F">
        <w:t>,</w:t>
      </w:r>
      <w:r>
        <w:t xml:space="preserve"> or law </w:t>
      </w:r>
      <w:r w:rsidR="00667C3F">
        <w:t>that</w:t>
      </w:r>
      <w:r>
        <w:t xml:space="preserve"> permits their destruction cannot be destroyed and must be maintained until the public office can adopt a retention schedule </w:t>
      </w:r>
      <w:r w:rsidR="00092FD7">
        <w:t>that</w:t>
      </w:r>
      <w:r>
        <w:t xml:space="preserve"> permits their destruction.</w:t>
      </w:r>
      <w:r w:rsidR="00092FD7">
        <w:t xml:space="preserve"> </w:t>
      </w:r>
      <w:r>
        <w:t xml:space="preserve"> In the meantime, those records remain subject to public records requests. </w:t>
      </w:r>
      <w:r w:rsidR="00092FD7">
        <w:t xml:space="preserve"> </w:t>
      </w:r>
      <w:r>
        <w:t xml:space="preserve">The process for adopting records retention schedules, and resources available to public offices for doing so, are described below. </w:t>
      </w:r>
    </w:p>
    <w:p w14:paraId="5473AFE9" w14:textId="77777777" w:rsidR="00681BA7" w:rsidRDefault="00681BA7">
      <w:pPr>
        <w:spacing w:line="220" w:lineRule="exact"/>
        <w:jc w:val="both"/>
      </w:pPr>
    </w:p>
    <w:p w14:paraId="4582669C" w14:textId="5E69C785" w:rsidR="00EF488A" w:rsidRPr="007459C4" w:rsidRDefault="00A94C68" w:rsidP="00BE5E2A">
      <w:pPr>
        <w:spacing w:line="220" w:lineRule="exact"/>
        <w:ind w:left="360"/>
        <w:jc w:val="both"/>
      </w:pPr>
      <w:r>
        <w:t>But, not all documents received by a public office are “records” that must be maintained and produced upon request</w:t>
      </w:r>
      <w:r w:rsidR="00681BA7">
        <w:t>.</w:t>
      </w:r>
      <w:r w:rsidR="00681BA7">
        <w:rPr>
          <w:rStyle w:val="EndnoteReference"/>
        </w:rPr>
        <w:endnoteReference w:id="898"/>
      </w:r>
      <w:r w:rsidR="00681BA7">
        <w:t xml:space="preserve">  </w:t>
      </w:r>
      <w:r>
        <w:t xml:space="preserve">Ohio law provides that a public office shall only create records that are, “necessary for the adequate and proper documentation of the organization, functions, policies, decisions, </w:t>
      </w:r>
      <w:r w:rsidR="007459C4">
        <w:t>procedures, and essential transactions of the agency and for the protection of the legal and financial rights of the state and persons directly affected by the agency’s activities.”</w:t>
      </w:r>
      <w:r w:rsidR="007459C4">
        <w:rPr>
          <w:rStyle w:val="EndnoteReference"/>
        </w:rPr>
        <w:endnoteReference w:id="899"/>
      </w:r>
      <w:r w:rsidR="007459C4">
        <w:t xml:space="preserve"> </w:t>
      </w:r>
      <w:r w:rsidR="00092FD7">
        <w:t xml:space="preserve"> </w:t>
      </w:r>
      <w:r w:rsidR="007459C4">
        <w:t>This standard onl</w:t>
      </w:r>
      <w:r w:rsidR="00EA0483">
        <w:t>y</w:t>
      </w:r>
      <w:r w:rsidR="007459C4">
        <w:t xml:space="preserve"> addresses the records required to be </w:t>
      </w:r>
      <w:r w:rsidR="007459C4">
        <w:rPr>
          <w:i/>
        </w:rPr>
        <w:t xml:space="preserve">created </w:t>
      </w:r>
      <w:r w:rsidR="007459C4">
        <w:t xml:space="preserve">by a public office. </w:t>
      </w:r>
      <w:r w:rsidR="00092FD7">
        <w:t xml:space="preserve"> </w:t>
      </w:r>
      <w:r w:rsidR="007459C4">
        <w:t xml:space="preserve">A public office may also </w:t>
      </w:r>
      <w:r w:rsidR="007459C4">
        <w:rPr>
          <w:i/>
        </w:rPr>
        <w:t>receive</w:t>
      </w:r>
      <w:r w:rsidR="007459C4">
        <w:t xml:space="preserve"> many items in addition to those it creates. </w:t>
      </w:r>
      <w:r w:rsidR="00092FD7">
        <w:t xml:space="preserve"> </w:t>
      </w:r>
      <w:r w:rsidR="007459C4">
        <w:t>Those items might—or might not</w:t>
      </w:r>
      <w:r w:rsidR="00EC3F58">
        <w:t xml:space="preserve">—meet </w:t>
      </w:r>
      <w:r w:rsidR="007459C4">
        <w:t xml:space="preserve">the definition of a “record” </w:t>
      </w:r>
      <w:r w:rsidR="00092FD7">
        <w:t>that</w:t>
      </w:r>
      <w:r w:rsidR="007459C4">
        <w:t xml:space="preserve"> must also be retained and disposed of in accordance with records retention schedules. </w:t>
      </w:r>
      <w:r w:rsidR="00092FD7">
        <w:t xml:space="preserve"> </w:t>
      </w:r>
      <w:r w:rsidR="007459C4">
        <w:t>A public office must apply the definition of a “record” found in R.C. 149.011(G) to determine whether a particular item must be maintained and produced.</w:t>
      </w:r>
    </w:p>
    <w:p w14:paraId="5AE0DE7C" w14:textId="0C8B38F7" w:rsidR="00681BA7" w:rsidRDefault="00681BA7" w:rsidP="00322085">
      <w:pPr>
        <w:pStyle w:val="Heading3"/>
      </w:pPr>
      <w:bookmarkStart w:id="547" w:name="_Toc159851609"/>
      <w:r>
        <w:lastRenderedPageBreak/>
        <w:t>1.</w:t>
      </w:r>
      <w:r>
        <w:tab/>
        <w:t>Records management programs</w:t>
      </w:r>
      <w:bookmarkEnd w:id="547"/>
    </w:p>
    <w:p w14:paraId="7FC42092" w14:textId="559FDEE7" w:rsidR="00681BA7" w:rsidRDefault="00681BA7" w:rsidP="00BD2AE1">
      <w:pPr>
        <w:pStyle w:val="Heading4"/>
      </w:pPr>
      <w:bookmarkStart w:id="548" w:name="_Toc159851610"/>
      <w:r>
        <w:t>a.</w:t>
      </w:r>
      <w:r w:rsidR="005A29C8">
        <w:tab/>
      </w:r>
      <w:r>
        <w:tab/>
        <w:t>Local government records commissions</w:t>
      </w:r>
      <w:bookmarkEnd w:id="548"/>
    </w:p>
    <w:p w14:paraId="222285F7" w14:textId="67DF22F7" w:rsidR="00681BA7" w:rsidRDefault="00C176E0" w:rsidP="00C176E0">
      <w:pPr>
        <w:spacing w:line="220" w:lineRule="exact"/>
        <w:ind w:left="360"/>
        <w:jc w:val="both"/>
      </w:pPr>
      <w:r>
        <w:t xml:space="preserve">Ohio law provides the process through which local governments may dispose of records in accordance with rules adopted by records commissions at the </w:t>
      </w:r>
      <w:r w:rsidR="00681BA7">
        <w:t>county,</w:t>
      </w:r>
      <w:r w:rsidR="00681BA7">
        <w:rPr>
          <w:rStyle w:val="EndnoteReference"/>
        </w:rPr>
        <w:endnoteReference w:id="900"/>
      </w:r>
      <w:r w:rsidR="00681BA7">
        <w:t xml:space="preserve"> township,</w:t>
      </w:r>
      <w:r w:rsidR="00681BA7">
        <w:rPr>
          <w:rStyle w:val="EndnoteReference"/>
        </w:rPr>
        <w:endnoteReference w:id="901"/>
      </w:r>
      <w:r w:rsidR="00681BA7">
        <w:t xml:space="preserve"> and municipal</w:t>
      </w:r>
      <w:r w:rsidR="00681BA7">
        <w:rPr>
          <w:rStyle w:val="EndnoteReference"/>
        </w:rPr>
        <w:endnoteReference w:id="902"/>
      </w:r>
      <w:r w:rsidR="00681BA7">
        <w:t xml:space="preserve"> levels. Records commissions also exist for each library district,</w:t>
      </w:r>
      <w:r w:rsidR="00681BA7">
        <w:rPr>
          <w:rStyle w:val="EndnoteReference"/>
        </w:rPr>
        <w:endnoteReference w:id="903"/>
      </w:r>
      <w:r w:rsidR="00681BA7">
        <w:t xml:space="preserve"> special taxing district,</w:t>
      </w:r>
      <w:r w:rsidR="00681BA7">
        <w:rPr>
          <w:rStyle w:val="EndnoteReference"/>
        </w:rPr>
        <w:endnoteReference w:id="904"/>
      </w:r>
      <w:r w:rsidR="00681BA7">
        <w:t xml:space="preserve"> school district,</w:t>
      </w:r>
      <w:r w:rsidR="00681BA7">
        <w:rPr>
          <w:rStyle w:val="EndnoteReference"/>
        </w:rPr>
        <w:endnoteReference w:id="905"/>
      </w:r>
      <w:r w:rsidR="00681BA7">
        <w:t xml:space="preserve"> and educational service center.</w:t>
      </w:r>
      <w:r w:rsidR="00681BA7">
        <w:rPr>
          <w:rStyle w:val="EndnoteReference"/>
        </w:rPr>
        <w:endnoteReference w:id="906"/>
      </w:r>
    </w:p>
    <w:p w14:paraId="217A1133" w14:textId="77777777" w:rsidR="00681BA7" w:rsidRDefault="00681BA7">
      <w:pPr>
        <w:spacing w:line="220" w:lineRule="exact"/>
        <w:ind w:left="360"/>
        <w:jc w:val="both"/>
      </w:pPr>
    </w:p>
    <w:p w14:paraId="62F29B68" w14:textId="3B619C2E" w:rsidR="00681BA7" w:rsidRDefault="00681BA7">
      <w:pPr>
        <w:spacing w:line="220" w:lineRule="exact"/>
        <w:ind w:left="360"/>
        <w:jc w:val="both"/>
      </w:pPr>
      <w:r>
        <w:t>Records commissions are responsible for reviewing applications for one-time disposal of obsolete records, as well as records retention schedules submitted by government offices within their jurisdiction</w:t>
      </w:r>
      <w:r w:rsidR="00C176E0">
        <w:t xml:space="preserve">. </w:t>
      </w:r>
      <w:r w:rsidR="00092FD7">
        <w:t xml:space="preserve"> </w:t>
      </w:r>
      <w:r>
        <w:t xml:space="preserve">Once a </w:t>
      </w:r>
      <w:r w:rsidR="00C176E0">
        <w:t xml:space="preserve">records </w:t>
      </w:r>
      <w:r>
        <w:t>commission has approved an application or schedule, it is forwarded to the State Archives at the Ohio History Connection for review and identification of records</w:t>
      </w:r>
      <w:r>
        <w:rPr>
          <w:rStyle w:val="EndnoteReference"/>
        </w:rPr>
        <w:endnoteReference w:id="907"/>
      </w:r>
      <w:r>
        <w:t xml:space="preserve"> that the State Archives deems to be of continuing historical value.</w:t>
      </w:r>
      <w:r>
        <w:rPr>
          <w:rStyle w:val="EndnoteReference"/>
        </w:rPr>
        <w:endnoteReference w:id="908"/>
      </w:r>
      <w:r>
        <w:t xml:space="preserve">  Upon completion of that process, the Ohio History Connection will forward the application or schedule to the Auditor of State for approval or disapproval.</w:t>
      </w:r>
      <w:r>
        <w:rPr>
          <w:rStyle w:val="EndnoteReference"/>
        </w:rPr>
        <w:endnoteReference w:id="909"/>
      </w:r>
    </w:p>
    <w:p w14:paraId="1E381F9D" w14:textId="77777777" w:rsidR="006338B3" w:rsidRDefault="006338B3">
      <w:pPr>
        <w:spacing w:line="220" w:lineRule="exact"/>
        <w:ind w:left="360"/>
        <w:jc w:val="both"/>
      </w:pPr>
    </w:p>
    <w:p w14:paraId="1040C25F" w14:textId="6AFBE775" w:rsidR="00681BA7" w:rsidRDefault="00681BA7" w:rsidP="00BD2AE1">
      <w:pPr>
        <w:pStyle w:val="Heading4"/>
      </w:pPr>
      <w:bookmarkStart w:id="549" w:name="_Toc159851611"/>
      <w:r>
        <w:t>b.</w:t>
      </w:r>
      <w:r>
        <w:tab/>
      </w:r>
      <w:r w:rsidR="005A29C8">
        <w:tab/>
      </w:r>
      <w:r>
        <w:t>State records program</w:t>
      </w:r>
      <w:bookmarkEnd w:id="549"/>
    </w:p>
    <w:p w14:paraId="1F6D64F8" w14:textId="005304F6" w:rsidR="00681BA7" w:rsidRDefault="00681BA7">
      <w:pPr>
        <w:spacing w:line="220" w:lineRule="exact"/>
        <w:ind w:left="360"/>
        <w:jc w:val="both"/>
      </w:pPr>
      <w:r>
        <w:t>The Ohio Department of Administrative Services (DAS) administers the records program for all state agencies,</w:t>
      </w:r>
      <w:r>
        <w:rPr>
          <w:rStyle w:val="EndnoteReference"/>
        </w:rPr>
        <w:endnoteReference w:id="910"/>
      </w:r>
      <w:r>
        <w:t xml:space="preserve"> </w:t>
      </w:r>
      <w:r w:rsidR="002B214D">
        <w:t>except for</w:t>
      </w:r>
      <w:r>
        <w:t xml:space="preserve"> state-supported institutions of higher education, and upon request for the legislative and judicial branches of government.</w:t>
      </w:r>
      <w:r>
        <w:rPr>
          <w:rStyle w:val="EndnoteReference"/>
        </w:rPr>
        <w:endnoteReference w:id="911"/>
      </w:r>
      <w:r>
        <w:t xml:space="preserve">  Among its other duties, the state records program is responsible for establishing “general schedules” for the disposal of certain types of records common to most state agencies.  State agencies must affirmatively adopt existing general schedules</w:t>
      </w:r>
      <w:r w:rsidR="00C176E0">
        <w:t xml:space="preserve"> within the Records and Information Management System (RIMS), that</w:t>
      </w:r>
      <w:r>
        <w:t xml:space="preserve"> they wish to utilize.</w:t>
      </w:r>
      <w:r>
        <w:rPr>
          <w:rStyle w:val="EndnoteReference"/>
        </w:rPr>
        <w:endnoteReference w:id="912"/>
      </w:r>
      <w:r>
        <w:t xml:space="preserve">  Once a general schedule has been officially adopted by a state agency, when the time specified in the general schedule has elapsed, the records identified should no longer have sufficient administrative, legal, fiscal, or other value to warrant further preservation by the state.</w:t>
      </w:r>
      <w:r>
        <w:rPr>
          <w:rStyle w:val="EndnoteReference"/>
        </w:rPr>
        <w:endnoteReference w:id="913"/>
      </w:r>
    </w:p>
    <w:p w14:paraId="42C7493F" w14:textId="77777777" w:rsidR="00681BA7" w:rsidRDefault="00681BA7">
      <w:pPr>
        <w:spacing w:line="220" w:lineRule="exact"/>
        <w:ind w:left="360"/>
        <w:jc w:val="both"/>
      </w:pPr>
    </w:p>
    <w:p w14:paraId="7251D6D7" w14:textId="1987B0C4" w:rsidR="00681BA7" w:rsidRDefault="00681BA7">
      <w:pPr>
        <w:spacing w:line="220" w:lineRule="exact"/>
        <w:ind w:left="360"/>
        <w:jc w:val="both"/>
      </w:pPr>
      <w:r>
        <w:t>If a state agency keeps a record series that does not fit into an existing state general schedule, or if it wishes to modify the language of a general schedule to better suit its needs, the state agency can submit its own proposed retention schedules to DAS</w:t>
      </w:r>
      <w:r w:rsidR="00EC3F58">
        <w:t xml:space="preserve"> online</w:t>
      </w:r>
      <w:r>
        <w:t xml:space="preserve"> via RIMS for approval by DAS, the Auditor of State, and the State Archivist.</w:t>
      </w:r>
      <w:r w:rsidR="002436A6">
        <w:rPr>
          <w:rStyle w:val="EndnoteReference"/>
        </w:rPr>
        <w:endnoteReference w:id="914"/>
      </w:r>
    </w:p>
    <w:p w14:paraId="48ABF7F5" w14:textId="77777777" w:rsidR="00681BA7" w:rsidRDefault="00681BA7">
      <w:pPr>
        <w:spacing w:line="220" w:lineRule="exact"/>
        <w:ind w:left="360"/>
        <w:jc w:val="both"/>
      </w:pPr>
    </w:p>
    <w:p w14:paraId="0854439B" w14:textId="03CBFDFB" w:rsidR="00681BA7" w:rsidRDefault="00681BA7" w:rsidP="00D82158">
      <w:pPr>
        <w:spacing w:line="220" w:lineRule="exact"/>
        <w:ind w:left="360"/>
        <w:jc w:val="both"/>
      </w:pPr>
      <w:r>
        <w:t xml:space="preserve">The </w:t>
      </w:r>
      <w:r w:rsidR="00092FD7">
        <w:t>S</w:t>
      </w:r>
      <w:r>
        <w:t>tate’s records program works in a similar fashion to local records commissions, except that applications and schedules are f</w:t>
      </w:r>
      <w:r w:rsidR="00C176E0">
        <w:t>irst submitted to the DAS state records program for it to recommend approval, rejection, or modification. DAS then forwards its recommendation to State Archi</w:t>
      </w:r>
      <w:r w:rsidR="00EC3F58">
        <w:t>v</w:t>
      </w:r>
      <w:r w:rsidR="00C176E0">
        <w:t>es and to the Auditor of State</w:t>
      </w:r>
      <w:r>
        <w:t>.</w:t>
      </w:r>
      <w:r>
        <w:rPr>
          <w:rStyle w:val="EndnoteReference"/>
        </w:rPr>
        <w:endnoteReference w:id="915"/>
      </w:r>
      <w:r>
        <w:t xml:space="preserve">  </w:t>
      </w:r>
      <w:r w:rsidR="00C176E0">
        <w:t xml:space="preserve">The State Auditor decides whether to approve, reject, or modify applications and schedules based on the continuing administrative and </w:t>
      </w:r>
      <w:r w:rsidR="00D82158">
        <w:t>f</w:t>
      </w:r>
      <w:r w:rsidR="00C176E0">
        <w:t xml:space="preserve">iscal value </w:t>
      </w:r>
      <w:r w:rsidR="00D82158">
        <w:t>of the state records to the state or to its citizens</w:t>
      </w:r>
      <w:r>
        <w:t>.</w:t>
      </w:r>
      <w:r>
        <w:rPr>
          <w:rStyle w:val="EndnoteReference"/>
        </w:rPr>
        <w:endnoteReference w:id="916"/>
      </w:r>
      <w:r w:rsidR="00D82158">
        <w:t xml:space="preserve"> </w:t>
      </w:r>
      <w:r w:rsidR="00092FD7">
        <w:t xml:space="preserve"> </w:t>
      </w:r>
      <w:r w:rsidR="00D82158">
        <w:t xml:space="preserve">If the Auditor does not approve the application and schedule, the state agency will be notified. </w:t>
      </w:r>
      <w:r w:rsidR="00092FD7">
        <w:t xml:space="preserve"> </w:t>
      </w:r>
      <w:r w:rsidR="00D82158">
        <w:t xml:space="preserve">State Archives will review the proposed schedule to identify records which may have enduring historical value which should be preserved. </w:t>
      </w:r>
    </w:p>
    <w:p w14:paraId="21415344" w14:textId="77777777" w:rsidR="006338B3" w:rsidRDefault="006338B3" w:rsidP="00D82158">
      <w:pPr>
        <w:spacing w:line="220" w:lineRule="exact"/>
        <w:ind w:left="360"/>
        <w:jc w:val="both"/>
      </w:pPr>
    </w:p>
    <w:p w14:paraId="23B23D5E" w14:textId="16C3921F" w:rsidR="00681BA7" w:rsidRDefault="00681BA7" w:rsidP="00BD2AE1">
      <w:pPr>
        <w:pStyle w:val="Heading4"/>
      </w:pPr>
      <w:bookmarkStart w:id="550" w:name="_Toc159851612"/>
      <w:r>
        <w:t>c.</w:t>
      </w:r>
      <w:r>
        <w:tab/>
      </w:r>
      <w:r w:rsidR="005A29C8">
        <w:tab/>
      </w:r>
      <w:r>
        <w:t xml:space="preserve">Records program for state-supported colleges and </w:t>
      </w:r>
      <w:r w:rsidR="006338B3">
        <w:tab/>
      </w:r>
      <w:r w:rsidR="006338B3">
        <w:tab/>
      </w:r>
      <w:r w:rsidR="006338B3">
        <w:tab/>
      </w:r>
      <w:r w:rsidR="006338B3">
        <w:tab/>
      </w:r>
      <w:r w:rsidR="006338B3">
        <w:tab/>
      </w:r>
      <w:r>
        <w:t>universities</w:t>
      </w:r>
      <w:bookmarkEnd w:id="550"/>
    </w:p>
    <w:p w14:paraId="2E5E61B4" w14:textId="0BF1F0FE" w:rsidR="00EF488A" w:rsidRDefault="00681BA7" w:rsidP="002B214D">
      <w:pPr>
        <w:spacing w:line="220" w:lineRule="exact"/>
        <w:ind w:left="360"/>
        <w:jc w:val="both"/>
      </w:pPr>
      <w:r>
        <w:t>State-supported institutions of higher education are unique in that their records programs are established and administered by their respective boards of trustees rather than a separate records commission or the State’s records program.</w:t>
      </w:r>
      <w:r>
        <w:rPr>
          <w:rStyle w:val="EndnoteReference"/>
        </w:rPr>
        <w:endnoteReference w:id="917"/>
      </w:r>
      <w:r>
        <w:t xml:space="preserve">  Through their records programs, these state offices are charged with applying efficient and economical management methods to the creation,</w:t>
      </w:r>
      <w:r w:rsidR="00D82158">
        <w:t xml:space="preserve"> </w:t>
      </w:r>
      <w:r>
        <w:t>utilization, maintenance, retention, preservation, and disposition of records.</w:t>
      </w:r>
      <w:r>
        <w:rPr>
          <w:rStyle w:val="EndnoteReference"/>
        </w:rPr>
        <w:endnoteReference w:id="918"/>
      </w:r>
    </w:p>
    <w:p w14:paraId="2FEC23D1" w14:textId="77777777" w:rsidR="006338B3" w:rsidRDefault="006338B3" w:rsidP="002B214D">
      <w:pPr>
        <w:spacing w:line="220" w:lineRule="exact"/>
        <w:ind w:left="360"/>
        <w:jc w:val="both"/>
      </w:pPr>
    </w:p>
    <w:p w14:paraId="48CDBEA1" w14:textId="77777777" w:rsidR="006338B3" w:rsidRDefault="006338B3" w:rsidP="002B214D">
      <w:pPr>
        <w:spacing w:line="220" w:lineRule="exact"/>
        <w:ind w:left="360"/>
        <w:jc w:val="both"/>
      </w:pPr>
    </w:p>
    <w:p w14:paraId="01386306" w14:textId="77777777" w:rsidR="006338B3" w:rsidRDefault="006338B3" w:rsidP="002B214D">
      <w:pPr>
        <w:spacing w:line="220" w:lineRule="exact"/>
        <w:ind w:left="360"/>
        <w:jc w:val="both"/>
      </w:pPr>
    </w:p>
    <w:p w14:paraId="13510085" w14:textId="206C5DB3" w:rsidR="00681BA7" w:rsidRDefault="00681BA7" w:rsidP="00322085">
      <w:pPr>
        <w:pStyle w:val="Heading3"/>
      </w:pPr>
      <w:bookmarkStart w:id="551" w:name="_Toc159851613"/>
      <w:r>
        <w:lastRenderedPageBreak/>
        <w:t>2.</w:t>
      </w:r>
      <w:r>
        <w:tab/>
        <w:t>Records retention and disposition</w:t>
      </w:r>
      <w:bookmarkEnd w:id="551"/>
    </w:p>
    <w:p w14:paraId="258D9774" w14:textId="037D953A" w:rsidR="00681BA7" w:rsidRDefault="00681BA7" w:rsidP="00BD2AE1">
      <w:pPr>
        <w:pStyle w:val="Heading4"/>
      </w:pPr>
      <w:bookmarkStart w:id="552" w:name="_Toc159851614"/>
      <w:r>
        <w:t>a.</w:t>
      </w:r>
      <w:r>
        <w:tab/>
      </w:r>
      <w:r w:rsidR="005A29C8">
        <w:tab/>
      </w:r>
      <w:r>
        <w:t>Retention schedules</w:t>
      </w:r>
      <w:bookmarkEnd w:id="552"/>
    </w:p>
    <w:p w14:paraId="43F80C44" w14:textId="27C79DB3" w:rsidR="00681BA7" w:rsidRDefault="00681BA7">
      <w:pPr>
        <w:spacing w:line="220" w:lineRule="exact"/>
        <w:ind w:left="360"/>
        <w:jc w:val="both"/>
      </w:pPr>
      <w:r>
        <w:t>Records of a public office may be destroyed, but only if they are destroyed in compliance with a properly</w:t>
      </w:r>
      <w:r w:rsidR="00092FD7">
        <w:t>-</w:t>
      </w:r>
      <w:r>
        <w:t>approved records retention schedule.</w:t>
      </w:r>
      <w:r>
        <w:rPr>
          <w:rStyle w:val="EndnoteReference"/>
        </w:rPr>
        <w:endnoteReference w:id="919"/>
      </w:r>
      <w:r>
        <w:t xml:space="preserve"> However, if the retention schedule does not address the particular type of record in question, the record must be kept until the schedule is properly amended to address that category of records.</w:t>
      </w:r>
      <w:r>
        <w:rPr>
          <w:rStyle w:val="EndnoteReference"/>
        </w:rPr>
        <w:endnoteReference w:id="920"/>
      </w:r>
      <w:r>
        <w:t xml:space="preserve">  Also, if a public record is retained beyond its properly</w:t>
      </w:r>
      <w:r w:rsidR="00092FD7">
        <w:t>-</w:t>
      </w:r>
      <w:r>
        <w:t>approved destruction date, it keeps its public record status and is subject to public records requests until it is destroyed.</w:t>
      </w:r>
      <w:r>
        <w:rPr>
          <w:rStyle w:val="EndnoteReference"/>
        </w:rPr>
        <w:endnoteReference w:id="921"/>
      </w:r>
    </w:p>
    <w:p w14:paraId="1DFB5F5A" w14:textId="77777777" w:rsidR="00681BA7" w:rsidRDefault="00681BA7">
      <w:pPr>
        <w:spacing w:line="220" w:lineRule="exact"/>
        <w:ind w:left="360"/>
        <w:jc w:val="both"/>
      </w:pPr>
    </w:p>
    <w:p w14:paraId="4F85C095" w14:textId="3E7CFAE2" w:rsidR="00681BA7" w:rsidRDefault="00681BA7" w:rsidP="00D82158">
      <w:pPr>
        <w:spacing w:line="220" w:lineRule="exact"/>
        <w:ind w:left="360"/>
        <w:jc w:val="both"/>
      </w:pPr>
      <w:r>
        <w:t>In crafting proposed records retention schedules, a public office must evaluate the length of time each type of record needs to be retained after it has been received or created by the office for administrative, legal, or fiscal purposes.</w:t>
      </w:r>
      <w:r>
        <w:rPr>
          <w:rStyle w:val="EndnoteReference"/>
        </w:rPr>
        <w:endnoteReference w:id="922"/>
      </w:r>
      <w:r>
        <w:t xml:space="preserve">  Consideration should also be given to </w:t>
      </w:r>
      <w:r w:rsidR="00D82158">
        <w:t xml:space="preserve">whether a record has historical value, a factor that the State Archives at the Ohio History Connection will also consider when conducting its review. </w:t>
      </w:r>
      <w:r w:rsidR="00092FD7">
        <w:t xml:space="preserve"> </w:t>
      </w:r>
      <w:r>
        <w:t xml:space="preserve">Local records commissions may consult with the State Archives at the Ohio History Connection </w:t>
      </w:r>
      <w:r w:rsidR="00D82158">
        <w:t>when setting retention schedules</w:t>
      </w:r>
      <w:r w:rsidR="00092FD7">
        <w:t>.</w:t>
      </w:r>
      <w:r>
        <w:rPr>
          <w:rStyle w:val="EndnoteReference"/>
        </w:rPr>
        <w:endnoteReference w:id="923"/>
      </w:r>
      <w:r>
        <w:t xml:space="preserve"> </w:t>
      </w:r>
      <w:r w:rsidR="00092FD7">
        <w:t xml:space="preserve"> T</w:t>
      </w:r>
      <w:r>
        <w:t xml:space="preserve">he </w:t>
      </w:r>
      <w:r w:rsidR="00D82158">
        <w:t xml:space="preserve">DAS </w:t>
      </w:r>
      <w:r>
        <w:t xml:space="preserve">state records program </w:t>
      </w:r>
      <w:r w:rsidR="00092FD7">
        <w:t xml:space="preserve">also </w:t>
      </w:r>
      <w:r>
        <w:t>offers consulting services for state offices.</w:t>
      </w:r>
      <w:r>
        <w:rPr>
          <w:rStyle w:val="EndnoteReference"/>
        </w:rPr>
        <w:endnoteReference w:id="924"/>
      </w:r>
    </w:p>
    <w:p w14:paraId="071E28FF" w14:textId="77777777" w:rsidR="006338B3" w:rsidRDefault="006338B3" w:rsidP="00D82158">
      <w:pPr>
        <w:spacing w:line="220" w:lineRule="exact"/>
        <w:ind w:left="360"/>
        <w:jc w:val="both"/>
      </w:pPr>
    </w:p>
    <w:p w14:paraId="5939F981" w14:textId="406DE59B" w:rsidR="00681BA7" w:rsidRDefault="00681BA7" w:rsidP="00BD2AE1">
      <w:pPr>
        <w:pStyle w:val="Heading4"/>
      </w:pPr>
      <w:bookmarkStart w:id="553" w:name="_Toc159851615"/>
      <w:r>
        <w:t>b.</w:t>
      </w:r>
      <w:r>
        <w:tab/>
      </w:r>
      <w:r w:rsidR="005A29C8">
        <w:tab/>
      </w:r>
      <w:r>
        <w:t>Transient records</w:t>
      </w:r>
      <w:bookmarkEnd w:id="553"/>
    </w:p>
    <w:p w14:paraId="2025C0DA" w14:textId="38557B9B" w:rsidR="00681BA7" w:rsidRDefault="00092FD7">
      <w:pPr>
        <w:spacing w:line="220" w:lineRule="exact"/>
        <w:ind w:left="360"/>
        <w:jc w:val="both"/>
      </w:pPr>
      <w:r>
        <w:t xml:space="preserve">Transient records are records that contain information of short-term usefulness or value to the public office.  Examples of transient records include voicemail messages, telephone message slips, post-it notes, and superseded drafts.  </w:t>
      </w:r>
      <w:r w:rsidR="00CC77F7">
        <w:t>Adopting</w:t>
      </w:r>
      <w:r w:rsidR="00681BA7">
        <w:t xml:space="preserve"> a schedule for transient records</w:t>
      </w:r>
      <w:r>
        <w:t xml:space="preserve"> </w:t>
      </w:r>
      <w:r w:rsidR="00681BA7">
        <w:t>allows a public office to dispose of these records once they are no longer of administrative value.</w:t>
      </w:r>
      <w:r w:rsidR="00681BA7">
        <w:rPr>
          <w:rStyle w:val="EndnoteReference"/>
        </w:rPr>
        <w:endnoteReference w:id="925"/>
      </w:r>
      <w:r w:rsidR="00681BA7">
        <w:t xml:space="preserve">  </w:t>
      </w:r>
      <w:r w:rsidR="00560ADC">
        <w:t>Both the State Archives at the Ohio History Connection and the DAS state records programs have examples of adoptable retention schedules concerning transient records.</w:t>
      </w:r>
      <w:r w:rsidR="00560ADC">
        <w:rPr>
          <w:rStyle w:val="EndnoteReference"/>
        </w:rPr>
        <w:endnoteReference w:id="926"/>
      </w:r>
    </w:p>
    <w:p w14:paraId="4816C282" w14:textId="77777777" w:rsidR="006338B3" w:rsidRDefault="006338B3">
      <w:pPr>
        <w:spacing w:line="220" w:lineRule="exact"/>
        <w:ind w:left="360"/>
        <w:jc w:val="both"/>
      </w:pPr>
    </w:p>
    <w:p w14:paraId="63642FC1" w14:textId="11BF4CAB" w:rsidR="00681BA7" w:rsidRDefault="00681BA7" w:rsidP="00BD2AE1">
      <w:pPr>
        <w:pStyle w:val="Heading4"/>
      </w:pPr>
      <w:bookmarkStart w:id="554" w:name="_Toc159851616"/>
      <w:r>
        <w:t>c.</w:t>
      </w:r>
      <w:r>
        <w:tab/>
      </w:r>
      <w:r w:rsidR="005A29C8">
        <w:tab/>
      </w:r>
      <w:r>
        <w:t>Records disposition</w:t>
      </w:r>
      <w:bookmarkEnd w:id="554"/>
    </w:p>
    <w:p w14:paraId="45ECE648" w14:textId="4273B031" w:rsidR="00602AB6" w:rsidRDefault="00681BA7" w:rsidP="00CC77F7">
      <w:pPr>
        <w:spacing w:line="220" w:lineRule="exact"/>
        <w:ind w:left="360"/>
        <w:jc w:val="both"/>
      </w:pPr>
      <w:r>
        <w:t xml:space="preserve">It is important to document the </w:t>
      </w:r>
      <w:r w:rsidR="00CC77F7">
        <w:t>destruction</w:t>
      </w:r>
      <w:r>
        <w:t xml:space="preserve"> of records </w:t>
      </w:r>
      <w:r w:rsidR="00CC77F7">
        <w:t xml:space="preserve">that have met their approved retention periods. </w:t>
      </w:r>
      <w:r w:rsidR="00092FD7">
        <w:t xml:space="preserve"> </w:t>
      </w:r>
      <w:r w:rsidR="00602AB6">
        <w:t>Properly tracking disposal of records allows a public office to verify which records it still maintains and to defend itself against any allegation of improper destruction.</w:t>
      </w:r>
    </w:p>
    <w:p w14:paraId="54F8E654" w14:textId="77777777" w:rsidR="00602AB6" w:rsidRDefault="00602AB6" w:rsidP="00CC77F7">
      <w:pPr>
        <w:spacing w:line="220" w:lineRule="exact"/>
        <w:ind w:left="360"/>
        <w:jc w:val="both"/>
      </w:pPr>
    </w:p>
    <w:p w14:paraId="3675BCC6" w14:textId="12B243D2" w:rsidR="00602AB6" w:rsidRDefault="00602AB6" w:rsidP="002B214D">
      <w:pPr>
        <w:pStyle w:val="ListParagraph"/>
        <w:numPr>
          <w:ilvl w:val="0"/>
          <w:numId w:val="58"/>
        </w:numPr>
        <w:spacing w:line="220" w:lineRule="exact"/>
        <w:ind w:left="1440"/>
        <w:jc w:val="both"/>
      </w:pPr>
      <w:r>
        <w:t xml:space="preserve">If required per the applicable records retention schedule (RC-2 form), </w:t>
      </w:r>
      <w:r w:rsidR="00CC77F7">
        <w:t xml:space="preserve">a </w:t>
      </w:r>
      <w:r w:rsidR="00EA0483">
        <w:t xml:space="preserve">local government </w:t>
      </w:r>
      <w:r w:rsidR="00CC77F7">
        <w:t>record</w:t>
      </w:r>
      <w:r w:rsidR="00EA0483">
        <w:t>s</w:t>
      </w:r>
      <w:r w:rsidR="00CC77F7">
        <w:t xml:space="preserve"> commission must</w:t>
      </w:r>
      <w:r>
        <w:t xml:space="preserve"> submit, at least </w:t>
      </w:r>
      <w:r w:rsidR="00092FD7">
        <w:t>15</w:t>
      </w:r>
      <w:r>
        <w:t xml:space="preserve"> days before disposing of public records, </w:t>
      </w:r>
      <w:r w:rsidR="00CC77F7">
        <w:t>a Certificate of Records Disposal (RC-3</w:t>
      </w:r>
      <w:r>
        <w:t xml:space="preserve"> form</w:t>
      </w:r>
      <w:r w:rsidR="00CC77F7">
        <w:t xml:space="preserve">) with the State Archives at the Ohio History Connection </w:t>
      </w:r>
      <w:r w:rsidR="002B214D">
        <w:t>to</w:t>
      </w:r>
      <w:r w:rsidR="00CC77F7">
        <w:t xml:space="preserve"> allow the State Archives </w:t>
      </w:r>
      <w:r w:rsidR="00EA0483">
        <w:t>t</w:t>
      </w:r>
      <w:r w:rsidR="00CC77F7">
        <w:t>o select records of enduring historical value</w:t>
      </w:r>
      <w:r w:rsidR="00681BA7">
        <w:t>.</w:t>
      </w:r>
      <w:r w:rsidR="002436A6">
        <w:rPr>
          <w:rStyle w:val="EndnoteReference"/>
        </w:rPr>
        <w:endnoteReference w:id="927"/>
      </w:r>
      <w:r w:rsidR="00681BA7">
        <w:t xml:space="preserve">  </w:t>
      </w:r>
    </w:p>
    <w:p w14:paraId="6FBEF876" w14:textId="77777777" w:rsidR="00D46D0B" w:rsidRDefault="00D46D0B" w:rsidP="002B214D">
      <w:pPr>
        <w:pStyle w:val="ListParagraph"/>
        <w:spacing w:line="220" w:lineRule="exact"/>
        <w:ind w:left="1440"/>
        <w:jc w:val="both"/>
      </w:pPr>
    </w:p>
    <w:p w14:paraId="3F5ED483" w14:textId="79D32160" w:rsidR="00602AB6" w:rsidRDefault="00681BA7" w:rsidP="002B214D">
      <w:pPr>
        <w:pStyle w:val="ListParagraph"/>
        <w:numPr>
          <w:ilvl w:val="0"/>
          <w:numId w:val="58"/>
        </w:numPr>
        <w:spacing w:line="220" w:lineRule="exact"/>
        <w:ind w:left="1440"/>
        <w:jc w:val="both"/>
      </w:pPr>
      <w:r>
        <w:t>State agencies can document their records disposals on the RIMS system or in-house.</w:t>
      </w:r>
      <w:r w:rsidR="002436A6">
        <w:rPr>
          <w:rStyle w:val="EndnoteReference"/>
        </w:rPr>
        <w:endnoteReference w:id="928"/>
      </w:r>
      <w:r>
        <w:t xml:space="preserve">  </w:t>
      </w:r>
    </w:p>
    <w:p w14:paraId="644FC092" w14:textId="77777777" w:rsidR="006338B3" w:rsidRDefault="006338B3" w:rsidP="006338B3">
      <w:pPr>
        <w:pStyle w:val="ListParagraph"/>
        <w:spacing w:line="220" w:lineRule="exact"/>
        <w:ind w:left="1440"/>
        <w:jc w:val="both"/>
      </w:pPr>
    </w:p>
    <w:p w14:paraId="3F1FECFE" w14:textId="22293C28" w:rsidR="00681BA7" w:rsidRDefault="00681BA7" w:rsidP="00322085">
      <w:pPr>
        <w:pStyle w:val="Heading3"/>
      </w:pPr>
      <w:bookmarkStart w:id="555" w:name="_Toc159851617"/>
      <w:r>
        <w:t>3.</w:t>
      </w:r>
      <w:r>
        <w:tab/>
        <w:t xml:space="preserve">Liability for unauthorized destruction, damage, or disposal of </w:t>
      </w:r>
      <w:r w:rsidR="006338B3">
        <w:tab/>
      </w:r>
      <w:r w:rsidR="006338B3">
        <w:tab/>
      </w:r>
      <w:r w:rsidR="006338B3">
        <w:tab/>
      </w:r>
      <w:r>
        <w:t>records</w:t>
      </w:r>
      <w:bookmarkEnd w:id="555"/>
    </w:p>
    <w:p w14:paraId="60FD956E" w14:textId="6B243BB9" w:rsidR="00EF488A" w:rsidRDefault="00BD1990" w:rsidP="002B214D">
      <w:pPr>
        <w:spacing w:line="220" w:lineRule="exact"/>
        <w:ind w:left="360"/>
        <w:jc w:val="both"/>
      </w:pPr>
      <w:r>
        <w:t>All records are considered the property of the public office and must be delivered by outgoing officials and employees to their successors in office</w:t>
      </w:r>
      <w:r w:rsidR="00681BA7">
        <w:t>.</w:t>
      </w:r>
      <w:r w:rsidR="00681BA7">
        <w:rPr>
          <w:rStyle w:val="EndnoteReference"/>
        </w:rPr>
        <w:endnoteReference w:id="929"/>
      </w:r>
      <w:r w:rsidR="00681BA7">
        <w:t xml:space="preserve">  Improper removal, destruction, damage or other disposition of a record is a violation of R.C. 149.351(A).</w:t>
      </w:r>
    </w:p>
    <w:p w14:paraId="41FAE15A" w14:textId="77777777" w:rsidR="006338B3" w:rsidRDefault="006338B3" w:rsidP="002B214D">
      <w:pPr>
        <w:spacing w:line="220" w:lineRule="exact"/>
        <w:ind w:left="360"/>
        <w:jc w:val="both"/>
      </w:pPr>
    </w:p>
    <w:p w14:paraId="40285D40" w14:textId="133D0479" w:rsidR="00681BA7" w:rsidRDefault="00681BA7" w:rsidP="00BD2AE1">
      <w:pPr>
        <w:pStyle w:val="Heading4"/>
      </w:pPr>
      <w:bookmarkStart w:id="556" w:name="_Toc159851618"/>
      <w:r>
        <w:t>a.</w:t>
      </w:r>
      <w:r>
        <w:tab/>
      </w:r>
      <w:r w:rsidR="005A29C8">
        <w:tab/>
      </w:r>
      <w:r>
        <w:t>Injunction and civil forfeiture</w:t>
      </w:r>
      <w:bookmarkEnd w:id="556"/>
    </w:p>
    <w:p w14:paraId="678E40E8" w14:textId="5248603F" w:rsidR="00681BA7" w:rsidRDefault="00681BA7">
      <w:pPr>
        <w:spacing w:line="220" w:lineRule="exact"/>
        <w:ind w:left="360"/>
        <w:jc w:val="both"/>
      </w:pPr>
      <w:r>
        <w:t>Ohio law allows “any person who is aggrieved by”</w:t>
      </w:r>
      <w:r>
        <w:rPr>
          <w:rStyle w:val="EndnoteReference"/>
        </w:rPr>
        <w:endnoteReference w:id="930"/>
      </w:r>
      <w:r>
        <w:t xml:space="preserve"> the “removal, destruction, mutilation, transfer, or other damage to or disposition of a record,” or by the threat of such action, to file either or both of the following types of lawsuits in the appropriate common pleas court:</w:t>
      </w:r>
    </w:p>
    <w:p w14:paraId="575CEA42" w14:textId="77777777" w:rsidR="00681BA7" w:rsidRDefault="00681BA7">
      <w:pPr>
        <w:spacing w:line="220" w:lineRule="exact"/>
        <w:ind w:left="720"/>
        <w:jc w:val="both"/>
      </w:pPr>
    </w:p>
    <w:p w14:paraId="2293C7FC" w14:textId="77777777" w:rsidR="00681BA7" w:rsidRDefault="00681BA7" w:rsidP="002B214D">
      <w:pPr>
        <w:numPr>
          <w:ilvl w:val="0"/>
          <w:numId w:val="5"/>
        </w:numPr>
        <w:spacing w:line="220" w:lineRule="exact"/>
        <w:ind w:left="1440"/>
        <w:jc w:val="both"/>
      </w:pPr>
      <w:r>
        <w:lastRenderedPageBreak/>
        <w:t>A civil action for an injunction to force the public office to comply with R.C. 149.351(A), as well as any reasonable attorney fees associated with the suit.</w:t>
      </w:r>
      <w:r>
        <w:rPr>
          <w:rStyle w:val="EndnoteReference"/>
        </w:rPr>
        <w:endnoteReference w:id="931"/>
      </w:r>
    </w:p>
    <w:p w14:paraId="1A6BD881" w14:textId="77777777" w:rsidR="00681BA7" w:rsidRDefault="00681BA7" w:rsidP="002B214D">
      <w:pPr>
        <w:spacing w:line="220" w:lineRule="exact"/>
        <w:ind w:left="1440"/>
        <w:jc w:val="both"/>
      </w:pPr>
    </w:p>
    <w:p w14:paraId="365D8B0E" w14:textId="7F2EBD10" w:rsidR="00681BA7" w:rsidRDefault="00681BA7" w:rsidP="002B214D">
      <w:pPr>
        <w:numPr>
          <w:ilvl w:val="0"/>
          <w:numId w:val="5"/>
        </w:numPr>
        <w:spacing w:line="220" w:lineRule="exact"/>
        <w:ind w:left="1440"/>
        <w:jc w:val="both"/>
      </w:pPr>
      <w:r>
        <w:t>A civil action to recover a forfeiture of $1,000 for each violation of R.C. 149.351(A), not to exceed a total of $10,000 (regardless of the number of violations), as well as reasonable attorney fees associated with the suit, not to exceed the forfeiture amount recovered.</w:t>
      </w:r>
      <w:r>
        <w:rPr>
          <w:rStyle w:val="EndnoteReference"/>
        </w:rPr>
        <w:endnoteReference w:id="932"/>
      </w:r>
    </w:p>
    <w:p w14:paraId="3DAC68C9" w14:textId="77777777" w:rsidR="00681BA7" w:rsidRDefault="00681BA7">
      <w:pPr>
        <w:spacing w:line="220" w:lineRule="exact"/>
        <w:ind w:left="720"/>
        <w:jc w:val="both"/>
      </w:pPr>
    </w:p>
    <w:p w14:paraId="1A3CB28D" w14:textId="696023E8" w:rsidR="00681BA7" w:rsidRDefault="00681BA7">
      <w:pPr>
        <w:spacing w:line="220" w:lineRule="exact"/>
        <w:ind w:left="360"/>
        <w:jc w:val="both"/>
      </w:pPr>
      <w:r>
        <w:t>A person is not “aggrieved” unless he</w:t>
      </w:r>
      <w:r w:rsidR="00602AB6">
        <w:t xml:space="preserve"> or she</w:t>
      </w:r>
      <w:r>
        <w:t xml:space="preserve"> establishes, as a threshold matter, that he</w:t>
      </w:r>
      <w:r w:rsidR="00602AB6">
        <w:t xml:space="preserve"> or she</w:t>
      </w:r>
      <w:r>
        <w:t xml:space="preserve"> made an enforceable public records request for the records claimed to have been disposed of in violation of R.C. 149.351.</w:t>
      </w:r>
      <w:r>
        <w:rPr>
          <w:rStyle w:val="EndnoteReference"/>
        </w:rPr>
        <w:endnoteReference w:id="933"/>
      </w:r>
      <w:r>
        <w:t xml:space="preserve">  Also, a person is not “aggrieved” by a violation of R.C. 149.351(A) if clear and convincing evidence shows that the request for a record was contrived as a pretext to create liability under the section.</w:t>
      </w:r>
      <w:r>
        <w:rPr>
          <w:rStyle w:val="EndnoteReference"/>
        </w:rPr>
        <w:endnoteReference w:id="934"/>
      </w:r>
      <w:r>
        <w:t xml:space="preserve">  If pretext is so proven, the court may order the requester to pay reasonable attorney fees to the defendant(s).</w:t>
      </w:r>
      <w:r>
        <w:rPr>
          <w:rStyle w:val="EndnoteReference"/>
        </w:rPr>
        <w:endnoteReference w:id="935"/>
      </w:r>
    </w:p>
    <w:p w14:paraId="1DCC4FF5" w14:textId="42242785" w:rsidR="00EA0483" w:rsidRDefault="00EA0483">
      <w:pPr>
        <w:spacing w:line="220" w:lineRule="exact"/>
        <w:ind w:left="360"/>
        <w:jc w:val="both"/>
      </w:pPr>
    </w:p>
    <w:p w14:paraId="000D0388" w14:textId="58003095" w:rsidR="00EA0483" w:rsidRDefault="00EA0483">
      <w:pPr>
        <w:spacing w:line="220" w:lineRule="exact"/>
        <w:ind w:left="360"/>
        <w:jc w:val="both"/>
      </w:pPr>
      <w:r>
        <w:t>The court of common pleas of the county where the alleged R.C. 149.351(A) violation occurred is vested with exclusive jurisdiction to hear such a case.</w:t>
      </w:r>
      <w:r>
        <w:rPr>
          <w:rStyle w:val="EndnoteReference"/>
        </w:rPr>
        <w:endnoteReference w:id="936"/>
      </w:r>
      <w:r>
        <w:t xml:space="preserve"> </w:t>
      </w:r>
      <w:r w:rsidR="00796DDD">
        <w:t xml:space="preserve"> </w:t>
      </w:r>
      <w:r>
        <w:t>Any attempt to seek an injunction for a violation of R.C. 149.351(A) in another court (e.g.</w:t>
      </w:r>
      <w:r w:rsidR="00796DDD">
        <w:t>,</w:t>
      </w:r>
      <w:r>
        <w:t xml:space="preserve"> a court of appeals) through the vehicle of an original action (e.g.</w:t>
      </w:r>
      <w:r w:rsidR="00796DDD">
        <w:t>,</w:t>
      </w:r>
      <w:r>
        <w:t xml:space="preserve"> mandamus) will fail for lack of subject matter jurisdiction.</w:t>
      </w:r>
      <w:r w:rsidR="001D0408">
        <w:rPr>
          <w:rStyle w:val="EndnoteReference"/>
        </w:rPr>
        <w:endnoteReference w:id="937"/>
      </w:r>
      <w:r>
        <w:t xml:space="preserve"> </w:t>
      </w:r>
      <w:r w:rsidR="00796DDD">
        <w:t xml:space="preserve"> </w:t>
      </w:r>
      <w:r>
        <w:t>A mandamus action alleging violation of R.C. 149.351(A) in a court of appeals is also improper where no action pursuant to R.C. 149.351(B) has been</w:t>
      </w:r>
      <w:r w:rsidR="001D0408">
        <w:t xml:space="preserve"> commenced.</w:t>
      </w:r>
      <w:r w:rsidR="001D0408">
        <w:rPr>
          <w:rStyle w:val="EndnoteReference"/>
        </w:rPr>
        <w:endnoteReference w:id="938"/>
      </w:r>
    </w:p>
    <w:p w14:paraId="65F6F954" w14:textId="63C9F6E4" w:rsidR="006338B3" w:rsidRDefault="006338B3">
      <w:pPr>
        <w:spacing w:line="220" w:lineRule="exact"/>
        <w:ind w:left="360"/>
        <w:jc w:val="both"/>
      </w:pPr>
      <w:r>
        <w:tab/>
      </w:r>
    </w:p>
    <w:p w14:paraId="259A824C" w14:textId="53FF0DB0" w:rsidR="00681BA7" w:rsidRDefault="00681BA7" w:rsidP="00BD2AE1">
      <w:pPr>
        <w:pStyle w:val="Heading4"/>
      </w:pPr>
      <w:bookmarkStart w:id="557" w:name="_Toc159851619"/>
      <w:r>
        <w:t>b.</w:t>
      </w:r>
      <w:r>
        <w:tab/>
      </w:r>
      <w:r w:rsidR="005A29C8">
        <w:tab/>
      </w:r>
      <w:r>
        <w:t xml:space="preserve">Limits on filing action for unauthorized destruction, </w:t>
      </w:r>
      <w:r w:rsidR="006338B3">
        <w:tab/>
      </w:r>
      <w:r w:rsidR="006338B3">
        <w:tab/>
      </w:r>
      <w:r w:rsidR="006338B3">
        <w:tab/>
      </w:r>
      <w:r w:rsidR="006338B3">
        <w:tab/>
      </w:r>
      <w:r>
        <w:t>damage, or disposal</w:t>
      </w:r>
      <w:bookmarkEnd w:id="557"/>
    </w:p>
    <w:p w14:paraId="3385647E" w14:textId="77777777" w:rsidR="00681BA7" w:rsidRDefault="00681BA7">
      <w:pPr>
        <w:spacing w:line="220" w:lineRule="exact"/>
        <w:ind w:left="360"/>
        <w:jc w:val="both"/>
      </w:pPr>
      <w:r>
        <w:t>A person has five years from the date of the alleged violation or threatened violation to file the above actions</w:t>
      </w:r>
      <w:r>
        <w:rPr>
          <w:rStyle w:val="EndnoteReference"/>
        </w:rPr>
        <w:endnoteReference w:id="939"/>
      </w:r>
      <w:r>
        <w:t xml:space="preserve"> and has the burden of providing evidence that records were destroyed in violation of R.C. 149.351.</w:t>
      </w:r>
      <w:r>
        <w:rPr>
          <w:rStyle w:val="EndnoteReference"/>
        </w:rPr>
        <w:endnoteReference w:id="940"/>
      </w:r>
      <w:r>
        <w:t xml:space="preserve">  When any person has recovered a forfeiture in a civil action under R.C. 149.351(B)(2), no other person may recover a forfeiture for that same record, regardless of the number of persons “aggrieved,” or the number of civil lawsuits filed.</w:t>
      </w:r>
      <w:r>
        <w:rPr>
          <w:rStyle w:val="EndnoteReference"/>
        </w:rPr>
        <w:endnoteReference w:id="941"/>
      </w:r>
      <w:r>
        <w:t xml:space="preserve">  Determining the number of “violations” depends on the nature of the records involved.</w:t>
      </w:r>
      <w:r>
        <w:rPr>
          <w:rStyle w:val="EndnoteReference"/>
        </w:rPr>
        <w:endnoteReference w:id="942"/>
      </w:r>
    </w:p>
    <w:p w14:paraId="1816A8A0" w14:textId="77777777" w:rsidR="006338B3" w:rsidRDefault="006338B3">
      <w:pPr>
        <w:spacing w:line="220" w:lineRule="exact"/>
        <w:ind w:left="360"/>
        <w:jc w:val="both"/>
      </w:pPr>
    </w:p>
    <w:p w14:paraId="1F6D092C" w14:textId="40A9CD82" w:rsidR="00681BA7" w:rsidRDefault="00681BA7" w:rsidP="005A29C8">
      <w:pPr>
        <w:pStyle w:val="Heading4"/>
        <w:numPr>
          <w:ilvl w:val="0"/>
          <w:numId w:val="80"/>
        </w:numPr>
      </w:pPr>
      <w:r>
        <w:tab/>
      </w:r>
      <w:bookmarkStart w:id="558" w:name="_Toc159851620"/>
      <w:r>
        <w:t>Attorney fees</w:t>
      </w:r>
      <w:bookmarkEnd w:id="558"/>
    </w:p>
    <w:p w14:paraId="350596D4" w14:textId="77777777" w:rsidR="00681BA7" w:rsidRDefault="00681BA7">
      <w:pPr>
        <w:spacing w:line="220" w:lineRule="exact"/>
        <w:ind w:left="360"/>
        <w:jc w:val="both"/>
      </w:pPr>
      <w:r>
        <w:t>The aggrieved person may seek an award of reasonable attorney fees for either the injunctive action or an action for civil forfeiture.</w:t>
      </w:r>
      <w:r>
        <w:rPr>
          <w:rStyle w:val="EndnoteReference"/>
        </w:rPr>
        <w:endnoteReference w:id="943"/>
      </w:r>
      <w:r>
        <w:t xml:space="preserve">  An award of attorney fees under R.C. 149.351 is discretionary,</w:t>
      </w:r>
      <w:r>
        <w:rPr>
          <w:rStyle w:val="EndnoteReference"/>
        </w:rPr>
        <w:endnoteReference w:id="944"/>
      </w:r>
      <w:r>
        <w:t xml:space="preserve"> and the award of attorney fees for the forfeiture action may not exceed the forfeiture amount.</w:t>
      </w:r>
      <w:r>
        <w:rPr>
          <w:rStyle w:val="EndnoteReference"/>
        </w:rPr>
        <w:endnoteReference w:id="945"/>
      </w:r>
    </w:p>
    <w:p w14:paraId="245CB816" w14:textId="77777777" w:rsidR="006338B3" w:rsidRDefault="006338B3">
      <w:pPr>
        <w:spacing w:line="220" w:lineRule="exact"/>
        <w:ind w:left="360"/>
        <w:jc w:val="both"/>
      </w:pPr>
    </w:p>
    <w:p w14:paraId="3278258C" w14:textId="12E90ED9" w:rsidR="00681BA7" w:rsidRDefault="00681BA7" w:rsidP="00322085">
      <w:pPr>
        <w:pStyle w:val="Heading3"/>
      </w:pPr>
      <w:bookmarkStart w:id="559" w:name="_Toc159851621"/>
      <w:r>
        <w:t>4.</w:t>
      </w:r>
      <w:r>
        <w:tab/>
        <w:t>Availability of records retention schedules</w:t>
      </w:r>
      <w:bookmarkEnd w:id="559"/>
    </w:p>
    <w:p w14:paraId="4645403B" w14:textId="77777777" w:rsidR="00681BA7" w:rsidRDefault="00681BA7">
      <w:pPr>
        <w:spacing w:line="220" w:lineRule="exact"/>
        <w:ind w:left="360"/>
        <w:jc w:val="both"/>
      </w:pPr>
      <w:r>
        <w:t>All public offices must maintain a copy of all current records retention schedules at a location readily available to the public.</w:t>
      </w:r>
      <w:r>
        <w:rPr>
          <w:rStyle w:val="EndnoteReference"/>
        </w:rPr>
        <w:endnoteReference w:id="946"/>
      </w:r>
    </w:p>
    <w:p w14:paraId="61C6A572" w14:textId="77777777" w:rsidR="006338B3" w:rsidRDefault="006338B3">
      <w:pPr>
        <w:spacing w:line="220" w:lineRule="exact"/>
        <w:ind w:left="360"/>
        <w:jc w:val="both"/>
      </w:pPr>
    </w:p>
    <w:p w14:paraId="69BDDF23" w14:textId="1B175149" w:rsidR="00681BA7" w:rsidRPr="00345637" w:rsidRDefault="00681BA7" w:rsidP="00322085">
      <w:pPr>
        <w:pStyle w:val="Heading2"/>
      </w:pPr>
      <w:bookmarkStart w:id="560" w:name="_Toc159851622"/>
      <w:r w:rsidRPr="00345637">
        <w:t>B.</w:t>
      </w:r>
      <w:r w:rsidRPr="00345637">
        <w:tab/>
        <w:t xml:space="preserve">Records </w:t>
      </w:r>
      <w:r w:rsidR="00882395">
        <w:t>M</w:t>
      </w:r>
      <w:r w:rsidRPr="00345637">
        <w:t xml:space="preserve">anagement – </w:t>
      </w:r>
      <w:r w:rsidR="00882395">
        <w:t>P</w:t>
      </w:r>
      <w:r w:rsidRPr="00345637">
        <w:t xml:space="preserve">ractical </w:t>
      </w:r>
      <w:r w:rsidR="00882395">
        <w:t>P</w:t>
      </w:r>
      <w:r w:rsidRPr="00345637">
        <w:t>ointers</w:t>
      </w:r>
      <w:bookmarkEnd w:id="560"/>
    </w:p>
    <w:p w14:paraId="34263B66" w14:textId="07ECD98A" w:rsidR="00681BA7" w:rsidRDefault="00681BA7" w:rsidP="00322085">
      <w:pPr>
        <w:pStyle w:val="Heading3"/>
      </w:pPr>
      <w:bookmarkStart w:id="561" w:name="_Toc159851623"/>
      <w:r>
        <w:t>1.</w:t>
      </w:r>
      <w:r>
        <w:tab/>
        <w:t>Fundamentals</w:t>
      </w:r>
      <w:bookmarkEnd w:id="561"/>
    </w:p>
    <w:p w14:paraId="21F383AB" w14:textId="543D14B2" w:rsidR="00C27854" w:rsidRDefault="002B214D" w:rsidP="00BD2AE1">
      <w:pPr>
        <w:pStyle w:val="Heading4"/>
      </w:pPr>
      <w:bookmarkStart w:id="562" w:name="_Toc159851624"/>
      <w:r w:rsidRPr="00C27854">
        <w:t>a.</w:t>
      </w:r>
      <w:r w:rsidR="003B5F7F" w:rsidRPr="00C27854">
        <w:tab/>
      </w:r>
      <w:r w:rsidR="005A29C8">
        <w:tab/>
      </w:r>
      <w:r w:rsidR="003B5F7F" w:rsidRPr="00C27854">
        <w:t>Create records retention schedules and follow them</w:t>
      </w:r>
      <w:bookmarkEnd w:id="562"/>
      <w:r>
        <w:tab/>
      </w:r>
    </w:p>
    <w:p w14:paraId="70B05467" w14:textId="08E8131E" w:rsidR="00C27854" w:rsidRDefault="00681BA7" w:rsidP="00C27854">
      <w:pPr>
        <w:spacing w:line="220" w:lineRule="exact"/>
        <w:ind w:left="360"/>
        <w:jc w:val="both"/>
      </w:pPr>
      <w:r>
        <w:t>Every record, public or not, that is kept by a public office must be covered by a records retention schedule.  Without an applicable schedule dictating how long a record must be kept and when it can be destroyed, a public office must keep that record forever.</w:t>
      </w:r>
      <w:r w:rsidR="002436A6">
        <w:rPr>
          <w:rStyle w:val="EndnoteReference"/>
        </w:rPr>
        <w:endnoteReference w:id="947"/>
      </w:r>
      <w:r>
        <w:t xml:space="preserve">  Apart from the inherent long-term storage problems and associated costs this creates for a public office, the office is also responsible for continuing to maintain the record in such a way that it can be made available at any time if it is </w:t>
      </w:r>
      <w:r>
        <w:lastRenderedPageBreak/>
        <w:t>responsive to a public records request.  Creating and following schedules for all records allows a public office to dispose of records once they are no longer necessary or valuable.</w:t>
      </w:r>
    </w:p>
    <w:p w14:paraId="3A73D784" w14:textId="77777777" w:rsidR="006338B3" w:rsidRDefault="006338B3" w:rsidP="00C27854">
      <w:pPr>
        <w:spacing w:line="220" w:lineRule="exact"/>
        <w:ind w:left="360"/>
        <w:jc w:val="both"/>
      </w:pPr>
    </w:p>
    <w:p w14:paraId="124C7B74" w14:textId="7FAAF66D" w:rsidR="00681BA7" w:rsidRPr="00C27854" w:rsidRDefault="00C27854" w:rsidP="00BD2AE1">
      <w:pPr>
        <w:pStyle w:val="Heading4"/>
      </w:pPr>
      <w:bookmarkStart w:id="563" w:name="_Toc159851625"/>
      <w:r>
        <w:t>b</w:t>
      </w:r>
      <w:r w:rsidRPr="00C27854">
        <w:t>.</w:t>
      </w:r>
      <w:r w:rsidRPr="00C27854">
        <w:tab/>
      </w:r>
      <w:r w:rsidR="005A29C8">
        <w:tab/>
      </w:r>
      <w:r w:rsidRPr="00C27854">
        <w:t>C</w:t>
      </w:r>
      <w:r>
        <w:t xml:space="preserve">ontent—not medium—determines how long to keep a </w:t>
      </w:r>
      <w:r w:rsidR="006338B3">
        <w:tab/>
      </w:r>
      <w:r w:rsidR="006338B3">
        <w:tab/>
      </w:r>
      <w:r w:rsidR="006338B3">
        <w:tab/>
      </w:r>
      <w:r w:rsidR="006338B3">
        <w:tab/>
      </w:r>
      <w:r>
        <w:t>record</w:t>
      </w:r>
      <w:bookmarkEnd w:id="563"/>
    </w:p>
    <w:p w14:paraId="7814C47D" w14:textId="7DF055F5" w:rsidR="00C27854" w:rsidRDefault="00681BA7" w:rsidP="00C27854">
      <w:pPr>
        <w:spacing w:line="220" w:lineRule="exact"/>
        <w:ind w:left="360"/>
        <w:jc w:val="both"/>
      </w:pPr>
      <w:r>
        <w:t xml:space="preserve">Deciding how long to keep a record should be based on the </w:t>
      </w:r>
      <w:r>
        <w:rPr>
          <w:i/>
        </w:rPr>
        <w:t>content</w:t>
      </w:r>
      <w:r>
        <w:t xml:space="preserve"> of the record, not on the medium on which it exists.  Not all paper documents are “records” for purposes of the Public Records Act; similarly, not all documents transmitted via email are “records” that must be </w:t>
      </w:r>
      <w:r w:rsidR="0086254C">
        <w:t>maintained.</w:t>
      </w:r>
      <w:r w:rsidR="00DD407D">
        <w:t xml:space="preserve"> </w:t>
      </w:r>
      <w:r w:rsidR="00796DDD">
        <w:t xml:space="preserve"> </w:t>
      </w:r>
      <w:r w:rsidR="00DD407D">
        <w:t xml:space="preserve">Instead, a public office must look at the </w:t>
      </w:r>
      <w:r w:rsidR="00DD407D">
        <w:rPr>
          <w:i/>
        </w:rPr>
        <w:t>content</w:t>
      </w:r>
      <w:r w:rsidR="00DD407D">
        <w:t xml:space="preserve"> of the email or paper document to determine whether that record fits the definition of a “record” in R.C. 149.011, and then apply the proper retention schedule to it. </w:t>
      </w:r>
      <w:r w:rsidR="00796DDD">
        <w:t xml:space="preserve"> </w:t>
      </w:r>
      <w:r>
        <w:t>Accordingly</w:t>
      </w:r>
      <w:r w:rsidR="00DD407D">
        <w:t>,</w:t>
      </w:r>
      <w:r>
        <w:t xml:space="preserve"> to fulfill both its records management and public records responsibilities, a public office should categorize </w:t>
      </w:r>
      <w:r w:rsidR="00C27854">
        <w:t>all</w:t>
      </w:r>
      <w:r>
        <w:t xml:space="preserve"> the </w:t>
      </w:r>
      <w:r w:rsidR="00DD407D">
        <w:t>records</w:t>
      </w:r>
      <w:r>
        <w:t xml:space="preserve"> it keeps </w:t>
      </w:r>
      <w:r w:rsidR="00DD407D">
        <w:t xml:space="preserve">– regardless of the </w:t>
      </w:r>
      <w:r w:rsidR="00DD407D">
        <w:rPr>
          <w:i/>
        </w:rPr>
        <w:t xml:space="preserve">form </w:t>
      </w:r>
      <w:r w:rsidR="00DD407D">
        <w:t xml:space="preserve">in which they exist-- </w:t>
      </w:r>
      <w:r>
        <w:t>based on content</w:t>
      </w:r>
      <w:r w:rsidR="00DD407D">
        <w:t xml:space="preserve">. </w:t>
      </w:r>
      <w:r w:rsidR="00796DDD">
        <w:t xml:space="preserve"> </w:t>
      </w:r>
      <w:r w:rsidR="00DD407D">
        <w:t xml:space="preserve">Content categories are also known as “records series.” </w:t>
      </w:r>
      <w:r w:rsidR="00796DDD">
        <w:t xml:space="preserve"> </w:t>
      </w:r>
      <w:r w:rsidR="00DD407D">
        <w:t xml:space="preserve">Records within a records series should be kept for as long as they have legal, administrative, fiscal, or historic value. </w:t>
      </w:r>
      <w:r w:rsidR="00796DDD">
        <w:t xml:space="preserve"> </w:t>
      </w:r>
      <w:r w:rsidR="00DD407D">
        <w:t xml:space="preserve">Note that storing email records unsorted on a server does not satisfy records retention requirements. </w:t>
      </w:r>
      <w:r w:rsidR="00796DDD">
        <w:t xml:space="preserve"> </w:t>
      </w:r>
      <w:r w:rsidR="00DD407D">
        <w:t xml:space="preserve">This is because proper retention requires that a public office be able to destroy records according to records series. </w:t>
      </w:r>
      <w:r w:rsidR="00796DDD">
        <w:t xml:space="preserve"> </w:t>
      </w:r>
      <w:r w:rsidR="00DD407D">
        <w:t>When emails are not sorted by content into records series, a server cannot apply proper retention and destroy records according to their content</w:t>
      </w:r>
      <w:r w:rsidR="00C27854">
        <w:t>.</w:t>
      </w:r>
    </w:p>
    <w:p w14:paraId="47815ABF" w14:textId="77777777" w:rsidR="006338B3" w:rsidRDefault="006338B3" w:rsidP="00C27854">
      <w:pPr>
        <w:spacing w:line="220" w:lineRule="exact"/>
        <w:ind w:left="360"/>
        <w:jc w:val="both"/>
      </w:pPr>
    </w:p>
    <w:p w14:paraId="08281AC3" w14:textId="4DFFD495" w:rsidR="00681BA7" w:rsidRDefault="00C27854" w:rsidP="00BD2AE1">
      <w:pPr>
        <w:pStyle w:val="Heading4"/>
      </w:pPr>
      <w:bookmarkStart w:id="564" w:name="_Toc159851626"/>
      <w:r>
        <w:t>c</w:t>
      </w:r>
      <w:r w:rsidRPr="00C27854">
        <w:t>.</w:t>
      </w:r>
      <w:r w:rsidRPr="00C27854">
        <w:tab/>
      </w:r>
      <w:r w:rsidR="005A29C8">
        <w:tab/>
      </w:r>
      <w:r>
        <w:t>Practical application</w:t>
      </w:r>
      <w:bookmarkEnd w:id="564"/>
    </w:p>
    <w:p w14:paraId="05975661" w14:textId="77777777" w:rsidR="00681BA7" w:rsidRDefault="00681BA7">
      <w:pPr>
        <w:spacing w:line="220" w:lineRule="exact"/>
        <w:ind w:left="360"/>
        <w:jc w:val="both"/>
      </w:pPr>
      <w:r>
        <w:t>Creating and implementing a records management system might sound daunting.  For most public offices, though, it is a matter of simple housekeeping.  Many offices already have the scaffolding of existing records retention schedules in place, which may be improved in the manner outlined below.</w:t>
      </w:r>
    </w:p>
    <w:p w14:paraId="081C4441" w14:textId="77777777" w:rsidR="006338B3" w:rsidRDefault="006338B3">
      <w:pPr>
        <w:spacing w:line="220" w:lineRule="exact"/>
        <w:ind w:left="360"/>
        <w:jc w:val="both"/>
      </w:pPr>
    </w:p>
    <w:p w14:paraId="19D968CF" w14:textId="2FF9B019" w:rsidR="00681BA7" w:rsidRDefault="00681BA7" w:rsidP="00322085">
      <w:pPr>
        <w:pStyle w:val="Heading3"/>
      </w:pPr>
      <w:bookmarkStart w:id="565" w:name="_Toc159851627"/>
      <w:r>
        <w:t>2.</w:t>
      </w:r>
      <w:r>
        <w:tab/>
        <w:t>Managing records</w:t>
      </w:r>
      <w:bookmarkEnd w:id="565"/>
    </w:p>
    <w:p w14:paraId="44968F10" w14:textId="24713429" w:rsidR="00681BA7" w:rsidRDefault="00681BA7" w:rsidP="00BD2AE1">
      <w:pPr>
        <w:pStyle w:val="Heading4"/>
      </w:pPr>
      <w:bookmarkStart w:id="566" w:name="_Toc159851628"/>
      <w:r>
        <w:t>a.</w:t>
      </w:r>
      <w:r>
        <w:tab/>
      </w:r>
      <w:r w:rsidR="005A29C8">
        <w:tab/>
      </w:r>
      <w:r>
        <w:t>Conduct a records inventory</w:t>
      </w:r>
      <w:bookmarkEnd w:id="566"/>
    </w:p>
    <w:p w14:paraId="5EFB25B0" w14:textId="701DDFAB" w:rsidR="00681BA7" w:rsidRDefault="00681BA7">
      <w:pPr>
        <w:spacing w:line="220" w:lineRule="exact"/>
        <w:ind w:left="360"/>
        <w:jc w:val="both"/>
      </w:pPr>
      <w:r>
        <w:t>The purpose of an inventory is to identify and describe the types of records an office keeps.  Existing records retention schedules are a good starting point for determining the types of records an office keeps</w:t>
      </w:r>
      <w:r w:rsidR="00B01CE8">
        <w:t>.</w:t>
      </w:r>
      <w:r>
        <w:t xml:space="preserve"> </w:t>
      </w:r>
      <w:r w:rsidR="00796DDD">
        <w:t xml:space="preserve"> </w:t>
      </w:r>
      <w:r w:rsidR="00D1033C">
        <w:t>Retention schedules also allow a public office to identify records that are no longer kept or new types of records for which new schedules need to be created.</w:t>
      </w:r>
    </w:p>
    <w:p w14:paraId="63E1B8B6" w14:textId="77777777" w:rsidR="00681BA7" w:rsidRDefault="00681BA7">
      <w:pPr>
        <w:spacing w:line="220" w:lineRule="exact"/>
        <w:ind w:left="360"/>
        <w:jc w:val="both"/>
      </w:pPr>
    </w:p>
    <w:p w14:paraId="65780DE9" w14:textId="77777777" w:rsidR="00681BA7" w:rsidRDefault="00681BA7">
      <w:pPr>
        <w:spacing w:line="220" w:lineRule="exact"/>
        <w:ind w:left="360"/>
        <w:jc w:val="both"/>
      </w:pPr>
      <w:r>
        <w:t>For larger offices, it is helpful to designate a staff member from each functional area of the office who knows the kinds of records his or her department creates and why, what the records document, and how and where they are kept.</w:t>
      </w:r>
    </w:p>
    <w:p w14:paraId="23CAEDF9" w14:textId="77777777" w:rsidR="006338B3" w:rsidRDefault="006338B3">
      <w:pPr>
        <w:spacing w:line="220" w:lineRule="exact"/>
        <w:ind w:left="360"/>
        <w:jc w:val="both"/>
      </w:pPr>
    </w:p>
    <w:p w14:paraId="49BA7DC8" w14:textId="3ADEA7F3" w:rsidR="00681BA7" w:rsidRDefault="00681BA7" w:rsidP="00BD2AE1">
      <w:pPr>
        <w:pStyle w:val="Heading4"/>
      </w:pPr>
      <w:bookmarkStart w:id="567" w:name="_Toc159851629"/>
      <w:r>
        <w:t>b.</w:t>
      </w:r>
      <w:r>
        <w:tab/>
      </w:r>
      <w:r w:rsidR="005A29C8">
        <w:tab/>
      </w:r>
      <w:r>
        <w:t>Categorize records by record series</w:t>
      </w:r>
      <w:bookmarkEnd w:id="567"/>
    </w:p>
    <w:p w14:paraId="12784F34" w14:textId="3AF57178" w:rsidR="00681BA7" w:rsidRDefault="00681BA7">
      <w:pPr>
        <w:spacing w:line="220" w:lineRule="exact"/>
        <w:ind w:left="360"/>
        <w:jc w:val="both"/>
      </w:pPr>
      <w:r>
        <w:t>Records should be grouped according to record series.  A record series is a group of similar records that are related because they are created, received</w:t>
      </w:r>
      <w:r w:rsidR="00D413C6">
        <w:t>,</w:t>
      </w:r>
      <w:r>
        <w:t xml:space="preserve"> or used for, or result from the same purpose or activity.  Record series descriptions should be broad enough to encompass all records of a particular type (“Itemized Phone Bills” rather than “FY</w:t>
      </w:r>
      <w:r w:rsidR="00602AB6">
        <w:t>20</w:t>
      </w:r>
      <w:r>
        <w:t>-FY</w:t>
      </w:r>
      <w:r w:rsidR="00602AB6">
        <w:t>21</w:t>
      </w:r>
      <w:r>
        <w:t xml:space="preserve"> Phone Bills” for instance), but not so broad that it fails to be instructive (such as “Finance Department emails”) or leaves the contents open to interpretation or “shoehorning.”</w:t>
      </w:r>
    </w:p>
    <w:p w14:paraId="5FA5F042" w14:textId="77777777" w:rsidR="006338B3" w:rsidRDefault="006338B3">
      <w:pPr>
        <w:spacing w:line="220" w:lineRule="exact"/>
        <w:ind w:left="360"/>
        <w:jc w:val="both"/>
      </w:pPr>
    </w:p>
    <w:p w14:paraId="2C8346CC" w14:textId="7E424E0B" w:rsidR="00681BA7" w:rsidRDefault="00681BA7" w:rsidP="00BD2AE1">
      <w:pPr>
        <w:pStyle w:val="Heading4"/>
      </w:pPr>
      <w:bookmarkStart w:id="568" w:name="_Toc159851630"/>
      <w:r>
        <w:t>c.</w:t>
      </w:r>
      <w:r>
        <w:tab/>
      </w:r>
      <w:r w:rsidR="005A29C8">
        <w:tab/>
      </w:r>
      <w:r>
        <w:t>Decide how long to keep each records series</w:t>
      </w:r>
      <w:bookmarkEnd w:id="568"/>
    </w:p>
    <w:p w14:paraId="433FCFD5" w14:textId="77777777" w:rsidR="00681BA7" w:rsidRDefault="00681BA7">
      <w:pPr>
        <w:spacing w:line="220" w:lineRule="exact"/>
        <w:ind w:left="360"/>
        <w:jc w:val="both"/>
      </w:pPr>
      <w:r>
        <w:t>Retention periods are determined by assessing four values for each category of records:</w:t>
      </w:r>
    </w:p>
    <w:p w14:paraId="0215026A" w14:textId="77777777" w:rsidR="00681BA7" w:rsidRDefault="00681BA7">
      <w:pPr>
        <w:spacing w:line="220" w:lineRule="exact"/>
        <w:ind w:left="360"/>
        <w:jc w:val="both"/>
      </w:pPr>
    </w:p>
    <w:p w14:paraId="62B45FAC" w14:textId="1183C4D0" w:rsidR="00C27854" w:rsidRDefault="00681BA7" w:rsidP="00C27854">
      <w:pPr>
        <w:pStyle w:val="ListParagraph"/>
        <w:numPr>
          <w:ilvl w:val="0"/>
          <w:numId w:val="75"/>
        </w:numPr>
        <w:spacing w:line="220" w:lineRule="exact"/>
        <w:ind w:left="1440"/>
        <w:jc w:val="both"/>
      </w:pPr>
      <w:r w:rsidRPr="00C27854">
        <w:rPr>
          <w:b/>
        </w:rPr>
        <w:t>Administrative Value</w:t>
      </w:r>
      <w:r>
        <w:t xml:space="preserve">:  A record maintains its administrative value </w:t>
      </w:r>
      <w:r w:rsidR="004B13A5">
        <w:t xml:space="preserve">for </w:t>
      </w:r>
      <w:r>
        <w:t xml:space="preserve">as long as it is useful and relevant to the execution of the activities that caused the record to be created.  </w:t>
      </w:r>
      <w:r>
        <w:lastRenderedPageBreak/>
        <w:t>Administrative value is determined by how long the record is needed by the office to carry out – that is, to “administer” – its duties.  Every record created by government entities should have administrative value, which can vary from being transient (a notice of change in meeting location) to long-term (personnel files).</w:t>
      </w:r>
    </w:p>
    <w:p w14:paraId="6F220A74" w14:textId="77777777" w:rsidR="00C27854" w:rsidRDefault="00C27854" w:rsidP="00C27854">
      <w:pPr>
        <w:pStyle w:val="ListParagraph"/>
        <w:spacing w:line="220" w:lineRule="exact"/>
        <w:ind w:left="1440"/>
        <w:jc w:val="both"/>
      </w:pPr>
    </w:p>
    <w:p w14:paraId="5C11A511" w14:textId="77777777" w:rsidR="00C27854" w:rsidRDefault="00681BA7" w:rsidP="00C27854">
      <w:pPr>
        <w:pStyle w:val="ListParagraph"/>
        <w:numPr>
          <w:ilvl w:val="0"/>
          <w:numId w:val="75"/>
        </w:numPr>
        <w:spacing w:line="220" w:lineRule="exact"/>
        <w:ind w:left="1440"/>
        <w:jc w:val="both"/>
      </w:pPr>
      <w:r w:rsidRPr="00C27854">
        <w:rPr>
          <w:b/>
        </w:rPr>
        <w:t>Legal Value</w:t>
      </w:r>
      <w:r>
        <w:t>:  A record has legal value if it documents or protects the rights or obligations of citizens or the agency that created it, provides for defense in litigation, or demonstrates compliance with laws, statutes, and regulations.  Examples include contracts, real estate records, retention schedules, and licenses.</w:t>
      </w:r>
    </w:p>
    <w:p w14:paraId="4C958623" w14:textId="77777777" w:rsidR="00C27854" w:rsidRDefault="00C27854" w:rsidP="00C27854">
      <w:pPr>
        <w:pStyle w:val="ListParagraph"/>
        <w:spacing w:line="220" w:lineRule="exact"/>
        <w:ind w:left="1440"/>
        <w:jc w:val="both"/>
      </w:pPr>
    </w:p>
    <w:p w14:paraId="03FA25D2" w14:textId="77777777" w:rsidR="00C27854" w:rsidRDefault="00681BA7" w:rsidP="00C27854">
      <w:pPr>
        <w:pStyle w:val="ListParagraph"/>
        <w:numPr>
          <w:ilvl w:val="0"/>
          <w:numId w:val="75"/>
        </w:numPr>
        <w:spacing w:line="220" w:lineRule="exact"/>
        <w:ind w:left="1440"/>
        <w:jc w:val="both"/>
      </w:pPr>
      <w:r w:rsidRPr="00C27854">
        <w:rPr>
          <w:b/>
        </w:rPr>
        <w:t>Fiscal Value</w:t>
      </w:r>
      <w:r>
        <w:t>:  A record has fiscal value if it pertains to the receipt, transfer, payment, adjustment, or encumbrance of funds, or if it is required for an audit.  Examples include payroll records and travel vouchers.</w:t>
      </w:r>
    </w:p>
    <w:p w14:paraId="21289549" w14:textId="77777777" w:rsidR="00C27854" w:rsidRDefault="00C27854" w:rsidP="00C27854">
      <w:pPr>
        <w:pStyle w:val="ListParagraph"/>
        <w:spacing w:line="220" w:lineRule="exact"/>
        <w:ind w:left="1440"/>
        <w:jc w:val="both"/>
      </w:pPr>
    </w:p>
    <w:p w14:paraId="6577F5D2" w14:textId="27124BFE" w:rsidR="00681BA7" w:rsidRDefault="00681BA7" w:rsidP="00C27854">
      <w:pPr>
        <w:pStyle w:val="ListParagraph"/>
        <w:numPr>
          <w:ilvl w:val="0"/>
          <w:numId w:val="75"/>
        </w:numPr>
        <w:spacing w:line="220" w:lineRule="exact"/>
        <w:ind w:left="1440"/>
        <w:jc w:val="both"/>
      </w:pPr>
      <w:r w:rsidRPr="00C27854">
        <w:rPr>
          <w:b/>
        </w:rPr>
        <w:t>Historical Value</w:t>
      </w:r>
      <w:r>
        <w:t>:  A record has historical value if it contains significant information about people, places, or events.  The State Archives suggests that historical documents be retained permanently.  Examples include board or commission meeting minutes and annual reports.</w:t>
      </w:r>
    </w:p>
    <w:p w14:paraId="461E706D" w14:textId="77777777" w:rsidR="00681BA7" w:rsidRDefault="00681BA7">
      <w:pPr>
        <w:spacing w:line="220" w:lineRule="exact"/>
        <w:ind w:left="360"/>
        <w:jc w:val="both"/>
      </w:pPr>
    </w:p>
    <w:p w14:paraId="18CBD819" w14:textId="77777777" w:rsidR="00681BA7" w:rsidRDefault="00681BA7">
      <w:pPr>
        <w:spacing w:line="220" w:lineRule="exact"/>
        <w:ind w:left="360"/>
        <w:jc w:val="both"/>
      </w:pPr>
      <w:r>
        <w:t xml:space="preserve">Retention periods should be set to the highest of these values and should reflect how long the record </w:t>
      </w:r>
      <w:r w:rsidRPr="00796DDD">
        <w:rPr>
          <w:i/>
        </w:rPr>
        <w:t>needs</w:t>
      </w:r>
      <w:r>
        <w:t xml:space="preserve"> to be kept, not how long it </w:t>
      </w:r>
      <w:r w:rsidRPr="00796DDD">
        <w:rPr>
          <w:i/>
        </w:rPr>
        <w:t>can</w:t>
      </w:r>
      <w:r>
        <w:t xml:space="preserve"> be kept.</w:t>
      </w:r>
    </w:p>
    <w:p w14:paraId="69A5C74C" w14:textId="77777777" w:rsidR="006338B3" w:rsidRDefault="006338B3">
      <w:pPr>
        <w:spacing w:line="220" w:lineRule="exact"/>
        <w:ind w:left="360"/>
        <w:jc w:val="both"/>
      </w:pPr>
    </w:p>
    <w:p w14:paraId="5F2DEA08" w14:textId="57FC35F7" w:rsidR="00681BA7" w:rsidRDefault="00681BA7" w:rsidP="00BD2AE1">
      <w:pPr>
        <w:pStyle w:val="Heading4"/>
      </w:pPr>
      <w:bookmarkStart w:id="569" w:name="_Toc159851631"/>
      <w:r>
        <w:t>d.</w:t>
      </w:r>
      <w:r>
        <w:tab/>
      </w:r>
      <w:r w:rsidR="005A29C8">
        <w:tab/>
      </w:r>
      <w:r>
        <w:t>Dispose of records on schedule</w:t>
      </w:r>
      <w:bookmarkEnd w:id="569"/>
    </w:p>
    <w:p w14:paraId="7F782286" w14:textId="556B0102" w:rsidR="00681BA7" w:rsidRDefault="00681BA7">
      <w:pPr>
        <w:spacing w:line="220" w:lineRule="exact"/>
        <w:ind w:left="360"/>
        <w:jc w:val="both"/>
      </w:pPr>
      <w:r>
        <w:t xml:space="preserve">Records retention schedules indicate how long </w:t>
      </w:r>
      <w:r w:rsidR="00D413C6">
        <w:t xml:space="preserve">a </w:t>
      </w:r>
      <w:r>
        <w:t>particular record series must be kept and when and how the office can dispose of them.  Records kept past their retention period are still subject to public records requests and can be unwieldy and expensive to store and/or migrate as technology changes.  As a practical matter, it is helpful to designate a records manager or records custodian to assist in crafting retention schedules, monitoring when records are due for disposal, and ensuring proper completion of disposal forms.</w:t>
      </w:r>
    </w:p>
    <w:p w14:paraId="39C32151" w14:textId="77777777" w:rsidR="006338B3" w:rsidRDefault="006338B3">
      <w:pPr>
        <w:spacing w:line="220" w:lineRule="exact"/>
        <w:ind w:left="360"/>
        <w:jc w:val="both"/>
      </w:pPr>
    </w:p>
    <w:p w14:paraId="3ED164EB" w14:textId="5E8547A2" w:rsidR="00681BA7" w:rsidRDefault="00681BA7" w:rsidP="00BD2AE1">
      <w:pPr>
        <w:pStyle w:val="Heading4"/>
      </w:pPr>
      <w:bookmarkStart w:id="570" w:name="_Toc159851632"/>
      <w:r>
        <w:t>e.</w:t>
      </w:r>
      <w:r>
        <w:tab/>
      </w:r>
      <w:r w:rsidR="005A29C8">
        <w:tab/>
      </w:r>
      <w:r>
        <w:t xml:space="preserve">Review schedules regularly and revise, delete, or create </w:t>
      </w:r>
      <w:r w:rsidR="006338B3">
        <w:tab/>
      </w:r>
      <w:r w:rsidR="006338B3">
        <w:tab/>
      </w:r>
      <w:r w:rsidR="006338B3">
        <w:tab/>
      </w:r>
      <w:r w:rsidR="006338B3">
        <w:tab/>
      </w:r>
      <w:r>
        <w:t xml:space="preserve">new schedules as the law and the office’s operations </w:t>
      </w:r>
      <w:r w:rsidR="006338B3">
        <w:tab/>
      </w:r>
      <w:r w:rsidR="006338B3">
        <w:tab/>
      </w:r>
      <w:r w:rsidR="006338B3">
        <w:tab/>
      </w:r>
      <w:r w:rsidR="006338B3">
        <w:tab/>
      </w:r>
      <w:r>
        <w:t>change</w:t>
      </w:r>
      <w:bookmarkEnd w:id="570"/>
    </w:p>
    <w:p w14:paraId="72AA982F" w14:textId="58832BFF" w:rsidR="006338B3" w:rsidRDefault="00681BA7" w:rsidP="00602B77">
      <w:pPr>
        <w:spacing w:line="220" w:lineRule="exact"/>
        <w:ind w:left="360"/>
        <w:jc w:val="both"/>
      </w:pPr>
      <w:r>
        <w:t xml:space="preserve">Keep track of new record series that are created </w:t>
      </w:r>
      <w:r w:rsidR="00C27854">
        <w:t>because of</w:t>
      </w:r>
      <w:r>
        <w:t xml:space="preserve"> statutory and policy changes.  Ohio law requires all records to be scheduled within one year after the date that they are created or received.</w:t>
      </w:r>
      <w:r>
        <w:rPr>
          <w:rStyle w:val="EndnoteReference"/>
        </w:rPr>
        <w:endnoteReference w:id="948"/>
      </w:r>
    </w:p>
    <w:p w14:paraId="210B4F89" w14:textId="3AB2422E" w:rsidR="00796DDD" w:rsidRPr="00D106E3" w:rsidRDefault="00681BA7" w:rsidP="00322085">
      <w:pPr>
        <w:pStyle w:val="Heading2"/>
      </w:pPr>
      <w:bookmarkStart w:id="571" w:name="_Toc159851633"/>
      <w:r w:rsidRPr="00345637">
        <w:t>C.</w:t>
      </w:r>
      <w:r w:rsidRPr="00345637">
        <w:tab/>
        <w:t>Helpful Resources for Local Government Offices</w:t>
      </w:r>
      <w:r w:rsidR="00D106E3">
        <w:t xml:space="preserve">: </w:t>
      </w:r>
      <w:r w:rsidRPr="00D106E3">
        <w:t xml:space="preserve">Ohio History </w:t>
      </w:r>
      <w:r w:rsidR="006338B3">
        <w:tab/>
      </w:r>
      <w:r w:rsidR="006338B3">
        <w:tab/>
      </w:r>
      <w:r w:rsidR="006338B3">
        <w:tab/>
      </w:r>
      <w:r w:rsidR="006338B3">
        <w:tab/>
      </w:r>
      <w:r w:rsidRPr="00D106E3">
        <w:t>Connection/State Archives – Local Government Records Program</w:t>
      </w:r>
      <w:bookmarkEnd w:id="571"/>
    </w:p>
    <w:p w14:paraId="3F35968A" w14:textId="0977EB1B" w:rsidR="00681BA7" w:rsidRDefault="00681BA7" w:rsidP="00D46D0B">
      <w:pPr>
        <w:spacing w:line="220" w:lineRule="exact"/>
        <w:ind w:left="360"/>
        <w:jc w:val="both"/>
      </w:pPr>
      <w:r>
        <w:t xml:space="preserve">The Local Government Records Program of the State Archives provides records-related advice, forms, model retention manuals, and assistance to local governments </w:t>
      </w:r>
      <w:r w:rsidR="00602B77">
        <w:t>to</w:t>
      </w:r>
      <w:r>
        <w:t xml:space="preserve"> facilitate the identification and preservation of local government records with enduring historical value.  Please direct inquiries and send forms to:</w:t>
      </w:r>
    </w:p>
    <w:p w14:paraId="05DCF8B7" w14:textId="77777777" w:rsidR="00681BA7" w:rsidRDefault="00681BA7">
      <w:pPr>
        <w:spacing w:line="220" w:lineRule="exact"/>
        <w:jc w:val="both"/>
      </w:pPr>
    </w:p>
    <w:p w14:paraId="093E2A06" w14:textId="77777777" w:rsidR="00681BA7" w:rsidRDefault="00681BA7" w:rsidP="00C27854">
      <w:pPr>
        <w:spacing w:line="220" w:lineRule="exact"/>
        <w:ind w:left="360"/>
        <w:jc w:val="both"/>
      </w:pPr>
      <w:r>
        <w:t>The Ohio History Connection/State Archives</w:t>
      </w:r>
    </w:p>
    <w:p w14:paraId="30DEDBBB" w14:textId="77777777" w:rsidR="00681BA7" w:rsidRDefault="00681BA7" w:rsidP="00C27854">
      <w:pPr>
        <w:spacing w:line="220" w:lineRule="exact"/>
        <w:ind w:left="360"/>
        <w:jc w:val="both"/>
      </w:pPr>
      <w:r>
        <w:t>Local Government Records Program</w:t>
      </w:r>
    </w:p>
    <w:p w14:paraId="70A06D92" w14:textId="77777777" w:rsidR="00681BA7" w:rsidRDefault="00681BA7" w:rsidP="00C27854">
      <w:pPr>
        <w:spacing w:line="220" w:lineRule="exact"/>
        <w:ind w:left="360"/>
        <w:jc w:val="both"/>
      </w:pPr>
      <w:r>
        <w:t>800 East 17th Avenue</w:t>
      </w:r>
    </w:p>
    <w:p w14:paraId="559875AB" w14:textId="77777777" w:rsidR="00681BA7" w:rsidRDefault="00681BA7" w:rsidP="00C27854">
      <w:pPr>
        <w:spacing w:line="220" w:lineRule="exact"/>
        <w:ind w:left="360"/>
        <w:jc w:val="both"/>
      </w:pPr>
      <w:r>
        <w:t>Columbus, Ohio 43211</w:t>
      </w:r>
    </w:p>
    <w:p w14:paraId="54E7163C" w14:textId="77777777" w:rsidR="00681BA7" w:rsidRDefault="00681BA7" w:rsidP="00C27854">
      <w:pPr>
        <w:spacing w:line="220" w:lineRule="exact"/>
        <w:ind w:left="360"/>
        <w:jc w:val="both"/>
      </w:pPr>
      <w:r>
        <w:t>(614) 297-2553</w:t>
      </w:r>
    </w:p>
    <w:p w14:paraId="5965B996" w14:textId="3B3BB086" w:rsidR="00602AB6" w:rsidRDefault="00000000" w:rsidP="00602B77">
      <w:pPr>
        <w:spacing w:line="220" w:lineRule="exact"/>
        <w:ind w:left="360"/>
        <w:jc w:val="both"/>
      </w:pPr>
      <w:hyperlink r:id="rId52" w:history="1">
        <w:r w:rsidR="00602AB6" w:rsidRPr="00D413C6">
          <w:rPr>
            <w:rStyle w:val="Hyperlink"/>
          </w:rPr>
          <w:t>localrecs@ohiohistory.org</w:t>
        </w:r>
      </w:hyperlink>
    </w:p>
    <w:p w14:paraId="699832F3" w14:textId="470AB60B" w:rsidR="00602AB6" w:rsidRDefault="00000000" w:rsidP="00C27854">
      <w:pPr>
        <w:spacing w:line="220" w:lineRule="exact"/>
        <w:ind w:left="360"/>
        <w:jc w:val="both"/>
      </w:pPr>
      <w:hyperlink r:id="rId53" w:history="1">
        <w:r w:rsidR="00D46D0B" w:rsidRPr="00D413C6">
          <w:rPr>
            <w:rStyle w:val="Hyperlink"/>
          </w:rPr>
          <w:t>https://www.ohiohistory.org/research/local-government-records-program/</w:t>
        </w:r>
      </w:hyperlink>
    </w:p>
    <w:p w14:paraId="5E1FC639" w14:textId="020A8D41" w:rsidR="00681BA7" w:rsidRPr="00345637" w:rsidRDefault="00681BA7" w:rsidP="00322085">
      <w:pPr>
        <w:pStyle w:val="Heading2"/>
      </w:pPr>
      <w:bookmarkStart w:id="572" w:name="_Toc159851634"/>
      <w:r w:rsidRPr="00345637">
        <w:lastRenderedPageBreak/>
        <w:t>D.</w:t>
      </w:r>
      <w:r w:rsidRPr="00345637">
        <w:tab/>
        <w:t>Helpful Resources for State Government Offices</w:t>
      </w:r>
      <w:bookmarkEnd w:id="572"/>
    </w:p>
    <w:p w14:paraId="04045C37" w14:textId="5B924F50" w:rsidR="00681BA7" w:rsidRDefault="00681BA7" w:rsidP="00322085">
      <w:pPr>
        <w:pStyle w:val="Heading3"/>
      </w:pPr>
      <w:bookmarkStart w:id="573" w:name="_Toc159851635"/>
      <w:r>
        <w:t>1.</w:t>
      </w:r>
      <w:r>
        <w:tab/>
        <w:t xml:space="preserve">Ohio Department of Administrative Services records </w:t>
      </w:r>
      <w:r w:rsidR="006338B3">
        <w:tab/>
      </w:r>
      <w:r w:rsidR="006338B3">
        <w:tab/>
      </w:r>
      <w:r w:rsidR="006338B3">
        <w:tab/>
      </w:r>
      <w:r w:rsidR="006338B3">
        <w:tab/>
      </w:r>
      <w:r>
        <w:t>management program</w:t>
      </w:r>
      <w:bookmarkEnd w:id="573"/>
    </w:p>
    <w:p w14:paraId="121A14B2" w14:textId="252BF040" w:rsidR="00681BA7" w:rsidRDefault="00681BA7" w:rsidP="00D106E3">
      <w:pPr>
        <w:spacing w:line="220" w:lineRule="exact"/>
        <w:ind w:left="360"/>
        <w:jc w:val="both"/>
      </w:pPr>
      <w:r>
        <w:t>The Ohio Department of Administrative Services’ State Records Administration can provide records management advice and assistance to state agencies, as well as provide training seminars by request.  Information available on their website includes:</w:t>
      </w:r>
    </w:p>
    <w:p w14:paraId="339E8D99" w14:textId="47879FED" w:rsidR="00681BA7" w:rsidRDefault="00681BA7" w:rsidP="00C27854">
      <w:pPr>
        <w:numPr>
          <w:ilvl w:val="0"/>
          <w:numId w:val="6"/>
        </w:numPr>
        <w:spacing w:before="120" w:after="120" w:line="220" w:lineRule="exact"/>
        <w:ind w:left="1440"/>
        <w:jc w:val="both"/>
      </w:pPr>
      <w:r>
        <w:t>Access to the Records Information Management System (RIMS) retention schedule database;</w:t>
      </w:r>
    </w:p>
    <w:p w14:paraId="0B81ABD9" w14:textId="6BA3FEA4" w:rsidR="00681BA7" w:rsidRDefault="00681BA7" w:rsidP="00C27854">
      <w:pPr>
        <w:numPr>
          <w:ilvl w:val="0"/>
          <w:numId w:val="6"/>
        </w:numPr>
        <w:spacing w:before="120" w:after="120" w:line="220" w:lineRule="exact"/>
        <w:ind w:left="1440"/>
        <w:jc w:val="both"/>
      </w:pPr>
      <w:r>
        <w:t>RIMS User Manual;</w:t>
      </w:r>
    </w:p>
    <w:p w14:paraId="07E49A65" w14:textId="5E23F99D" w:rsidR="00681BA7" w:rsidRDefault="00681BA7" w:rsidP="00C27854">
      <w:pPr>
        <w:numPr>
          <w:ilvl w:val="0"/>
          <w:numId w:val="6"/>
        </w:numPr>
        <w:spacing w:before="120" w:after="120" w:line="220" w:lineRule="exact"/>
        <w:ind w:left="1440"/>
        <w:jc w:val="both"/>
      </w:pPr>
      <w:r>
        <w:t>General Retention Schedules; and</w:t>
      </w:r>
    </w:p>
    <w:p w14:paraId="74C3E40C" w14:textId="44C9217D" w:rsidR="00681BA7" w:rsidRDefault="00681BA7" w:rsidP="00C27854">
      <w:pPr>
        <w:numPr>
          <w:ilvl w:val="0"/>
          <w:numId w:val="6"/>
        </w:numPr>
        <w:spacing w:before="120" w:after="120" w:line="220" w:lineRule="exact"/>
        <w:ind w:left="1440"/>
        <w:jc w:val="both"/>
      </w:pPr>
      <w:r>
        <w:t>Records Inventory and Analysis template.</w:t>
      </w:r>
    </w:p>
    <w:p w14:paraId="2FA4839E" w14:textId="77777777" w:rsidR="00416F63" w:rsidRDefault="00681BA7" w:rsidP="00416F63">
      <w:pPr>
        <w:pStyle w:val="ColorfulList-Accent11"/>
        <w:spacing w:line="220" w:lineRule="exact"/>
        <w:ind w:left="360"/>
        <w:jc w:val="both"/>
      </w:pPr>
      <w:r>
        <w:t>For more information, contact DAS at 614-502-7461</w:t>
      </w:r>
      <w:r w:rsidR="00796DDD">
        <w:t>,</w:t>
      </w:r>
      <w:r>
        <w:t xml:space="preserve"> or visit the Records Management page of the DAS website</w:t>
      </w:r>
      <w:r w:rsidR="00796DDD">
        <w:t>:</w:t>
      </w:r>
      <w:r w:rsidR="00602AB6">
        <w:t xml:space="preserve"> </w:t>
      </w:r>
    </w:p>
    <w:p w14:paraId="454C8B59" w14:textId="0C693D02" w:rsidR="004E5EA8" w:rsidRDefault="00000000" w:rsidP="00416F63">
      <w:pPr>
        <w:pStyle w:val="ColorfulList-Accent11"/>
        <w:spacing w:line="220" w:lineRule="exact"/>
        <w:ind w:left="360"/>
        <w:jc w:val="both"/>
      </w:pPr>
      <w:hyperlink r:id="rId54" w:history="1">
        <w:r w:rsidR="004E5EA8" w:rsidRPr="004E5EA8">
          <w:rPr>
            <w:rStyle w:val="Hyperlink"/>
          </w:rPr>
          <w:t>https://das.ohio.gov/home/policy-finder/filter-policy-finder</w:t>
        </w:r>
      </w:hyperlink>
    </w:p>
    <w:p w14:paraId="74A33CDB" w14:textId="77777777" w:rsidR="004E5EA8" w:rsidRDefault="004E5EA8" w:rsidP="00416F63">
      <w:pPr>
        <w:pStyle w:val="ColorfulList-Accent11"/>
        <w:spacing w:line="220" w:lineRule="exact"/>
        <w:ind w:left="360"/>
        <w:jc w:val="both"/>
      </w:pPr>
    </w:p>
    <w:p w14:paraId="2CBAE577" w14:textId="1D154D1B" w:rsidR="00681BA7" w:rsidRDefault="00681BA7" w:rsidP="00322085">
      <w:pPr>
        <w:pStyle w:val="Heading3"/>
      </w:pPr>
      <w:bookmarkStart w:id="574" w:name="_Toc159851636"/>
      <w:r>
        <w:t>2.</w:t>
      </w:r>
      <w:r>
        <w:tab/>
        <w:t>The Ohio History Connection, State Archives</w:t>
      </w:r>
      <w:bookmarkEnd w:id="574"/>
    </w:p>
    <w:p w14:paraId="71FB770D" w14:textId="69AF326B" w:rsidR="00681BA7" w:rsidRDefault="00681BA7" w:rsidP="00416F63">
      <w:pPr>
        <w:spacing w:line="220" w:lineRule="exact"/>
        <w:ind w:left="360"/>
        <w:jc w:val="both"/>
      </w:pPr>
      <w:r>
        <w:t>The State Archives can assist state agencies with the identification and preservation of records with enduring historical value.</w:t>
      </w:r>
      <w:r w:rsidR="00A9230F">
        <w:t xml:space="preserve">  </w:t>
      </w:r>
      <w:r>
        <w:t xml:space="preserve">For more information or to schedule a records appraisal, </w:t>
      </w:r>
      <w:r w:rsidR="00416F63">
        <w:t xml:space="preserve">visit </w:t>
      </w:r>
      <w:hyperlink r:id="rId55" w:history="1">
        <w:r w:rsidR="00416F63" w:rsidRPr="00D413C6">
          <w:rPr>
            <w:rStyle w:val="Hyperlink"/>
          </w:rPr>
          <w:t>https://www.ohiohistory.org/research/archives-library/state-archives/</w:t>
        </w:r>
      </w:hyperlink>
      <w:r w:rsidR="00416F63">
        <w:t xml:space="preserve"> or </w:t>
      </w:r>
      <w:r>
        <w:t>contact the State Archives:</w:t>
      </w:r>
    </w:p>
    <w:p w14:paraId="57131473" w14:textId="77777777" w:rsidR="00681BA7" w:rsidRDefault="00681BA7">
      <w:pPr>
        <w:spacing w:line="220" w:lineRule="exact"/>
        <w:ind w:left="360"/>
        <w:jc w:val="both"/>
      </w:pPr>
    </w:p>
    <w:p w14:paraId="12045AD1" w14:textId="77777777" w:rsidR="00681BA7" w:rsidRDefault="00681BA7" w:rsidP="00C27854">
      <w:pPr>
        <w:spacing w:line="220" w:lineRule="exact"/>
        <w:ind w:left="360"/>
        <w:jc w:val="both"/>
      </w:pPr>
      <w:r>
        <w:t>The Ohio History Connection/State Archives</w:t>
      </w:r>
    </w:p>
    <w:p w14:paraId="4C1CD200" w14:textId="4C4368F2" w:rsidR="00681BA7" w:rsidRDefault="00681BA7" w:rsidP="00C27854">
      <w:pPr>
        <w:spacing w:line="220" w:lineRule="exact"/>
        <w:ind w:left="360"/>
        <w:jc w:val="both"/>
      </w:pPr>
      <w:r>
        <w:t>800 East 17</w:t>
      </w:r>
      <w:r w:rsidR="00A9230F">
        <w:t>th</w:t>
      </w:r>
      <w:r>
        <w:t xml:space="preserve"> Avenue</w:t>
      </w:r>
    </w:p>
    <w:p w14:paraId="08B12E2F" w14:textId="77777777" w:rsidR="00681BA7" w:rsidRDefault="00681BA7" w:rsidP="00C27854">
      <w:pPr>
        <w:spacing w:line="220" w:lineRule="exact"/>
        <w:ind w:left="360"/>
        <w:jc w:val="both"/>
      </w:pPr>
      <w:r>
        <w:t>Columbus, Ohio 43211</w:t>
      </w:r>
    </w:p>
    <w:p w14:paraId="10456EEF" w14:textId="77777777" w:rsidR="00681BA7" w:rsidRDefault="00681BA7" w:rsidP="00C27854">
      <w:pPr>
        <w:spacing w:line="220" w:lineRule="exact"/>
        <w:ind w:left="360"/>
        <w:jc w:val="both"/>
      </w:pPr>
      <w:r>
        <w:t>(614) 297-2536</w:t>
      </w:r>
    </w:p>
    <w:p w14:paraId="7CA0619D" w14:textId="012E176E" w:rsidR="00D106E3" w:rsidRDefault="00000000" w:rsidP="00416F63">
      <w:pPr>
        <w:spacing w:line="220" w:lineRule="exact"/>
        <w:ind w:left="360"/>
        <w:jc w:val="both"/>
      </w:pPr>
      <w:hyperlink r:id="rId56" w:history="1">
        <w:r w:rsidR="00602AB6" w:rsidRPr="00D413C6">
          <w:rPr>
            <w:rStyle w:val="Hyperlink"/>
          </w:rPr>
          <w:t>statearchives@ohiohistory.org</w:t>
        </w:r>
      </w:hyperlink>
    </w:p>
    <w:p w14:paraId="1F722B26" w14:textId="0F084980" w:rsidR="00681BA7" w:rsidRPr="00345637" w:rsidRDefault="00681BA7" w:rsidP="00322085">
      <w:pPr>
        <w:pStyle w:val="Heading2"/>
      </w:pPr>
      <w:bookmarkStart w:id="575" w:name="_Toc159851637"/>
      <w:r w:rsidRPr="00345637">
        <w:t>E.</w:t>
      </w:r>
      <w:r w:rsidRPr="00345637">
        <w:tab/>
        <w:t>Helpful Resources for All Government Offices</w:t>
      </w:r>
      <w:bookmarkEnd w:id="575"/>
    </w:p>
    <w:p w14:paraId="3E20CD8F" w14:textId="09FD6A39" w:rsidR="00681BA7" w:rsidRPr="006338B3" w:rsidRDefault="003B1BE3" w:rsidP="006338B3">
      <w:pPr>
        <w:pStyle w:val="Heading3"/>
      </w:pPr>
      <w:bookmarkStart w:id="576" w:name="_Toc159851638"/>
      <w:r>
        <w:t>1.</w:t>
      </w:r>
      <w:r>
        <w:tab/>
      </w:r>
      <w:r w:rsidR="00681BA7" w:rsidRPr="003B1BE3">
        <w:t>Ohio Electronic Records Committee</w:t>
      </w:r>
      <w:bookmarkEnd w:id="576"/>
    </w:p>
    <w:p w14:paraId="7C85769B" w14:textId="534C593D" w:rsidR="00681BA7" w:rsidRDefault="00681BA7" w:rsidP="00D46D0B">
      <w:pPr>
        <w:spacing w:line="220" w:lineRule="exact"/>
        <w:ind w:left="360"/>
        <w:jc w:val="both"/>
      </w:pPr>
      <w:r>
        <w:t>Electronic records present unique challenges for archivists and records managers.  As</w:t>
      </w:r>
      <w:r w:rsidR="00A9230F">
        <w:t xml:space="preserve"> offices</w:t>
      </w:r>
      <w:r w:rsidR="00BE3FBB">
        <w:t xml:space="preserve"> have shifted</w:t>
      </w:r>
      <w:r>
        <w:t xml:space="preserve"> from </w:t>
      </w:r>
      <w:r w:rsidR="00D8233E">
        <w:t>paper-based</w:t>
      </w:r>
      <w:r>
        <w:t xml:space="preserve"> recordkeeping to electronic recordkeeping, the issues surrounding the </w:t>
      </w:r>
      <w:r w:rsidR="00D8233E">
        <w:t xml:space="preserve">amount, </w:t>
      </w:r>
      <w:r>
        <w:t>management</w:t>
      </w:r>
      <w:r w:rsidR="00D8233E">
        <w:t>, and storage</w:t>
      </w:r>
      <w:r>
        <w:t xml:space="preserve"> of records </w:t>
      </w:r>
      <w:r w:rsidR="00D8233E">
        <w:t>have significantly increased.</w:t>
      </w:r>
      <w:r>
        <w:t xml:space="preserve">  </w:t>
      </w:r>
      <w:r w:rsidR="00D8233E">
        <w:t>As the number of electronic records multipl</w:t>
      </w:r>
      <w:r w:rsidR="00D413C6">
        <w:t>ies</w:t>
      </w:r>
      <w:r w:rsidR="00D8233E">
        <w:t xml:space="preserve">, the need for leadership and policy in keeping and organizing them becomes even more urgent. </w:t>
      </w:r>
    </w:p>
    <w:p w14:paraId="697DF0D5" w14:textId="77777777" w:rsidR="00D46D0B" w:rsidRDefault="00D46D0B">
      <w:pPr>
        <w:spacing w:line="220" w:lineRule="exact"/>
        <w:jc w:val="both"/>
      </w:pPr>
    </w:p>
    <w:p w14:paraId="27242028" w14:textId="3831CC78" w:rsidR="00681BA7" w:rsidRDefault="00681BA7" w:rsidP="00D46D0B">
      <w:pPr>
        <w:spacing w:line="220" w:lineRule="exact"/>
        <w:ind w:left="360"/>
        <w:jc w:val="both"/>
      </w:pPr>
      <w:r>
        <w:t xml:space="preserve">The goal of the Ohio Electronic Records Committee (OhioERC) is to draft guidelines for the creation, maintenance, long term preservation of, and access to electronic records created by Ohio’s state and local governments.  </w:t>
      </w:r>
      <w:r w:rsidR="002436A6">
        <w:t>The</w:t>
      </w:r>
      <w:r>
        <w:t xml:space="preserve"> OhioERC’s website include</w:t>
      </w:r>
      <w:r w:rsidR="002436A6">
        <w:t xml:space="preserve"> resources on such topics like</w:t>
      </w:r>
      <w:r>
        <w:t>:</w:t>
      </w:r>
    </w:p>
    <w:p w14:paraId="2FF25E26" w14:textId="77777777" w:rsidR="00681BA7" w:rsidRDefault="000F6BDC" w:rsidP="00C27854">
      <w:pPr>
        <w:numPr>
          <w:ilvl w:val="0"/>
          <w:numId w:val="7"/>
        </w:numPr>
        <w:spacing w:before="120" w:after="120" w:line="220" w:lineRule="exact"/>
        <w:ind w:left="1440"/>
        <w:jc w:val="both"/>
      </w:pPr>
      <w:r>
        <w:t>Blockchain Technology;</w:t>
      </w:r>
    </w:p>
    <w:p w14:paraId="00129374" w14:textId="77777777" w:rsidR="00681BA7" w:rsidRDefault="000F6BDC" w:rsidP="00C27854">
      <w:pPr>
        <w:numPr>
          <w:ilvl w:val="0"/>
          <w:numId w:val="7"/>
        </w:numPr>
        <w:spacing w:line="220" w:lineRule="exact"/>
        <w:ind w:left="1440"/>
        <w:jc w:val="both"/>
      </w:pPr>
      <w:r>
        <w:t>Databases as Public Records;</w:t>
      </w:r>
    </w:p>
    <w:p w14:paraId="63AF6CBB" w14:textId="77777777" w:rsidR="00681BA7" w:rsidRDefault="00681BA7" w:rsidP="00C27854">
      <w:pPr>
        <w:numPr>
          <w:ilvl w:val="0"/>
          <w:numId w:val="7"/>
        </w:numPr>
        <w:spacing w:before="120" w:after="120" w:line="220" w:lineRule="exact"/>
        <w:ind w:left="1440"/>
        <w:jc w:val="both"/>
      </w:pPr>
      <w:r>
        <w:t>Digital Document Imaging Guidelines;</w:t>
      </w:r>
    </w:p>
    <w:p w14:paraId="5BEB267D" w14:textId="77777777" w:rsidR="00681BA7" w:rsidRDefault="00681BA7" w:rsidP="00C27854">
      <w:pPr>
        <w:numPr>
          <w:ilvl w:val="0"/>
          <w:numId w:val="7"/>
        </w:numPr>
        <w:spacing w:before="120" w:after="120" w:line="220" w:lineRule="exact"/>
        <w:ind w:left="1440"/>
        <w:jc w:val="both"/>
      </w:pPr>
      <w:r>
        <w:t>Electronic Records Management Guidelines;</w:t>
      </w:r>
    </w:p>
    <w:p w14:paraId="673067BE" w14:textId="77777777" w:rsidR="000F6BDC" w:rsidRDefault="000F6BDC" w:rsidP="00C27854">
      <w:pPr>
        <w:numPr>
          <w:ilvl w:val="0"/>
          <w:numId w:val="7"/>
        </w:numPr>
        <w:spacing w:before="120" w:after="120" w:line="220" w:lineRule="exact"/>
        <w:ind w:left="1440"/>
        <w:jc w:val="both"/>
      </w:pPr>
      <w:r>
        <w:t>Hybrid Microfilm Guidelines;</w:t>
      </w:r>
    </w:p>
    <w:p w14:paraId="4708D82A" w14:textId="77777777" w:rsidR="000F6BDC" w:rsidRDefault="000F6BDC" w:rsidP="00C27854">
      <w:pPr>
        <w:numPr>
          <w:ilvl w:val="0"/>
          <w:numId w:val="7"/>
        </w:numPr>
        <w:spacing w:before="120" w:after="120" w:line="220" w:lineRule="exact"/>
        <w:ind w:left="1440"/>
        <w:jc w:val="both"/>
      </w:pPr>
      <w:r>
        <w:t>Information Governance;</w:t>
      </w:r>
    </w:p>
    <w:p w14:paraId="39598B90" w14:textId="77777777" w:rsidR="00681BA7" w:rsidRDefault="00681BA7" w:rsidP="00C27854">
      <w:pPr>
        <w:numPr>
          <w:ilvl w:val="0"/>
          <w:numId w:val="7"/>
        </w:numPr>
        <w:spacing w:before="120" w:after="120" w:line="220" w:lineRule="exact"/>
        <w:ind w:left="1440"/>
        <w:jc w:val="both"/>
      </w:pPr>
      <w:r>
        <w:lastRenderedPageBreak/>
        <w:t xml:space="preserve">Managing </w:t>
      </w:r>
      <w:r w:rsidR="000F6BDC">
        <w:t>Email Records;</w:t>
      </w:r>
    </w:p>
    <w:p w14:paraId="3B4BF804" w14:textId="77777777" w:rsidR="000F6BDC" w:rsidRDefault="000F6BDC" w:rsidP="00C27854">
      <w:pPr>
        <w:numPr>
          <w:ilvl w:val="0"/>
          <w:numId w:val="7"/>
        </w:numPr>
        <w:spacing w:before="120" w:after="120" w:line="220" w:lineRule="exact"/>
        <w:ind w:left="1440"/>
        <w:jc w:val="both"/>
      </w:pPr>
      <w:r>
        <w:t>Managing Social Media Records;</w:t>
      </w:r>
    </w:p>
    <w:p w14:paraId="6C769016" w14:textId="77777777" w:rsidR="00681BA7" w:rsidRDefault="00681BA7" w:rsidP="00C27854">
      <w:pPr>
        <w:numPr>
          <w:ilvl w:val="0"/>
          <w:numId w:val="7"/>
        </w:numPr>
        <w:spacing w:before="120" w:after="120" w:line="220" w:lineRule="exact"/>
        <w:ind w:left="1440"/>
        <w:jc w:val="both"/>
      </w:pPr>
      <w:r>
        <w:t>Trustworthy Information Systems Handbook; and</w:t>
      </w:r>
    </w:p>
    <w:p w14:paraId="1B8285A5" w14:textId="77777777" w:rsidR="00681BA7" w:rsidRDefault="00681BA7" w:rsidP="00C27854">
      <w:pPr>
        <w:numPr>
          <w:ilvl w:val="0"/>
          <w:numId w:val="7"/>
        </w:numPr>
        <w:spacing w:before="120" w:after="120" w:line="220" w:lineRule="exact"/>
        <w:ind w:left="1440"/>
        <w:jc w:val="both"/>
      </w:pPr>
      <w:r>
        <w:t>Topical Tip Sheets.</w:t>
      </w:r>
    </w:p>
    <w:p w14:paraId="042B7ADB" w14:textId="3092F21C" w:rsidR="004B5C85" w:rsidRPr="00602AB6" w:rsidRDefault="00681BA7" w:rsidP="00E22550">
      <w:pPr>
        <w:spacing w:line="220" w:lineRule="exact"/>
        <w:ind w:left="360"/>
        <w:jc w:val="both"/>
      </w:pPr>
      <w:r>
        <w:t>For more information and to learn about ongoing projects, visit the Ohio Electronic Records Committee website</w:t>
      </w:r>
      <w:r w:rsidR="00D106E3">
        <w:t>:</w:t>
      </w:r>
      <w:r w:rsidR="00E22550">
        <w:t xml:space="preserve"> </w:t>
      </w:r>
      <w:hyperlink r:id="rId57" w:history="1">
        <w:r w:rsidR="00526E57" w:rsidRPr="00670D85">
          <w:rPr>
            <w:rStyle w:val="Hyperlink"/>
          </w:rPr>
          <w:t>http://www.OhioERC.org</w:t>
        </w:r>
      </w:hyperlink>
      <w:r>
        <w:t>.</w:t>
      </w:r>
    </w:p>
    <w:p w14:paraId="20AA1008" w14:textId="77777777" w:rsidR="004B5C85" w:rsidRDefault="004B5C85">
      <w:pPr>
        <w:spacing w:line="220" w:lineRule="exact"/>
        <w:jc w:val="both"/>
        <w:rPr>
          <w:b/>
        </w:rPr>
      </w:pPr>
    </w:p>
    <w:p w14:paraId="7AC9DF79" w14:textId="57B3587F" w:rsidR="00681BA7" w:rsidRPr="00D46D0B" w:rsidRDefault="00D46D0B" w:rsidP="006338B3">
      <w:pPr>
        <w:pStyle w:val="Heading3"/>
      </w:pPr>
      <w:bookmarkStart w:id="577" w:name="_Toc159851639"/>
      <w:r w:rsidRPr="00D46D0B">
        <w:t>2.</w:t>
      </w:r>
      <w:r w:rsidRPr="00D46D0B">
        <w:tab/>
      </w:r>
      <w:r w:rsidR="00681BA7" w:rsidRPr="00D46D0B">
        <w:t xml:space="preserve">Statements on Maintaining Digitally Imaged Records </w:t>
      </w:r>
      <w:r w:rsidR="006338B3">
        <w:tab/>
      </w:r>
      <w:r w:rsidR="006338B3">
        <w:tab/>
      </w:r>
      <w:r w:rsidR="006338B3">
        <w:tab/>
      </w:r>
      <w:r w:rsidR="006338B3">
        <w:tab/>
      </w:r>
      <w:r w:rsidR="00681BA7" w:rsidRPr="00D46D0B">
        <w:t>Permanently</w:t>
      </w:r>
      <w:bookmarkEnd w:id="577"/>
    </w:p>
    <w:p w14:paraId="381970F5" w14:textId="45DDD05E" w:rsidR="00602AB6" w:rsidRDefault="00681BA7" w:rsidP="00C27854">
      <w:pPr>
        <w:spacing w:before="120" w:after="120" w:line="220" w:lineRule="exact"/>
        <w:ind w:left="360"/>
        <w:jc w:val="both"/>
      </w:pPr>
      <w:r>
        <w:t>Ohio History Connection</w:t>
      </w:r>
      <w:r w:rsidR="00C27854">
        <w:t>:</w:t>
      </w:r>
    </w:p>
    <w:p w14:paraId="3039986C" w14:textId="63F1B250" w:rsidR="00602AB6" w:rsidRDefault="00000000" w:rsidP="00A9230F">
      <w:pPr>
        <w:spacing w:before="120" w:after="120" w:line="220" w:lineRule="exact"/>
        <w:ind w:left="360"/>
        <w:jc w:val="both"/>
      </w:pPr>
      <w:hyperlink r:id="rId58" w:history="1">
        <w:r w:rsidR="00602AB6" w:rsidRPr="001353E7">
          <w:rPr>
            <w:rStyle w:val="Hyperlink"/>
          </w:rPr>
          <w:t>https://www.ohiohistory.org/learn/archives-library/state-archives/local-government-records-program/electronic-records-resources/statement-on-maintaining-digitally-imaged-records-</w:t>
        </w:r>
      </w:hyperlink>
    </w:p>
    <w:p w14:paraId="16EE3642" w14:textId="77777777" w:rsidR="00526E57" w:rsidRDefault="00526E57" w:rsidP="00C27854">
      <w:pPr>
        <w:spacing w:before="120" w:after="120" w:line="220" w:lineRule="exact"/>
        <w:ind w:firstLine="360"/>
        <w:jc w:val="both"/>
      </w:pPr>
    </w:p>
    <w:p w14:paraId="587BE098" w14:textId="3F180114" w:rsidR="00681BA7" w:rsidRDefault="00681BA7" w:rsidP="00C27854">
      <w:pPr>
        <w:spacing w:before="120" w:after="120" w:line="220" w:lineRule="exact"/>
        <w:ind w:firstLine="360"/>
        <w:jc w:val="both"/>
      </w:pPr>
      <w:r>
        <w:t>Ohio County Archivists and Records Managers Association</w:t>
      </w:r>
    </w:p>
    <w:p w14:paraId="52A57EC9" w14:textId="665D8200" w:rsidR="00681BA7" w:rsidRDefault="00000000" w:rsidP="00A9230F">
      <w:pPr>
        <w:spacing w:line="220" w:lineRule="exact"/>
        <w:ind w:left="360"/>
        <w:jc w:val="both"/>
        <w:rPr>
          <w:rStyle w:val="Hyperlink"/>
        </w:rPr>
      </w:pPr>
      <w:hyperlink r:id="rId59" w:history="1">
        <w:r w:rsidR="00602AB6" w:rsidRPr="00F01718">
          <w:rPr>
            <w:rStyle w:val="Hyperlink"/>
          </w:rPr>
          <w:t>https://www.ohiohistory.org/wp-content/uploads/2022/02/CARMA_Statement_on_Permanent_Records_2013_12_17.pdf</w:t>
        </w:r>
      </w:hyperlink>
    </w:p>
    <w:p w14:paraId="2C512DEA" w14:textId="77777777" w:rsidR="00A9230F" w:rsidRDefault="00A9230F" w:rsidP="00A9230F">
      <w:pPr>
        <w:spacing w:line="220" w:lineRule="exact"/>
        <w:ind w:left="360"/>
        <w:jc w:val="both"/>
      </w:pPr>
    </w:p>
    <w:p w14:paraId="31FDD8A3" w14:textId="3375BDB9" w:rsidR="00681BA7" w:rsidRDefault="00000000" w:rsidP="00322085">
      <w:pPr>
        <w:pStyle w:val="Heading2"/>
      </w:pPr>
      <w:hyperlink r:id="rId60" w:history="1"/>
      <w:bookmarkStart w:id="578" w:name="_Toc159851640"/>
      <w:r w:rsidR="00681BA7" w:rsidRPr="00345637">
        <w:t>F.</w:t>
      </w:r>
      <w:r w:rsidR="00681BA7" w:rsidRPr="00345637">
        <w:tab/>
        <w:t>Public Records Policy</w:t>
      </w:r>
      <w:bookmarkEnd w:id="578"/>
    </w:p>
    <w:p w14:paraId="726CA31A" w14:textId="77777777" w:rsidR="00681BA7" w:rsidRPr="00C27854" w:rsidRDefault="00681BA7" w:rsidP="00C27854">
      <w:pPr>
        <w:spacing w:line="220" w:lineRule="exact"/>
        <w:ind w:left="360"/>
        <w:jc w:val="both"/>
      </w:pPr>
      <w:r>
        <w:t>A public office must create and adopt a policy for responding to public records requests.  The Ohio Attorney General’s Office has developed a model public records policy, which may serve as a guide.</w:t>
      </w:r>
      <w:r>
        <w:rPr>
          <w:rStyle w:val="EndnoteReference"/>
        </w:rPr>
        <w:endnoteReference w:id="949"/>
      </w:r>
      <w:r>
        <w:t xml:space="preserve">  The public records policy must be distributed to the records manager, records custodian, or the employee who otherwise has custody of the records of the office, and that employee must acknowledge receipt.  In addition, a poster describing the policy must be posted in the public office in a conspicuous location, as well as in all branch offices.</w:t>
      </w:r>
      <w:r>
        <w:rPr>
          <w:rStyle w:val="EndnoteReference"/>
        </w:rPr>
        <w:endnoteReference w:id="950"/>
      </w:r>
      <w:r>
        <w:t xml:space="preserve">  The public records policy must be included in the office’s policies and procedures manual, if one exists, and may be posted on the office’s website.</w:t>
      </w:r>
      <w:r>
        <w:rPr>
          <w:rStyle w:val="EndnoteReference"/>
        </w:rPr>
        <w:endnoteReference w:id="951"/>
      </w:r>
      <w:r>
        <w:t xml:space="preserve">  Compliance with these requirements will be audited by the Auditor of State in the course </w:t>
      </w:r>
      <w:r w:rsidRPr="00C27854">
        <w:t>of a regular financial audit.</w:t>
      </w:r>
      <w:r w:rsidRPr="00C27854">
        <w:rPr>
          <w:rStyle w:val="EndnoteReference"/>
        </w:rPr>
        <w:endnoteReference w:id="952"/>
      </w:r>
    </w:p>
    <w:p w14:paraId="4CBA1DFF" w14:textId="77777777" w:rsidR="00681BA7" w:rsidRPr="00C27854" w:rsidRDefault="00681BA7" w:rsidP="00C27854">
      <w:pPr>
        <w:spacing w:line="220" w:lineRule="exact"/>
        <w:jc w:val="both"/>
      </w:pPr>
    </w:p>
    <w:p w14:paraId="59EBEB1C" w14:textId="27295BE6" w:rsidR="00681BA7" w:rsidRPr="00C27854" w:rsidRDefault="00681BA7" w:rsidP="00C27854">
      <w:pPr>
        <w:spacing w:line="220" w:lineRule="exact"/>
        <w:ind w:left="360"/>
        <w:jc w:val="both"/>
        <w:rPr>
          <w:szCs w:val="26"/>
        </w:rPr>
      </w:pPr>
      <w:r w:rsidRPr="00C27854">
        <w:rPr>
          <w:szCs w:val="26"/>
        </w:rPr>
        <w:t>A public records policy may limit the number of records that the office will transmit by</w:t>
      </w:r>
      <w:r w:rsidRPr="00C27854">
        <w:rPr>
          <w:i/>
          <w:szCs w:val="26"/>
        </w:rPr>
        <w:t xml:space="preserve"> </w:t>
      </w:r>
      <w:r w:rsidRPr="00C27854">
        <w:rPr>
          <w:szCs w:val="26"/>
        </w:rPr>
        <w:t>United States mail</w:t>
      </w:r>
      <w:r w:rsidR="00B06E10" w:rsidRPr="00C27854">
        <w:rPr>
          <w:szCs w:val="26"/>
        </w:rPr>
        <w:t xml:space="preserve"> or by any other delivery service </w:t>
      </w:r>
      <w:r w:rsidRPr="00C27854">
        <w:rPr>
          <w:szCs w:val="26"/>
        </w:rPr>
        <w:t xml:space="preserve">to a particular requester to ten per month, unless the requester certifies in writing that the requested records and/or the information those records contain will not be used or forwarded for commercial purposes.  For purposes of this division, “commercial” shall be narrowly construed and does not include reporting or gathering of news, </w:t>
      </w:r>
      <w:r w:rsidR="00602B77" w:rsidRPr="00C27854">
        <w:rPr>
          <w:szCs w:val="26"/>
        </w:rPr>
        <w:t>reporting,</w:t>
      </w:r>
      <w:r w:rsidRPr="00C27854">
        <w:rPr>
          <w:szCs w:val="26"/>
        </w:rPr>
        <w:t xml:space="preserve"> or gathering of information to assist citizen oversight or understanding of the operation or activities of government, or non-profit educational research.</w:t>
      </w:r>
      <w:r w:rsidRPr="00C27854">
        <w:rPr>
          <w:rStyle w:val="EndnoteReference"/>
        </w:rPr>
        <w:endnoteReference w:id="953"/>
      </w:r>
    </w:p>
    <w:p w14:paraId="4AA78862" w14:textId="77777777" w:rsidR="00681BA7" w:rsidRPr="00C27854" w:rsidRDefault="00681BA7" w:rsidP="00C27854">
      <w:pPr>
        <w:spacing w:line="220" w:lineRule="exact"/>
        <w:jc w:val="both"/>
        <w:rPr>
          <w:szCs w:val="26"/>
        </w:rPr>
      </w:pPr>
    </w:p>
    <w:p w14:paraId="3DB98ECE" w14:textId="590D95D3" w:rsidR="00602AB6" w:rsidRPr="00C27854" w:rsidRDefault="00C27854" w:rsidP="00C27854">
      <w:pPr>
        <w:spacing w:line="220" w:lineRule="exact"/>
        <w:ind w:left="360"/>
        <w:jc w:val="both"/>
        <w:rPr>
          <w:szCs w:val="26"/>
        </w:rPr>
      </w:pPr>
      <w:r w:rsidRPr="00C27854">
        <w:rPr>
          <w:szCs w:val="26"/>
        </w:rPr>
        <w:t>However, a</w:t>
      </w:r>
      <w:r w:rsidR="00681BA7" w:rsidRPr="00C27854">
        <w:rPr>
          <w:szCs w:val="26"/>
        </w:rPr>
        <w:t xml:space="preserve"> public records policy </w:t>
      </w:r>
      <w:r w:rsidR="00681BA7" w:rsidRPr="00C27854">
        <w:rPr>
          <w:i/>
          <w:iCs/>
          <w:szCs w:val="26"/>
        </w:rPr>
        <w:t>may not</w:t>
      </w:r>
      <w:r w:rsidR="00681BA7" w:rsidRPr="00C27854">
        <w:rPr>
          <w:szCs w:val="26"/>
        </w:rPr>
        <w:t xml:space="preserve"> </w:t>
      </w:r>
      <w:r w:rsidRPr="00C27854">
        <w:rPr>
          <w:szCs w:val="26"/>
        </w:rPr>
        <w:t xml:space="preserve">(1) </w:t>
      </w:r>
      <w:r w:rsidR="00681BA7" w:rsidRPr="00C27854">
        <w:rPr>
          <w:szCs w:val="26"/>
        </w:rPr>
        <w:t>limit the number of public records made available to a single person;</w:t>
      </w:r>
      <w:r w:rsidRPr="00C27854">
        <w:rPr>
          <w:szCs w:val="26"/>
        </w:rPr>
        <w:t xml:space="preserve"> (2) </w:t>
      </w:r>
      <w:r w:rsidR="00681BA7" w:rsidRPr="00C27854">
        <w:rPr>
          <w:szCs w:val="26"/>
        </w:rPr>
        <w:t>limit the number of records the public office will make available during a fixed period of time; or</w:t>
      </w:r>
      <w:r w:rsidRPr="00C27854">
        <w:rPr>
          <w:szCs w:val="26"/>
        </w:rPr>
        <w:t xml:space="preserve"> (3) </w:t>
      </w:r>
      <w:r w:rsidR="00681BA7" w:rsidRPr="00C27854">
        <w:rPr>
          <w:szCs w:val="26"/>
        </w:rPr>
        <w:t>establish a fixed period of time before the public office will respond to a request for inspection or copying of public records (unless that period is less than eight hours).</w:t>
      </w:r>
      <w:r w:rsidR="00681BA7" w:rsidRPr="00C27854">
        <w:rPr>
          <w:rStyle w:val="EndnoteReference"/>
        </w:rPr>
        <w:endnoteReference w:id="954"/>
      </w:r>
    </w:p>
    <w:p w14:paraId="4890AE2E" w14:textId="3A491D23" w:rsidR="00681BA7" w:rsidRPr="00973B06" w:rsidRDefault="00681BA7" w:rsidP="00322085">
      <w:pPr>
        <w:pStyle w:val="Heading2"/>
      </w:pPr>
      <w:bookmarkStart w:id="579" w:name="_Toc159851641"/>
      <w:r w:rsidRPr="00973B06">
        <w:t>G.</w:t>
      </w:r>
      <w:r w:rsidRPr="00973B06">
        <w:tab/>
        <w:t>Required Public Records Training for Elected Officials</w:t>
      </w:r>
      <w:bookmarkEnd w:id="579"/>
    </w:p>
    <w:p w14:paraId="7214B38D" w14:textId="59D8E7A6" w:rsidR="00D413C6" w:rsidRDefault="00D413C6" w:rsidP="00D106E3">
      <w:pPr>
        <w:spacing w:line="220" w:lineRule="exact"/>
        <w:ind w:left="360"/>
        <w:jc w:val="both"/>
        <w:rPr>
          <w:szCs w:val="26"/>
        </w:rPr>
      </w:pPr>
      <w:r>
        <w:rPr>
          <w:szCs w:val="26"/>
        </w:rPr>
        <w:t>To enhance their knowledge of their duties under the Public Records Act and Open Meetings Act, a</w:t>
      </w:r>
      <w:r w:rsidR="00681BA7">
        <w:rPr>
          <w:szCs w:val="26"/>
        </w:rPr>
        <w:t>ll local and statewide elected government officials</w:t>
      </w:r>
      <w:r>
        <w:t xml:space="preserve"> </w:t>
      </w:r>
      <w:r w:rsidR="00681BA7">
        <w:rPr>
          <w:szCs w:val="26"/>
        </w:rPr>
        <w:t>or their designees</w:t>
      </w:r>
      <w:r>
        <w:t xml:space="preserve"> </w:t>
      </w:r>
      <w:r w:rsidR="00681BA7">
        <w:rPr>
          <w:szCs w:val="26"/>
        </w:rPr>
        <w:t xml:space="preserve">must </w:t>
      </w:r>
      <w:r>
        <w:rPr>
          <w:szCs w:val="26"/>
        </w:rPr>
        <w:t>complete</w:t>
      </w:r>
      <w:r w:rsidR="00681BA7">
        <w:rPr>
          <w:szCs w:val="26"/>
        </w:rPr>
        <w:t xml:space="preserve"> a three-hour</w:t>
      </w:r>
      <w:r>
        <w:rPr>
          <w:szCs w:val="26"/>
        </w:rPr>
        <w:t xml:space="preserve"> </w:t>
      </w:r>
      <w:r w:rsidR="00681BA7">
        <w:rPr>
          <w:szCs w:val="26"/>
        </w:rPr>
        <w:t>training program during each term of elective office the official serves.</w:t>
      </w:r>
      <w:r w:rsidR="00681BA7">
        <w:rPr>
          <w:rStyle w:val="EndnoteReference"/>
        </w:rPr>
        <w:endnoteReference w:id="955"/>
      </w:r>
      <w:r w:rsidR="00681BA7">
        <w:rPr>
          <w:szCs w:val="26"/>
        </w:rPr>
        <w:t xml:space="preserve">  </w:t>
      </w:r>
      <w:r>
        <w:rPr>
          <w:szCs w:val="26"/>
        </w:rPr>
        <w:t>An “elected official” is any “official elected to a local or statewide office.”</w:t>
      </w:r>
      <w:r>
        <w:rPr>
          <w:rStyle w:val="EndnoteReference"/>
          <w:szCs w:val="26"/>
        </w:rPr>
        <w:endnoteReference w:id="956"/>
      </w:r>
      <w:r>
        <w:rPr>
          <w:szCs w:val="26"/>
        </w:rPr>
        <w:t xml:space="preserve"> A “future official” (“a person who has received a certificate of election to a local or statewide office but has not yet taken office”) may choose to satisfy </w:t>
      </w:r>
      <w:r>
        <w:rPr>
          <w:szCs w:val="26"/>
        </w:rPr>
        <w:lastRenderedPageBreak/>
        <w:t>this requirement before taking office.</w:t>
      </w:r>
      <w:r>
        <w:rPr>
          <w:rStyle w:val="EndnoteReference"/>
          <w:szCs w:val="26"/>
        </w:rPr>
        <w:endnoteReference w:id="957"/>
      </w:r>
      <w:r>
        <w:rPr>
          <w:szCs w:val="26"/>
        </w:rPr>
        <w:t xml:space="preserve"> Neither “elected official” or “future official” includes “the chief justice or a justice of the supreme court, a judge of a court of appeals, court of common pleas, municipal court, or county court, or a clerk of any of those courts.”</w:t>
      </w:r>
      <w:r>
        <w:rPr>
          <w:rStyle w:val="EndnoteReference"/>
          <w:szCs w:val="26"/>
        </w:rPr>
        <w:endnoteReference w:id="958"/>
      </w:r>
      <w:r w:rsidR="00053271">
        <w:rPr>
          <w:szCs w:val="26"/>
        </w:rPr>
        <w:t xml:space="preserve"> A “designee” may be the designee of the sole elected official in a public office, or of all the elected officials if the public office includes more than one elected official.</w:t>
      </w:r>
      <w:r w:rsidR="00053271">
        <w:rPr>
          <w:rStyle w:val="EndnoteReference"/>
          <w:szCs w:val="26"/>
        </w:rPr>
        <w:endnoteReference w:id="959"/>
      </w:r>
      <w:r w:rsidR="00053271">
        <w:rPr>
          <w:szCs w:val="26"/>
        </w:rPr>
        <w:t xml:space="preserve"> Compliance with the training requirement is audited by the Auditor of State in the course of a regular financial audit.</w:t>
      </w:r>
      <w:r w:rsidR="00053271">
        <w:rPr>
          <w:rStyle w:val="EndnoteReference"/>
          <w:szCs w:val="26"/>
        </w:rPr>
        <w:endnoteReference w:id="960"/>
      </w:r>
    </w:p>
    <w:p w14:paraId="6BFF2FBA" w14:textId="77777777" w:rsidR="00D413C6" w:rsidRDefault="00D413C6" w:rsidP="00D106E3">
      <w:pPr>
        <w:spacing w:line="220" w:lineRule="exact"/>
        <w:ind w:left="360"/>
        <w:jc w:val="both"/>
        <w:rPr>
          <w:szCs w:val="26"/>
        </w:rPr>
      </w:pPr>
    </w:p>
    <w:p w14:paraId="717707F4" w14:textId="263090C5" w:rsidR="00681BA7" w:rsidRDefault="00681BA7" w:rsidP="00D106E3">
      <w:pPr>
        <w:spacing w:line="220" w:lineRule="exact"/>
        <w:ind w:left="360"/>
        <w:jc w:val="both"/>
        <w:rPr>
          <w:szCs w:val="26"/>
        </w:rPr>
      </w:pPr>
      <w:r>
        <w:rPr>
          <w:szCs w:val="26"/>
        </w:rPr>
        <w:t xml:space="preserve">The training must be developed and certified by the Ohio Attorney General’s Office and </w:t>
      </w:r>
      <w:r w:rsidR="00053271">
        <w:rPr>
          <w:szCs w:val="26"/>
        </w:rPr>
        <w:t>conduct</w:t>
      </w:r>
      <w:r>
        <w:rPr>
          <w:szCs w:val="26"/>
        </w:rPr>
        <w:t xml:space="preserve">ed either by the Ohio Attorney General’s Office or an approved </w:t>
      </w:r>
      <w:r w:rsidR="00053271">
        <w:rPr>
          <w:szCs w:val="26"/>
        </w:rPr>
        <w:t xml:space="preserve">public or private </w:t>
      </w:r>
      <w:r>
        <w:rPr>
          <w:szCs w:val="26"/>
        </w:rPr>
        <w:t>entity with which the Attorney General’s Office contracts.</w:t>
      </w:r>
      <w:r>
        <w:rPr>
          <w:rStyle w:val="EndnoteReference"/>
        </w:rPr>
        <w:endnoteReference w:id="961"/>
      </w:r>
      <w:r>
        <w:rPr>
          <w:szCs w:val="26"/>
        </w:rPr>
        <w:t xml:space="preserve">  </w:t>
      </w:r>
      <w:r w:rsidR="00053271">
        <w:rPr>
          <w:szCs w:val="26"/>
        </w:rPr>
        <w:t>The training is free and open to any member of the public.</w:t>
      </w:r>
      <w:r w:rsidR="00053271">
        <w:rPr>
          <w:rStyle w:val="EndnoteReference"/>
          <w:szCs w:val="26"/>
        </w:rPr>
        <w:endnoteReference w:id="962"/>
      </w:r>
    </w:p>
    <w:p w14:paraId="7E791565" w14:textId="77777777" w:rsidR="000938B4" w:rsidRDefault="000938B4">
      <w:pPr>
        <w:spacing w:line="220" w:lineRule="exact"/>
        <w:jc w:val="both"/>
        <w:rPr>
          <w:szCs w:val="26"/>
        </w:rPr>
      </w:pPr>
    </w:p>
    <w:p w14:paraId="0636CA57" w14:textId="7DDA2E9D" w:rsidR="00681BA7" w:rsidRDefault="00053271" w:rsidP="00D106E3">
      <w:pPr>
        <w:spacing w:line="220" w:lineRule="exact"/>
        <w:ind w:left="360"/>
        <w:jc w:val="both"/>
        <w:rPr>
          <w:szCs w:val="26"/>
        </w:rPr>
      </w:pPr>
      <w:r>
        <w:rPr>
          <w:szCs w:val="26"/>
        </w:rPr>
        <w:t>The Attorney General’s Office certified training schedule can be viewed</w:t>
      </w:r>
      <w:r w:rsidR="00681BA7">
        <w:rPr>
          <w:szCs w:val="26"/>
        </w:rPr>
        <w:t xml:space="preserve"> at</w:t>
      </w:r>
      <w:r w:rsidR="00707B4A">
        <w:rPr>
          <w:szCs w:val="26"/>
        </w:rPr>
        <w:t>:</w:t>
      </w:r>
      <w:r w:rsidR="00681BA7">
        <w:rPr>
          <w:szCs w:val="26"/>
        </w:rPr>
        <w:t xml:space="preserve"> </w:t>
      </w:r>
      <w:hyperlink r:id="rId61" w:history="1">
        <w:r w:rsidR="00681BA7">
          <w:rPr>
            <w:rStyle w:val="Hyperlink"/>
            <w:szCs w:val="26"/>
          </w:rPr>
          <w:t>www.OhioAttorneyGeneral.gov/Sunshine</w:t>
        </w:r>
      </w:hyperlink>
      <w:r w:rsidR="00681BA7">
        <w:rPr>
          <w:szCs w:val="26"/>
        </w:rPr>
        <w:t>.</w:t>
      </w:r>
    </w:p>
    <w:p w14:paraId="7EFD2ED0" w14:textId="0AB50A48" w:rsidR="00681BA7" w:rsidRDefault="00B63D8F">
      <w:pPr>
        <w:spacing w:line="220" w:lineRule="exact"/>
        <w:jc w:val="both"/>
        <w:rPr>
          <w:szCs w:val="26"/>
        </w:rPr>
        <w:sectPr w:rsidR="00681BA7" w:rsidSect="00AF6868">
          <w:headerReference w:type="default" r:id="rId62"/>
          <w:footerReference w:type="default" r:id="rId63"/>
          <w:endnotePr>
            <w:numFmt w:val="decimal"/>
          </w:endnotePr>
          <w:pgSz w:w="12240" w:h="15840"/>
          <w:pgMar w:top="1440" w:right="1440" w:bottom="1440" w:left="1440" w:header="720" w:footer="210" w:gutter="0"/>
          <w:cols w:space="720"/>
          <w:docGrid w:linePitch="360"/>
        </w:sectPr>
      </w:pPr>
      <w:r>
        <w:rPr>
          <w:szCs w:val="26"/>
        </w:rPr>
        <w:br w:type="page"/>
      </w:r>
      <w:r w:rsidR="00AA189A">
        <w:rPr>
          <w:szCs w:val="26"/>
        </w:rPr>
        <w:lastRenderedPageBreak/>
        <w:t>N</w:t>
      </w:r>
      <w:r>
        <w:rPr>
          <w:szCs w:val="26"/>
        </w:rPr>
        <w:t>otes:</w:t>
      </w:r>
      <w:bookmarkEnd w:id="544"/>
    </w:p>
    <w:p w14:paraId="019C07B2" w14:textId="14C96832" w:rsidR="00681BA7" w:rsidRPr="00732B46" w:rsidRDefault="00681BA7" w:rsidP="006338B3">
      <w:pPr>
        <w:pStyle w:val="Heading1"/>
        <w:jc w:val="center"/>
      </w:pPr>
      <w:bookmarkStart w:id="580" w:name="_Toc159851642"/>
      <w:bookmarkStart w:id="581" w:name="_Hlk90903239"/>
      <w:bookmarkStart w:id="582" w:name="_Hlk90903327"/>
      <w:bookmarkEnd w:id="545"/>
      <w:r w:rsidRPr="00732B46">
        <w:lastRenderedPageBreak/>
        <w:t>Overview of the Ohio Open Meetings Act</w:t>
      </w:r>
      <w:bookmarkEnd w:id="580"/>
    </w:p>
    <w:p w14:paraId="7D0AA43B" w14:textId="3067397D" w:rsidR="006645C0" w:rsidRPr="00E52CBE" w:rsidRDefault="00AF6868" w:rsidP="00E52CBE">
      <w:pPr>
        <w:spacing w:line="280" w:lineRule="exact"/>
        <w:jc w:val="center"/>
        <w:rPr>
          <w:i/>
          <w:sz w:val="28"/>
        </w:rPr>
      </w:pPr>
      <w:r>
        <w:rPr>
          <w:i/>
          <w:noProof/>
          <w:sz w:val="28"/>
        </w:rPr>
        <w:pict w14:anchorId="5BA14DEB">
          <v:rect id="_x0000_i1036" alt="" style="width:468pt;height:.05pt;mso-width-percent:0;mso-height-percent:0;mso-width-percent:0;mso-height-percent:0" o:hralign="center" o:hrstd="t" o:hr="t" fillcolor="#a0a0a0" stroked="f"/>
        </w:pict>
      </w:r>
      <w:r w:rsidR="006645C0" w:rsidRPr="00E52CBE">
        <w:rPr>
          <w:rStyle w:val="Heading2Char"/>
        </w:rPr>
        <w:t>What is a “public body”?</w:t>
      </w:r>
    </w:p>
    <w:p w14:paraId="1C4B77DA" w14:textId="77777777" w:rsidR="006645C0" w:rsidRDefault="00AF6868" w:rsidP="006645C0">
      <w:pPr>
        <w:spacing w:line="220" w:lineRule="exact"/>
        <w:jc w:val="center"/>
        <w:rPr>
          <w:i/>
          <w:sz w:val="28"/>
        </w:rPr>
      </w:pPr>
      <w:r>
        <w:rPr>
          <w:i/>
          <w:noProof/>
          <w:sz w:val="28"/>
        </w:rPr>
        <w:pict w14:anchorId="2555CFD1">
          <v:rect id="_x0000_i1035" alt="" style="width:468pt;height:.05pt;mso-width-percent:0;mso-height-percent:0;mso-width-percent:0;mso-height-percent:0" o:hralign="center" o:hrstd="t" o:hr="t" fillcolor="#a0a0a0" stroked="f"/>
        </w:pict>
      </w:r>
    </w:p>
    <w:p w14:paraId="1641A8F6" w14:textId="77777777" w:rsidR="006645C0" w:rsidRDefault="00AE59A3" w:rsidP="00E15BB5">
      <w:pPr>
        <w:numPr>
          <w:ilvl w:val="0"/>
          <w:numId w:val="42"/>
        </w:numPr>
        <w:spacing w:before="120" w:after="120" w:line="220" w:lineRule="exact"/>
        <w:jc w:val="both"/>
      </w:pPr>
      <w:r>
        <w:t>A “public body” is a d</w:t>
      </w:r>
      <w:r w:rsidR="006645C0">
        <w:t>ecision-making bod</w:t>
      </w:r>
      <w:r>
        <w:t>y</w:t>
      </w:r>
      <w:r w:rsidR="006645C0">
        <w:t xml:space="preserve"> at any level of government</w:t>
      </w:r>
      <w:r>
        <w:t>.</w:t>
      </w:r>
    </w:p>
    <w:p w14:paraId="6FFB92C5" w14:textId="77777777" w:rsidR="006645C0" w:rsidRDefault="00AE59A3" w:rsidP="00E15BB5">
      <w:pPr>
        <w:numPr>
          <w:ilvl w:val="0"/>
          <w:numId w:val="42"/>
        </w:numPr>
        <w:spacing w:after="120" w:line="220" w:lineRule="exact"/>
        <w:jc w:val="both"/>
      </w:pPr>
      <w:r>
        <w:t>A public body m</w:t>
      </w:r>
      <w:r w:rsidR="006645C0">
        <w:t>ay include the committees or subcommittees of a public body, even if these committees do not make the final decisions of the public body</w:t>
      </w:r>
      <w:r>
        <w:t>.</w:t>
      </w:r>
    </w:p>
    <w:p w14:paraId="5F178566" w14:textId="07EFD3D3" w:rsidR="006645C0" w:rsidRPr="00E52CBE" w:rsidRDefault="00AF6868" w:rsidP="00E52CBE">
      <w:pPr>
        <w:spacing w:line="220" w:lineRule="exact"/>
        <w:jc w:val="center"/>
        <w:rPr>
          <w:rStyle w:val="Heading2Char"/>
        </w:rPr>
      </w:pPr>
      <w:r>
        <w:rPr>
          <w:i/>
          <w:noProof/>
          <w:sz w:val="28"/>
        </w:rPr>
        <w:pict w14:anchorId="48E16606">
          <v:rect id="_x0000_i1034" alt="" style="width:468pt;height:.05pt;mso-width-percent:0;mso-height-percent:0;mso-width-percent:0;mso-height-percent:0" o:hralign="center" o:hrstd="t" o:hr="t" fillcolor="#a0a0a0" stroked="f"/>
        </w:pict>
      </w:r>
      <w:r w:rsidR="006645C0" w:rsidRPr="00E52CBE">
        <w:rPr>
          <w:rStyle w:val="Heading2Char"/>
        </w:rPr>
        <w:t>What is a “meeting”?</w:t>
      </w:r>
    </w:p>
    <w:p w14:paraId="24657744" w14:textId="77777777" w:rsidR="006645C0" w:rsidRDefault="00AF6868" w:rsidP="006645C0">
      <w:pPr>
        <w:spacing w:line="220" w:lineRule="exact"/>
        <w:jc w:val="center"/>
        <w:rPr>
          <w:i/>
          <w:sz w:val="28"/>
        </w:rPr>
      </w:pPr>
      <w:r>
        <w:rPr>
          <w:i/>
          <w:noProof/>
          <w:sz w:val="28"/>
        </w:rPr>
        <w:pict w14:anchorId="615026B9">
          <v:rect id="_x0000_i1033" alt="" style="width:468pt;height:.05pt;mso-width-percent:0;mso-height-percent:0;mso-width-percent:0;mso-height-percent:0" o:hralign="center" o:hrstd="t" o:hr="t" fillcolor="#a0a0a0" stroked="f"/>
        </w:pict>
      </w:r>
    </w:p>
    <w:p w14:paraId="639D440B" w14:textId="77777777" w:rsidR="006645C0" w:rsidRDefault="006645C0" w:rsidP="00E15BB5">
      <w:pPr>
        <w:numPr>
          <w:ilvl w:val="0"/>
          <w:numId w:val="43"/>
        </w:numPr>
        <w:spacing w:before="120" w:after="120" w:line="220" w:lineRule="exact"/>
        <w:jc w:val="both"/>
      </w:pPr>
      <w:r>
        <w:t xml:space="preserve">A </w:t>
      </w:r>
      <w:r w:rsidR="00AE59A3">
        <w:t>“</w:t>
      </w:r>
      <w:r>
        <w:t>meeting</w:t>
      </w:r>
      <w:r w:rsidR="00AE59A3">
        <w:t>”</w:t>
      </w:r>
      <w:r>
        <w:t xml:space="preserve"> is (1) a prearranged gathering, (2) of a majority of the members of the public body, (3) who are discussing or deliberating public business.</w:t>
      </w:r>
    </w:p>
    <w:p w14:paraId="234839C2" w14:textId="77777777" w:rsidR="006645C0" w:rsidRDefault="006645C0" w:rsidP="00E15BB5">
      <w:pPr>
        <w:numPr>
          <w:ilvl w:val="0"/>
          <w:numId w:val="43"/>
        </w:numPr>
        <w:spacing w:after="120" w:line="220" w:lineRule="exact"/>
        <w:jc w:val="both"/>
      </w:pPr>
      <w:r>
        <w:t>A meeting does not have to be called a “meeting” for the OMA requirements to apply—if the three elements above are present, the OMA requirements apply even if the gathering is called a “work session,” “retreat,” etc.</w:t>
      </w:r>
    </w:p>
    <w:p w14:paraId="3A2EEB43" w14:textId="3B58366D" w:rsidR="006645C0" w:rsidRPr="00E52CBE" w:rsidRDefault="00AF6868" w:rsidP="00E52CBE">
      <w:pPr>
        <w:spacing w:line="220" w:lineRule="exact"/>
        <w:jc w:val="center"/>
        <w:rPr>
          <w:i/>
          <w:sz w:val="28"/>
        </w:rPr>
      </w:pPr>
      <w:r>
        <w:rPr>
          <w:i/>
          <w:noProof/>
          <w:sz w:val="28"/>
        </w:rPr>
        <w:pict w14:anchorId="6D98F1E8">
          <v:rect id="_x0000_i1032" alt="" style="width:468pt;height:.05pt;mso-width-percent:0;mso-height-percent:0;mso-width-percent:0;mso-height-percent:0" o:hralign="center" o:hrstd="t" o:hr="t" fillcolor="#a0a0a0" stroked="f"/>
        </w:pict>
      </w:r>
      <w:r w:rsidR="006645C0" w:rsidRPr="00E52CBE">
        <w:rPr>
          <w:rStyle w:val="Heading2Char"/>
        </w:rPr>
        <w:t>What is “discussion” or “deliberation” of public business?</w:t>
      </w:r>
    </w:p>
    <w:p w14:paraId="35042ECD" w14:textId="77777777" w:rsidR="006645C0" w:rsidRDefault="00AF6868" w:rsidP="006645C0">
      <w:pPr>
        <w:spacing w:line="220" w:lineRule="exact"/>
        <w:jc w:val="center"/>
        <w:rPr>
          <w:i/>
          <w:sz w:val="28"/>
        </w:rPr>
      </w:pPr>
      <w:r>
        <w:rPr>
          <w:i/>
          <w:noProof/>
          <w:sz w:val="28"/>
        </w:rPr>
        <w:pict w14:anchorId="31C51FEC">
          <v:rect id="_x0000_i1031" alt="" style="width:468pt;height:.05pt;mso-width-percent:0;mso-height-percent:0;mso-width-percent:0;mso-height-percent:0" o:hralign="center" o:hrstd="t" o:hr="t" fillcolor="#a0a0a0" stroked="f"/>
        </w:pict>
      </w:r>
    </w:p>
    <w:p w14:paraId="7C84308E" w14:textId="77777777" w:rsidR="006645C0" w:rsidRDefault="006645C0" w:rsidP="00E15BB5">
      <w:pPr>
        <w:numPr>
          <w:ilvl w:val="0"/>
          <w:numId w:val="44"/>
        </w:numPr>
        <w:spacing w:before="120" w:after="120" w:line="220" w:lineRule="exact"/>
        <w:jc w:val="both"/>
      </w:pPr>
      <w:r>
        <w:t>“Discussion” is an exchange of words, comments, or ideas.</w:t>
      </w:r>
    </w:p>
    <w:p w14:paraId="7647BFBA" w14:textId="77777777" w:rsidR="006645C0" w:rsidRDefault="006645C0" w:rsidP="00E15BB5">
      <w:pPr>
        <w:numPr>
          <w:ilvl w:val="0"/>
          <w:numId w:val="44"/>
        </w:numPr>
        <w:spacing w:after="120" w:line="220" w:lineRule="exact"/>
        <w:jc w:val="both"/>
      </w:pPr>
      <w:r>
        <w:t>“Deliberation” is the weighing and examination of reasons for and against taking a course of action.</w:t>
      </w:r>
    </w:p>
    <w:p w14:paraId="3993446C" w14:textId="77777777" w:rsidR="006645C0" w:rsidRDefault="00A04649" w:rsidP="00E15BB5">
      <w:pPr>
        <w:numPr>
          <w:ilvl w:val="0"/>
          <w:numId w:val="44"/>
        </w:numPr>
        <w:spacing w:after="120" w:line="220" w:lineRule="exact"/>
        <w:jc w:val="both"/>
      </w:pPr>
      <w:r>
        <w:t xml:space="preserve">“Discussion” or “deliberation” </w:t>
      </w:r>
      <w:r w:rsidR="006645C0">
        <w:t>does not generally include information-gathering, attending presentations, or isolated conversations between employees.</w:t>
      </w:r>
    </w:p>
    <w:p w14:paraId="6C8A21CC" w14:textId="339AE73D" w:rsidR="006645C0" w:rsidRPr="00E52CBE" w:rsidRDefault="00AF6868" w:rsidP="00E52CBE">
      <w:pPr>
        <w:spacing w:line="220" w:lineRule="exact"/>
        <w:jc w:val="center"/>
        <w:rPr>
          <w:i/>
          <w:sz w:val="28"/>
        </w:rPr>
      </w:pPr>
      <w:r>
        <w:rPr>
          <w:i/>
          <w:noProof/>
          <w:sz w:val="28"/>
        </w:rPr>
        <w:pict w14:anchorId="39BB40A4">
          <v:rect id="_x0000_i1030" alt="" style="width:468pt;height:.05pt;mso-width-percent:0;mso-height-percent:0;mso-width-percent:0;mso-height-percent:0" o:hralign="center" o:hrstd="t" o:hr="t" fillcolor="#a0a0a0" stroked="f"/>
        </w:pict>
      </w:r>
      <w:r w:rsidR="006645C0" w:rsidRPr="00E52CBE">
        <w:rPr>
          <w:rStyle w:val="Heading2Char"/>
        </w:rPr>
        <w:t>What are the duties of a public body if the OMA applies?</w:t>
      </w:r>
    </w:p>
    <w:p w14:paraId="0A3F87D3" w14:textId="77777777" w:rsidR="006645C0" w:rsidRDefault="00AF6868" w:rsidP="006645C0">
      <w:pPr>
        <w:spacing w:line="220" w:lineRule="exact"/>
        <w:jc w:val="center"/>
        <w:rPr>
          <w:i/>
          <w:sz w:val="28"/>
        </w:rPr>
      </w:pPr>
      <w:r>
        <w:rPr>
          <w:i/>
          <w:noProof/>
          <w:sz w:val="28"/>
        </w:rPr>
        <w:pict w14:anchorId="292903A0">
          <v:rect id="_x0000_i1029" alt="" style="width:468pt;height:.05pt;mso-width-percent:0;mso-height-percent:0;mso-width-percent:0;mso-height-percent:0" o:hralign="center" o:hrstd="t" o:hr="t" fillcolor="#a0a0a0" stroked="f"/>
        </w:pict>
      </w:r>
    </w:p>
    <w:p w14:paraId="424A4EBE" w14:textId="77777777" w:rsidR="006645C0" w:rsidRDefault="006645C0" w:rsidP="00E15BB5">
      <w:pPr>
        <w:numPr>
          <w:ilvl w:val="0"/>
          <w:numId w:val="39"/>
        </w:numPr>
        <w:spacing w:before="120" w:after="120" w:line="220" w:lineRule="exact"/>
        <w:jc w:val="both"/>
      </w:pPr>
      <w:r>
        <w:t xml:space="preserve">A public body must give appropriate </w:t>
      </w:r>
      <w:r w:rsidRPr="00232713">
        <w:rPr>
          <w:u w:val="single"/>
        </w:rPr>
        <w:t>notice</w:t>
      </w:r>
      <w:r>
        <w:t xml:space="preserve"> of its meetings.</w:t>
      </w:r>
    </w:p>
    <w:p w14:paraId="37BBA57E" w14:textId="77777777" w:rsidR="006645C0" w:rsidRDefault="006645C0" w:rsidP="00E15BB5">
      <w:pPr>
        <w:numPr>
          <w:ilvl w:val="1"/>
          <w:numId w:val="39"/>
        </w:numPr>
        <w:spacing w:after="120" w:line="220" w:lineRule="exact"/>
        <w:jc w:val="both"/>
      </w:pPr>
      <w:r>
        <w:t>For regular meetings, notice must include the time and place of the meeting.  For all other meetings—special and emergency meetings—notice must include the time, place, and purpose of the meeting.</w:t>
      </w:r>
    </w:p>
    <w:p w14:paraId="34C89DC7" w14:textId="7FD0CBB8" w:rsidR="006645C0" w:rsidRDefault="006645C0" w:rsidP="00E15BB5">
      <w:pPr>
        <w:numPr>
          <w:ilvl w:val="0"/>
          <w:numId w:val="39"/>
        </w:numPr>
        <w:spacing w:after="120" w:line="220" w:lineRule="exact"/>
        <w:jc w:val="both"/>
      </w:pPr>
      <w:r>
        <w:t xml:space="preserve">A public body must make all meetings </w:t>
      </w:r>
      <w:r w:rsidRPr="00232713">
        <w:rPr>
          <w:u w:val="single"/>
        </w:rPr>
        <w:t>open</w:t>
      </w:r>
      <w:r>
        <w:t xml:space="preserve"> to the public at all times.</w:t>
      </w:r>
    </w:p>
    <w:p w14:paraId="0F59AE51" w14:textId="01364C90" w:rsidR="006645C0" w:rsidRDefault="006645C0" w:rsidP="00E15BB5">
      <w:pPr>
        <w:numPr>
          <w:ilvl w:val="1"/>
          <w:numId w:val="39"/>
        </w:numPr>
        <w:spacing w:after="120" w:line="220" w:lineRule="exact"/>
        <w:jc w:val="both"/>
      </w:pPr>
      <w:r>
        <w:t xml:space="preserve">Secret ballots, whispering of public business, and </w:t>
      </w:r>
      <w:r w:rsidR="009B0906">
        <w:t>serial meetings or</w:t>
      </w:r>
      <w:r>
        <w:t xml:space="preserve"> discussions are all prohibited under the openness requirement.</w:t>
      </w:r>
    </w:p>
    <w:p w14:paraId="7E8116CA" w14:textId="77777777" w:rsidR="006645C0" w:rsidRDefault="006645C0" w:rsidP="00E15BB5">
      <w:pPr>
        <w:numPr>
          <w:ilvl w:val="0"/>
          <w:numId w:val="39"/>
        </w:numPr>
        <w:spacing w:after="120" w:line="220" w:lineRule="exact"/>
        <w:jc w:val="both"/>
      </w:pPr>
      <w:r>
        <w:t xml:space="preserve">A public body must keep and maintain meeting </w:t>
      </w:r>
      <w:r w:rsidRPr="00232713">
        <w:rPr>
          <w:u w:val="single"/>
        </w:rPr>
        <w:t>minutes</w:t>
      </w:r>
      <w:r w:rsidRPr="0045243E">
        <w:t>.</w:t>
      </w:r>
    </w:p>
    <w:p w14:paraId="39543A85" w14:textId="17EE96F5" w:rsidR="006645C0" w:rsidRDefault="006645C0" w:rsidP="00E15BB5">
      <w:pPr>
        <w:numPr>
          <w:ilvl w:val="1"/>
          <w:numId w:val="39"/>
        </w:numPr>
        <w:spacing w:after="120" w:line="220" w:lineRule="exact"/>
        <w:jc w:val="both"/>
      </w:pPr>
      <w:r>
        <w:t xml:space="preserve">Minutes must be (1) promptly prepared, (2) filed, (3) maintained, and (4) open to the public.  Meeting minutes do not need to be verbatim </w:t>
      </w:r>
      <w:r w:rsidR="00C27854">
        <w:t>transcripts but</w:t>
      </w:r>
      <w:r>
        <w:t xml:space="preserve"> must have enough detail to allow the public to understand and appreciate the rationale behind a public body’s decisions.</w:t>
      </w:r>
    </w:p>
    <w:p w14:paraId="4A8B0E9E" w14:textId="5AE11118" w:rsidR="006645C0" w:rsidRPr="00E52CBE" w:rsidRDefault="00AF6868" w:rsidP="00E52CBE">
      <w:pPr>
        <w:spacing w:line="220" w:lineRule="exact"/>
        <w:jc w:val="center"/>
        <w:rPr>
          <w:i/>
          <w:sz w:val="28"/>
        </w:rPr>
      </w:pPr>
      <w:r>
        <w:rPr>
          <w:i/>
          <w:noProof/>
          <w:sz w:val="28"/>
        </w:rPr>
        <w:pict w14:anchorId="20300568">
          <v:rect id="_x0000_i1028" alt="" style="width:468pt;height:.05pt;mso-width-percent:0;mso-height-percent:0;mso-width-percent:0;mso-height-percent:0" o:hralign="center" o:hrstd="t" o:hr="t" fillcolor="#a0a0a0" stroked="f"/>
        </w:pict>
      </w:r>
      <w:r w:rsidR="006645C0" w:rsidRPr="00E52CBE">
        <w:rPr>
          <w:rStyle w:val="Heading2Char"/>
        </w:rPr>
        <w:t>What are the requirements for an “executive session”?</w:t>
      </w:r>
    </w:p>
    <w:p w14:paraId="53BCA8ED" w14:textId="77777777" w:rsidR="006645C0" w:rsidRDefault="00AF6868" w:rsidP="006645C0">
      <w:pPr>
        <w:spacing w:line="220" w:lineRule="exact"/>
        <w:jc w:val="center"/>
        <w:rPr>
          <w:i/>
          <w:sz w:val="28"/>
        </w:rPr>
      </w:pPr>
      <w:r>
        <w:rPr>
          <w:i/>
          <w:noProof/>
          <w:sz w:val="28"/>
        </w:rPr>
        <w:pict w14:anchorId="215D7F0D">
          <v:rect id="_x0000_i1027" alt="" style="width:468pt;height:.05pt;mso-width-percent:0;mso-height-percent:0;mso-width-percent:0;mso-height-percent:0" o:hralign="center" o:hrstd="t" o:hr="t" fillcolor="#a0a0a0" stroked="f"/>
        </w:pict>
      </w:r>
    </w:p>
    <w:p w14:paraId="07A96AA9" w14:textId="77777777" w:rsidR="006645C0" w:rsidRDefault="006645C0" w:rsidP="00E15BB5">
      <w:pPr>
        <w:numPr>
          <w:ilvl w:val="0"/>
          <w:numId w:val="45"/>
        </w:numPr>
        <w:spacing w:before="120" w:after="120" w:line="220" w:lineRule="exact"/>
        <w:jc w:val="both"/>
      </w:pPr>
      <w:r>
        <w:t>Proper procedure</w:t>
      </w:r>
      <w:r w:rsidR="00A04649">
        <w:t xml:space="preserve"> must be followed to move into an executive session</w:t>
      </w:r>
      <w:r>
        <w:t>, including a motion, second, and roll call vote in open session</w:t>
      </w:r>
      <w:r w:rsidR="00A04649">
        <w:t>.</w:t>
      </w:r>
    </w:p>
    <w:p w14:paraId="096D91B7" w14:textId="77777777" w:rsidR="006645C0" w:rsidRDefault="006645C0" w:rsidP="00E15BB5">
      <w:pPr>
        <w:numPr>
          <w:ilvl w:val="0"/>
          <w:numId w:val="45"/>
        </w:numPr>
        <w:spacing w:after="120" w:line="220" w:lineRule="exact"/>
        <w:jc w:val="both"/>
      </w:pPr>
      <w:r>
        <w:t xml:space="preserve">Discussion in </w:t>
      </w:r>
      <w:r w:rsidR="00A04649">
        <w:t>an</w:t>
      </w:r>
      <w:r>
        <w:t xml:space="preserve"> executive session must be limited to</w:t>
      </w:r>
      <w:r w:rsidR="00A04649">
        <w:t xml:space="preserve"> one of</w:t>
      </w:r>
      <w:r>
        <w:t xml:space="preserve"> the proper topic</w:t>
      </w:r>
      <w:r w:rsidR="00A04649">
        <w:t>s listed in the OMA</w:t>
      </w:r>
      <w:r>
        <w:t>.</w:t>
      </w:r>
    </w:p>
    <w:p w14:paraId="4B7BD56C" w14:textId="77777777" w:rsidR="00681BA7" w:rsidRPr="0085553E" w:rsidRDefault="00681BA7" w:rsidP="0085553E">
      <w:pPr>
        <w:pStyle w:val="Heading1"/>
      </w:pPr>
      <w:r>
        <w:br w:type="page"/>
      </w:r>
      <w:bookmarkStart w:id="583" w:name="_Toc159851643"/>
      <w:r w:rsidRPr="0085553E">
        <w:lastRenderedPageBreak/>
        <w:t>The Ohio Open Meetings Act</w:t>
      </w:r>
      <w:bookmarkEnd w:id="583"/>
    </w:p>
    <w:p w14:paraId="4AEE3CF2" w14:textId="1ECCA289" w:rsidR="007E386C" w:rsidRDefault="00681BA7">
      <w:pPr>
        <w:spacing w:line="220" w:lineRule="exact"/>
        <w:jc w:val="both"/>
        <w:rPr>
          <w:szCs w:val="26"/>
        </w:rPr>
      </w:pPr>
      <w:r>
        <w:rPr>
          <w:szCs w:val="26"/>
        </w:rPr>
        <w:t xml:space="preserve">The Open Meetings Act requires public bodies in Ohio to take official action and conduct all deliberations </w:t>
      </w:r>
      <w:r w:rsidR="0097783D">
        <w:rPr>
          <w:szCs w:val="26"/>
        </w:rPr>
        <w:t>of</w:t>
      </w:r>
      <w:r>
        <w:rPr>
          <w:szCs w:val="26"/>
        </w:rPr>
        <w:t xml:space="preserve"> official business only in open meetings where the public may attend and observe.  Public bodies must provide advance notice to the public indicating when and where each meeting will take place and, in the case of special meetings, the specific topics that the public body will discuss.  The public body must take full and accurate minutes of all meetings and make these minutes available to the public, except in the case of permissible executive sessions.</w:t>
      </w:r>
    </w:p>
    <w:p w14:paraId="613917E1" w14:textId="77777777" w:rsidR="00681BA7" w:rsidRDefault="00681BA7">
      <w:pPr>
        <w:spacing w:line="220" w:lineRule="exact"/>
        <w:jc w:val="both"/>
        <w:rPr>
          <w:szCs w:val="26"/>
        </w:rPr>
      </w:pPr>
    </w:p>
    <w:p w14:paraId="66560B4C" w14:textId="77777777" w:rsidR="00681BA7" w:rsidRDefault="00681BA7">
      <w:pPr>
        <w:spacing w:line="220" w:lineRule="exact"/>
        <w:jc w:val="both"/>
        <w:rPr>
          <w:szCs w:val="26"/>
        </w:rPr>
      </w:pPr>
      <w:r>
        <w:rPr>
          <w:szCs w:val="26"/>
        </w:rPr>
        <w:t>Executive sessions are closed-door sessions convened by a public body, after a roll call vote, and attended by only the members of the public body and persons they invite.  A public body may hold an executive session only for a few specific purposes, which are listed in the law.  Further, no vote or other decision-making on the matter(s) discussed may take place during the executive session.</w:t>
      </w:r>
    </w:p>
    <w:p w14:paraId="0DFC466B" w14:textId="77777777" w:rsidR="00681BA7" w:rsidRDefault="00681BA7">
      <w:pPr>
        <w:spacing w:line="220" w:lineRule="exact"/>
        <w:jc w:val="both"/>
        <w:rPr>
          <w:szCs w:val="26"/>
        </w:rPr>
      </w:pPr>
    </w:p>
    <w:p w14:paraId="22262840" w14:textId="65395D59" w:rsidR="00681BA7" w:rsidRDefault="00A04649">
      <w:pPr>
        <w:spacing w:line="220" w:lineRule="exact"/>
        <w:jc w:val="both"/>
        <w:rPr>
          <w:szCs w:val="26"/>
        </w:rPr>
      </w:pPr>
      <w:r>
        <w:rPr>
          <w:szCs w:val="26"/>
        </w:rPr>
        <w:t>The Open Meetings Act is a “self-help” statute.</w:t>
      </w:r>
      <w:r w:rsidR="00D6128B">
        <w:rPr>
          <w:szCs w:val="26"/>
        </w:rPr>
        <w:t xml:space="preserve"> </w:t>
      </w:r>
      <w:r w:rsidR="00CC4436">
        <w:rPr>
          <w:szCs w:val="26"/>
        </w:rPr>
        <w:t xml:space="preserve"> </w:t>
      </w:r>
      <w:r>
        <w:rPr>
          <w:szCs w:val="26"/>
        </w:rPr>
        <w:t>This means that a person who believes that the Act has been violated must independently pursue a remedy, rather than asking a public official (such as the Ohio Attorney General) to initiate action on his or her behalf.</w:t>
      </w:r>
      <w:r w:rsidR="007E386C">
        <w:rPr>
          <w:szCs w:val="26"/>
        </w:rPr>
        <w:t xml:space="preserve"> </w:t>
      </w:r>
      <w:r w:rsidR="000C4251">
        <w:rPr>
          <w:szCs w:val="26"/>
        </w:rPr>
        <w:t xml:space="preserve"> </w:t>
      </w:r>
      <w:r w:rsidR="00681BA7">
        <w:rPr>
          <w:szCs w:val="26"/>
        </w:rPr>
        <w:t xml:space="preserve">If any person believes that a public body has violated the Open Meetings Act, that person may file an action in a common pleas court to compel the public body to obey the Act.  If </w:t>
      </w:r>
      <w:r w:rsidR="0097783D">
        <w:rPr>
          <w:szCs w:val="26"/>
        </w:rPr>
        <w:t xml:space="preserve">the court issues </w:t>
      </w:r>
      <w:r w:rsidR="00681BA7">
        <w:rPr>
          <w:szCs w:val="26"/>
        </w:rPr>
        <w:t>an injunction, the public body must correct its actions and pay court costs, a fine of $500, and reasonable attorney fees subject to possible reduction by the court.  If the court does not issue an injunction, and the court finds the lawsuit was frivolous, it may order the person who filed the suit to pay the public body’s court costs and reasonable attorney fees.  Any formal action of a public body that did not take place in an open meeting, that resulted from deliberations in a meeting improperly closed to the public, or that was adopted at a meeting not properly noticed to the public</w:t>
      </w:r>
      <w:r w:rsidR="0097783D">
        <w:rPr>
          <w:szCs w:val="26"/>
        </w:rPr>
        <w:t xml:space="preserve"> </w:t>
      </w:r>
      <w:r w:rsidR="00681BA7">
        <w:rPr>
          <w:szCs w:val="26"/>
        </w:rPr>
        <w:t>is invalid.  A member of a public body who violates an injunction imposed for a violation of the Open Meetings Act may be subject to removal from office.</w:t>
      </w:r>
    </w:p>
    <w:p w14:paraId="2CE2EDA0" w14:textId="77777777" w:rsidR="00681BA7" w:rsidRDefault="00681BA7">
      <w:pPr>
        <w:spacing w:line="220" w:lineRule="exact"/>
        <w:jc w:val="both"/>
        <w:rPr>
          <w:szCs w:val="26"/>
        </w:rPr>
      </w:pPr>
    </w:p>
    <w:p w14:paraId="18C2ECD1" w14:textId="011D40A7" w:rsidR="00681BA7" w:rsidRDefault="00681BA7">
      <w:pPr>
        <w:spacing w:line="220" w:lineRule="exact"/>
        <w:jc w:val="both"/>
        <w:rPr>
          <w:szCs w:val="26"/>
        </w:rPr>
      </w:pPr>
      <w:r>
        <w:rPr>
          <w:szCs w:val="26"/>
        </w:rPr>
        <w:t xml:space="preserve">Like the Public Records Act, the Open Meetings Act is intended to be read broadly in favor of openness.  However, while they share an underlying intent, the terms and definitions in the two laws are not interchangeable:  </w:t>
      </w:r>
      <w:r w:rsidR="00543015">
        <w:rPr>
          <w:szCs w:val="26"/>
        </w:rPr>
        <w:t>t</w:t>
      </w:r>
      <w:r w:rsidR="00D6128B">
        <w:rPr>
          <w:szCs w:val="26"/>
        </w:rPr>
        <w:t>he</w:t>
      </w:r>
      <w:r>
        <w:rPr>
          <w:szCs w:val="26"/>
        </w:rPr>
        <w:t xml:space="preserve"> Public Records Act applies to the </w:t>
      </w:r>
      <w:r>
        <w:rPr>
          <w:i/>
          <w:szCs w:val="26"/>
        </w:rPr>
        <w:t>records of public offices</w:t>
      </w:r>
      <w:r>
        <w:rPr>
          <w:szCs w:val="26"/>
        </w:rPr>
        <w:t xml:space="preserve">; the Open Meetings Act addresses </w:t>
      </w:r>
      <w:r>
        <w:rPr>
          <w:i/>
          <w:szCs w:val="26"/>
        </w:rPr>
        <w:t>meetings of public bodies</w:t>
      </w:r>
      <w:r>
        <w:rPr>
          <w:szCs w:val="26"/>
        </w:rPr>
        <w:t>.</w:t>
      </w:r>
    </w:p>
    <w:p w14:paraId="0903D1AA" w14:textId="77777777" w:rsidR="00681BA7" w:rsidRDefault="00681BA7" w:rsidP="009E5B96">
      <w:pPr>
        <w:spacing w:before="120" w:after="120" w:line="220" w:lineRule="exact"/>
        <w:jc w:val="both"/>
        <w:rPr>
          <w:b/>
          <w:szCs w:val="26"/>
        </w:rPr>
      </w:pPr>
      <w:r>
        <w:rPr>
          <w:b/>
          <w:szCs w:val="26"/>
        </w:rPr>
        <w:t>A Note about Case Law</w:t>
      </w:r>
    </w:p>
    <w:p w14:paraId="2E6093E3" w14:textId="2B870CEF" w:rsidR="00E64830" w:rsidRDefault="00681BA7">
      <w:pPr>
        <w:spacing w:line="220" w:lineRule="exact"/>
        <w:jc w:val="both"/>
        <w:rPr>
          <w:szCs w:val="26"/>
        </w:rPr>
      </w:pPr>
      <w:r>
        <w:rPr>
          <w:szCs w:val="26"/>
        </w:rPr>
        <w:t xml:space="preserve">When the Supreme Court </w:t>
      </w:r>
      <w:r w:rsidR="0040318D">
        <w:rPr>
          <w:szCs w:val="26"/>
        </w:rPr>
        <w:t xml:space="preserve">of Ohio </w:t>
      </w:r>
      <w:r>
        <w:rPr>
          <w:szCs w:val="26"/>
        </w:rPr>
        <w:t>issues a decision interpreting a statute, that decision must be followed by all lower Ohio courts.  Supreme Court decisions involving the Public Records Act are plentiful because a person may file a public records lawsuit at any level of the judicial system and often will choose to file in the court of appeals, or directly with the Supreme Court.  By contrast, a lawsuit to enforce the Open Meetings Act must be filed in a county court of common pleas.  While the losing party often appeals a court’s decision, common pleas appeals are not guaranteed to reach the Supreme Court, and rarely do.  Consequently, the bulk of case law on the Open Meetings Act comes from courts of appeals, whose opinions are binding only on lower courts within their district, but they may be cited for the persuasive value of their reasoning in cases filed in other districts.</w:t>
      </w:r>
    </w:p>
    <w:p w14:paraId="3249D307" w14:textId="4C437D95" w:rsidR="00D6128B" w:rsidRPr="00B4191E" w:rsidRDefault="00E64830" w:rsidP="00B4191E">
      <w:pPr>
        <w:spacing w:line="220" w:lineRule="exact"/>
        <w:jc w:val="both"/>
        <w:rPr>
          <w:szCs w:val="26"/>
        </w:rPr>
        <w:sectPr w:rsidR="00D6128B" w:rsidRPr="00B4191E" w:rsidSect="00AF6868">
          <w:headerReference w:type="default" r:id="rId64"/>
          <w:footerReference w:type="default" r:id="rId65"/>
          <w:endnotePr>
            <w:numFmt w:val="decimal"/>
          </w:endnotePr>
          <w:pgSz w:w="12240" w:h="15840"/>
          <w:pgMar w:top="1440" w:right="1440" w:bottom="1440" w:left="1440" w:header="720" w:footer="210" w:gutter="0"/>
          <w:cols w:space="720"/>
          <w:docGrid w:linePitch="360"/>
        </w:sectPr>
      </w:pPr>
      <w:r>
        <w:rPr>
          <w:b/>
        </w:rPr>
        <w:br w:type="page"/>
      </w:r>
    </w:p>
    <w:p w14:paraId="25F1F3AE" w14:textId="5861247A" w:rsidR="00681BA7" w:rsidRDefault="00681BA7" w:rsidP="00EF115F">
      <w:pPr>
        <w:pStyle w:val="Heading1"/>
        <w:spacing w:after="0"/>
      </w:pPr>
      <w:bookmarkStart w:id="584" w:name="_Toc159851644"/>
      <w:r w:rsidRPr="00AB2338">
        <w:lastRenderedPageBreak/>
        <w:t>VII</w:t>
      </w:r>
      <w:r w:rsidR="004B7E2A">
        <w:t>I</w:t>
      </w:r>
      <w:r w:rsidRPr="00AB2338">
        <w:t>.</w:t>
      </w:r>
      <w:r w:rsidRPr="00AB2338">
        <w:tab/>
        <w:t xml:space="preserve">Chapter </w:t>
      </w:r>
      <w:r w:rsidR="004B7E2A">
        <w:t>Eight</w:t>
      </w:r>
      <w:r w:rsidRPr="00AB2338">
        <w:t>: “Public Body” and “Meeting” Defined</w:t>
      </w:r>
      <w:bookmarkEnd w:id="584"/>
    </w:p>
    <w:p w14:paraId="15A4DC0E" w14:textId="77777777" w:rsidR="00EF115F" w:rsidRPr="00EF115F" w:rsidRDefault="00EF115F" w:rsidP="00EF115F"/>
    <w:p w14:paraId="4E1E0FC9" w14:textId="77777777" w:rsidR="00681BA7" w:rsidRDefault="00681BA7">
      <w:pPr>
        <w:spacing w:line="220" w:lineRule="exact"/>
        <w:jc w:val="both"/>
        <w:rPr>
          <w:szCs w:val="26"/>
        </w:rPr>
      </w:pPr>
      <w:r>
        <w:rPr>
          <w:szCs w:val="26"/>
        </w:rPr>
        <w:t>Only entities that meet the definition of “public body” are subject to the Open Meetings Act.  The Open Meetings Act requires “public bodies” to conduct their business in “meetings” that are open to the public.  A “meeting” is any prearranged gathering of a public body by a majority of its members to discuss public business.</w:t>
      </w:r>
      <w:r>
        <w:rPr>
          <w:rStyle w:val="EndnoteReference"/>
        </w:rPr>
        <w:endnoteReference w:id="963"/>
      </w:r>
    </w:p>
    <w:p w14:paraId="725066FC" w14:textId="565F1479" w:rsidR="00681BA7" w:rsidRPr="00345637" w:rsidRDefault="00681BA7" w:rsidP="00322085">
      <w:pPr>
        <w:pStyle w:val="Heading2"/>
      </w:pPr>
      <w:bookmarkStart w:id="585" w:name="_Toc159851645"/>
      <w:r w:rsidRPr="00345637">
        <w:t>A.</w:t>
      </w:r>
      <w:r w:rsidRPr="00345637">
        <w:tab/>
        <w:t xml:space="preserve">“Public </w:t>
      </w:r>
      <w:r w:rsidR="00882395">
        <w:t>B</w:t>
      </w:r>
      <w:r w:rsidRPr="00345637">
        <w:t>ody”</w:t>
      </w:r>
      <w:bookmarkEnd w:id="585"/>
    </w:p>
    <w:p w14:paraId="118BD101" w14:textId="67FCB717" w:rsidR="00681BA7" w:rsidRDefault="00681BA7" w:rsidP="00322085">
      <w:pPr>
        <w:pStyle w:val="Heading3"/>
      </w:pPr>
      <w:bookmarkStart w:id="586" w:name="_Toc159851646"/>
      <w:r>
        <w:t>1.</w:t>
      </w:r>
      <w:r>
        <w:tab/>
        <w:t>Statutory definition – R.C. 121.22(B)(1)</w:t>
      </w:r>
      <w:bookmarkEnd w:id="586"/>
    </w:p>
    <w:p w14:paraId="3BDDC5CA" w14:textId="77777777" w:rsidR="00681BA7" w:rsidRDefault="00681BA7">
      <w:pPr>
        <w:spacing w:line="220" w:lineRule="exact"/>
        <w:ind w:left="360"/>
        <w:jc w:val="both"/>
        <w:rPr>
          <w:szCs w:val="26"/>
        </w:rPr>
      </w:pPr>
      <w:r>
        <w:rPr>
          <w:szCs w:val="26"/>
        </w:rPr>
        <w:t>The Open Meetings Act defines a “public body” as any of the following:</w:t>
      </w:r>
    </w:p>
    <w:p w14:paraId="45F9B996" w14:textId="77777777" w:rsidR="00681BA7" w:rsidRDefault="00681BA7">
      <w:pPr>
        <w:spacing w:line="220" w:lineRule="exact"/>
        <w:ind w:left="360"/>
        <w:jc w:val="both"/>
        <w:rPr>
          <w:szCs w:val="26"/>
        </w:rPr>
      </w:pPr>
    </w:p>
    <w:p w14:paraId="18519C37" w14:textId="77777777" w:rsidR="00681BA7" w:rsidRDefault="00681BA7" w:rsidP="0085041E">
      <w:pPr>
        <w:spacing w:line="220" w:lineRule="exact"/>
        <w:ind w:left="1440" w:hanging="360"/>
        <w:jc w:val="both"/>
        <w:rPr>
          <w:szCs w:val="26"/>
        </w:rPr>
      </w:pPr>
      <w:r>
        <w:rPr>
          <w:szCs w:val="26"/>
        </w:rPr>
        <w:t>a.</w:t>
      </w:r>
      <w:r>
        <w:rPr>
          <w:szCs w:val="26"/>
        </w:rPr>
        <w:tab/>
        <w:t>Any board, commission, committee, council, or similar decision-making body of a state agency, institution, or authority, and any legislative authority or board, commission, committee, council, agency, authority, or similar decision-making body of any county, township, municipal corporation, school district, or other political subdivision or local public institution;</w:t>
      </w:r>
      <w:r>
        <w:rPr>
          <w:rStyle w:val="EndnoteReference"/>
        </w:rPr>
        <w:endnoteReference w:id="964"/>
      </w:r>
    </w:p>
    <w:p w14:paraId="0DE2B2F7" w14:textId="77777777" w:rsidR="00681BA7" w:rsidRDefault="00681BA7" w:rsidP="0085041E">
      <w:pPr>
        <w:spacing w:line="220" w:lineRule="exact"/>
        <w:ind w:left="1440" w:hanging="360"/>
        <w:jc w:val="both"/>
        <w:rPr>
          <w:szCs w:val="26"/>
        </w:rPr>
      </w:pPr>
    </w:p>
    <w:p w14:paraId="4CF85E0F" w14:textId="77777777" w:rsidR="00681BA7" w:rsidRDefault="00681BA7" w:rsidP="0085041E">
      <w:pPr>
        <w:spacing w:line="220" w:lineRule="exact"/>
        <w:ind w:left="1440" w:hanging="360"/>
        <w:jc w:val="both"/>
        <w:rPr>
          <w:szCs w:val="26"/>
        </w:rPr>
      </w:pPr>
      <w:r>
        <w:rPr>
          <w:szCs w:val="26"/>
        </w:rPr>
        <w:t>b.</w:t>
      </w:r>
      <w:r>
        <w:rPr>
          <w:szCs w:val="26"/>
        </w:rPr>
        <w:tab/>
        <w:t>Any committee or subcommittee thereof;</w:t>
      </w:r>
      <w:r>
        <w:rPr>
          <w:rStyle w:val="EndnoteReference"/>
        </w:rPr>
        <w:endnoteReference w:id="965"/>
      </w:r>
      <w:r>
        <w:rPr>
          <w:szCs w:val="26"/>
        </w:rPr>
        <w:t xml:space="preserve"> or</w:t>
      </w:r>
    </w:p>
    <w:p w14:paraId="6F3D455B" w14:textId="77777777" w:rsidR="00681BA7" w:rsidRDefault="00681BA7" w:rsidP="0085041E">
      <w:pPr>
        <w:spacing w:line="220" w:lineRule="exact"/>
        <w:ind w:left="1440" w:hanging="360"/>
        <w:jc w:val="both"/>
        <w:rPr>
          <w:szCs w:val="26"/>
        </w:rPr>
      </w:pPr>
    </w:p>
    <w:p w14:paraId="1C9AA115" w14:textId="77777777" w:rsidR="00681BA7" w:rsidRDefault="00681BA7" w:rsidP="0085041E">
      <w:pPr>
        <w:spacing w:line="220" w:lineRule="exact"/>
        <w:ind w:left="1440" w:hanging="360"/>
        <w:jc w:val="both"/>
        <w:rPr>
          <w:szCs w:val="26"/>
        </w:rPr>
      </w:pPr>
      <w:r>
        <w:rPr>
          <w:szCs w:val="26"/>
        </w:rPr>
        <w:t>c.</w:t>
      </w:r>
      <w:r>
        <w:rPr>
          <w:szCs w:val="26"/>
        </w:rPr>
        <w:tab/>
        <w:t>A court</w:t>
      </w:r>
      <w:r>
        <w:rPr>
          <w:rStyle w:val="EndnoteReference"/>
        </w:rPr>
        <w:endnoteReference w:id="966"/>
      </w:r>
      <w:r>
        <w:rPr>
          <w:szCs w:val="26"/>
        </w:rPr>
        <w:t xml:space="preserve"> of jurisdiction of a sanitary district organized wholly for the purpose of providing a water supply for domestic, municipal, and public use when meeting for the purpose of the appointment, removal, or reappointment of a member of the board of directors of such a district or for any other matter related to such a district other than litigation involving the district.</w:t>
      </w:r>
      <w:r>
        <w:rPr>
          <w:rStyle w:val="EndnoteReference"/>
        </w:rPr>
        <w:endnoteReference w:id="967"/>
      </w:r>
    </w:p>
    <w:p w14:paraId="577CEB8D" w14:textId="77777777" w:rsidR="00D90E76" w:rsidRDefault="00D90E76" w:rsidP="00D90E76">
      <w:pPr>
        <w:spacing w:line="220" w:lineRule="exact"/>
        <w:ind w:left="360"/>
        <w:jc w:val="both"/>
        <w:rPr>
          <w:szCs w:val="26"/>
        </w:rPr>
      </w:pPr>
    </w:p>
    <w:p w14:paraId="0CA184C0" w14:textId="5F4EAAA4" w:rsidR="00543015" w:rsidRDefault="00BB1631" w:rsidP="00D90E76">
      <w:pPr>
        <w:spacing w:line="220" w:lineRule="exact"/>
        <w:ind w:left="360"/>
        <w:jc w:val="both"/>
        <w:rPr>
          <w:szCs w:val="26"/>
        </w:rPr>
      </w:pPr>
      <w:r>
        <w:rPr>
          <w:szCs w:val="26"/>
        </w:rPr>
        <w:t>“Public body” under the Open Meetings Act has a different meaning and application than “public office” under t</w:t>
      </w:r>
      <w:r w:rsidR="00543015" w:rsidRPr="00543015">
        <w:rPr>
          <w:szCs w:val="26"/>
        </w:rPr>
        <w:t>he Public Records Act</w:t>
      </w:r>
      <w:r>
        <w:rPr>
          <w:szCs w:val="26"/>
        </w:rPr>
        <w:t>.</w:t>
      </w:r>
      <w:r w:rsidR="00543015" w:rsidRPr="00543015">
        <w:rPr>
          <w:szCs w:val="26"/>
        </w:rPr>
        <w:t xml:space="preserve"> </w:t>
      </w:r>
      <w:r w:rsidR="00AC42B2">
        <w:rPr>
          <w:szCs w:val="26"/>
        </w:rPr>
        <w:t xml:space="preserve"> </w:t>
      </w:r>
      <w:r w:rsidR="00F46F3E">
        <w:rPr>
          <w:szCs w:val="26"/>
        </w:rPr>
        <w:t>A</w:t>
      </w:r>
      <w:r w:rsidR="00AC42B2">
        <w:rPr>
          <w:szCs w:val="26"/>
        </w:rPr>
        <w:t xml:space="preserve">n entity that is a “public body” that must comply with the Open Meetings Act </w:t>
      </w:r>
      <w:r w:rsidR="00F46F3E">
        <w:rPr>
          <w:szCs w:val="26"/>
        </w:rPr>
        <w:t>may not also be a “public office” that must comply with the Public Records Act</w:t>
      </w:r>
      <w:r w:rsidR="00543015" w:rsidRPr="00543015">
        <w:rPr>
          <w:szCs w:val="26"/>
        </w:rPr>
        <w:t>.</w:t>
      </w:r>
      <w:r w:rsidR="00543015">
        <w:rPr>
          <w:rStyle w:val="EndnoteReference"/>
          <w:szCs w:val="26"/>
        </w:rPr>
        <w:endnoteReference w:id="968"/>
      </w:r>
    </w:p>
    <w:p w14:paraId="46FCD4A5" w14:textId="77777777" w:rsidR="00E52CBE" w:rsidRDefault="00E52CBE" w:rsidP="00D90E76">
      <w:pPr>
        <w:spacing w:line="220" w:lineRule="exact"/>
        <w:ind w:left="360"/>
        <w:jc w:val="both"/>
        <w:rPr>
          <w:szCs w:val="26"/>
        </w:rPr>
      </w:pPr>
    </w:p>
    <w:p w14:paraId="73226131" w14:textId="060A0B25" w:rsidR="00681BA7" w:rsidRDefault="00681BA7" w:rsidP="00322085">
      <w:pPr>
        <w:pStyle w:val="Heading3"/>
      </w:pPr>
      <w:bookmarkStart w:id="587" w:name="_Toc159851647"/>
      <w:r>
        <w:t>2.</w:t>
      </w:r>
      <w:r>
        <w:tab/>
        <w:t>Identifying public bodies</w:t>
      </w:r>
      <w:bookmarkEnd w:id="587"/>
    </w:p>
    <w:p w14:paraId="08F78858" w14:textId="593445C1" w:rsidR="00681BA7" w:rsidRDefault="00681BA7">
      <w:pPr>
        <w:spacing w:line="220" w:lineRule="exact"/>
        <w:ind w:left="360"/>
        <w:jc w:val="both"/>
        <w:rPr>
          <w:szCs w:val="26"/>
        </w:rPr>
      </w:pPr>
      <w:r>
        <w:rPr>
          <w:szCs w:val="26"/>
        </w:rPr>
        <w:t xml:space="preserve">The term “public body” applies to many different decision-making bodies at the state and local level.  </w:t>
      </w:r>
      <w:r w:rsidR="004F2C69">
        <w:rPr>
          <w:szCs w:val="26"/>
        </w:rPr>
        <w:t xml:space="preserve">A </w:t>
      </w:r>
      <w:r>
        <w:rPr>
          <w:szCs w:val="26"/>
        </w:rPr>
        <w:t xml:space="preserve">statute </w:t>
      </w:r>
      <w:r w:rsidR="004F2C69">
        <w:rPr>
          <w:szCs w:val="26"/>
        </w:rPr>
        <w:t xml:space="preserve">may </w:t>
      </w:r>
      <w:r>
        <w:rPr>
          <w:szCs w:val="26"/>
        </w:rPr>
        <w:t>specifically identify an entity as a “public body”</w:t>
      </w:r>
      <w:r w:rsidR="004F2C69">
        <w:rPr>
          <w:szCs w:val="26"/>
        </w:rPr>
        <w:t xml:space="preserve"> or it may state that an entity is not subject to the Open Meetings Act.</w:t>
      </w:r>
      <w:r>
        <w:rPr>
          <w:szCs w:val="26"/>
        </w:rPr>
        <w:t xml:space="preserve"> O</w:t>
      </w:r>
      <w:r w:rsidR="004F2C69">
        <w:rPr>
          <w:szCs w:val="26"/>
        </w:rPr>
        <w:t>therwise,</w:t>
      </w:r>
      <w:r>
        <w:rPr>
          <w:szCs w:val="26"/>
        </w:rPr>
        <w:t xml:space="preserve"> courts </w:t>
      </w:r>
      <w:r w:rsidR="004F2C69">
        <w:rPr>
          <w:szCs w:val="26"/>
        </w:rPr>
        <w:t>will apply</w:t>
      </w:r>
      <w:r>
        <w:rPr>
          <w:szCs w:val="26"/>
        </w:rPr>
        <w:t xml:space="preserve"> several factors </w:t>
      </w:r>
      <w:r w:rsidR="004F2C69">
        <w:rPr>
          <w:szCs w:val="26"/>
        </w:rPr>
        <w:t>to</w:t>
      </w:r>
      <w:r>
        <w:rPr>
          <w:szCs w:val="26"/>
        </w:rPr>
        <w:t xml:space="preserve"> determin</w:t>
      </w:r>
      <w:r w:rsidR="004F2C69">
        <w:rPr>
          <w:szCs w:val="26"/>
        </w:rPr>
        <w:t>e</w:t>
      </w:r>
      <w:r>
        <w:rPr>
          <w:szCs w:val="26"/>
        </w:rPr>
        <w:t xml:space="preserve"> what constitutes a “public body,” including:</w:t>
      </w:r>
    </w:p>
    <w:p w14:paraId="1B364F0B" w14:textId="77777777" w:rsidR="00681BA7" w:rsidRDefault="00681BA7">
      <w:pPr>
        <w:spacing w:line="220" w:lineRule="exact"/>
        <w:ind w:left="360"/>
        <w:jc w:val="both"/>
        <w:rPr>
          <w:szCs w:val="26"/>
        </w:rPr>
      </w:pPr>
    </w:p>
    <w:p w14:paraId="4DB09667" w14:textId="3210C1EB"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 xml:space="preserve">The </w:t>
      </w:r>
      <w:r w:rsidR="004F2C69">
        <w:rPr>
          <w:szCs w:val="26"/>
        </w:rPr>
        <w:t>way</w:t>
      </w:r>
      <w:r w:rsidRPr="000C4251">
        <w:rPr>
          <w:szCs w:val="26"/>
        </w:rPr>
        <w:t xml:space="preserve"> the entity was created;</w:t>
      </w:r>
      <w:r>
        <w:rPr>
          <w:rStyle w:val="EndnoteReference"/>
        </w:rPr>
        <w:endnoteReference w:id="969"/>
      </w:r>
    </w:p>
    <w:p w14:paraId="6F12C698" w14:textId="5B8E47DC"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The name or official title of the entity;</w:t>
      </w:r>
      <w:r>
        <w:rPr>
          <w:rStyle w:val="EndnoteReference"/>
        </w:rPr>
        <w:endnoteReference w:id="970"/>
      </w:r>
    </w:p>
    <w:p w14:paraId="122A46A4" w14:textId="11FC2B9A"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The membership composition of the entity;</w:t>
      </w:r>
      <w:r>
        <w:rPr>
          <w:rStyle w:val="EndnoteReference"/>
        </w:rPr>
        <w:endnoteReference w:id="971"/>
      </w:r>
    </w:p>
    <w:p w14:paraId="3339494D" w14:textId="195D9C54" w:rsidR="000C4251" w:rsidRPr="000C4251" w:rsidRDefault="00681BA7" w:rsidP="000C4251">
      <w:pPr>
        <w:pStyle w:val="ListParagraph"/>
        <w:numPr>
          <w:ilvl w:val="0"/>
          <w:numId w:val="59"/>
        </w:numPr>
        <w:spacing w:after="120" w:line="220" w:lineRule="exact"/>
        <w:ind w:left="1440"/>
        <w:jc w:val="both"/>
        <w:rPr>
          <w:szCs w:val="26"/>
        </w:rPr>
      </w:pPr>
      <w:r w:rsidRPr="000C4251">
        <w:rPr>
          <w:szCs w:val="26"/>
        </w:rPr>
        <w:t>Whether the entity engages in decision-making;</w:t>
      </w:r>
      <w:r>
        <w:rPr>
          <w:rStyle w:val="EndnoteReference"/>
        </w:rPr>
        <w:endnoteReference w:id="972"/>
      </w:r>
      <w:r w:rsidRPr="000C4251">
        <w:rPr>
          <w:szCs w:val="26"/>
        </w:rPr>
        <w:t xml:space="preserve"> and</w:t>
      </w:r>
    </w:p>
    <w:p w14:paraId="27FD8C04" w14:textId="6074FB7F" w:rsidR="00602B77" w:rsidRPr="00602B77" w:rsidRDefault="00681BA7" w:rsidP="00602B77">
      <w:pPr>
        <w:pStyle w:val="ListParagraph"/>
        <w:numPr>
          <w:ilvl w:val="0"/>
          <w:numId w:val="59"/>
        </w:numPr>
        <w:spacing w:after="120" w:line="220" w:lineRule="exact"/>
        <w:ind w:left="1440"/>
        <w:jc w:val="both"/>
        <w:rPr>
          <w:szCs w:val="26"/>
        </w:rPr>
      </w:pPr>
      <w:r w:rsidRPr="000C4251">
        <w:rPr>
          <w:szCs w:val="26"/>
        </w:rPr>
        <w:t>Who the entity advises or to whom it reports.</w:t>
      </w:r>
      <w:r>
        <w:rPr>
          <w:rStyle w:val="EndnoteReference"/>
        </w:rPr>
        <w:endnoteReference w:id="973"/>
      </w:r>
    </w:p>
    <w:p w14:paraId="7B3C65DE" w14:textId="3D95E904" w:rsidR="00681BA7" w:rsidRDefault="00681BA7" w:rsidP="00322085">
      <w:pPr>
        <w:pStyle w:val="Heading3"/>
      </w:pPr>
      <w:bookmarkStart w:id="588" w:name="_Toc159851648"/>
      <w:r>
        <w:t>3.</w:t>
      </w:r>
      <w:r>
        <w:tab/>
      </w:r>
      <w:r w:rsidR="004F2C69">
        <w:t>A</w:t>
      </w:r>
      <w:r>
        <w:t>pplying the definition of “public body”</w:t>
      </w:r>
      <w:bookmarkEnd w:id="588"/>
    </w:p>
    <w:p w14:paraId="571CF015" w14:textId="1683D598" w:rsidR="00681BA7" w:rsidRDefault="00681BA7">
      <w:pPr>
        <w:spacing w:line="220" w:lineRule="exact"/>
        <w:ind w:left="360"/>
        <w:jc w:val="both"/>
        <w:rPr>
          <w:szCs w:val="26"/>
        </w:rPr>
      </w:pPr>
      <w:r>
        <w:rPr>
          <w:szCs w:val="26"/>
        </w:rPr>
        <w:t xml:space="preserve">Using the above factors, </w:t>
      </w:r>
      <w:r w:rsidR="00895DF5">
        <w:rPr>
          <w:szCs w:val="26"/>
        </w:rPr>
        <w:t xml:space="preserve">some courts of appeals have held that </w:t>
      </w:r>
      <w:r>
        <w:rPr>
          <w:szCs w:val="26"/>
        </w:rPr>
        <w:t xml:space="preserve">the following entities </w:t>
      </w:r>
      <w:r w:rsidR="00895DF5">
        <w:rPr>
          <w:szCs w:val="26"/>
        </w:rPr>
        <w:t>are</w:t>
      </w:r>
      <w:r>
        <w:rPr>
          <w:szCs w:val="26"/>
        </w:rPr>
        <w:t xml:space="preserve"> public bodies:</w:t>
      </w:r>
    </w:p>
    <w:p w14:paraId="0C3327FB" w14:textId="77777777" w:rsidR="00681BA7" w:rsidRDefault="00681BA7">
      <w:pPr>
        <w:spacing w:line="220" w:lineRule="exact"/>
        <w:ind w:left="360"/>
        <w:jc w:val="both"/>
        <w:rPr>
          <w:szCs w:val="26"/>
        </w:rPr>
      </w:pPr>
    </w:p>
    <w:p w14:paraId="53A2D252" w14:textId="64D1C6D7"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t>A selection committee established on a temporary basis by a state agency for the purpose of evaluating responses to a request for proposals and making a recommendation to a commission.</w:t>
      </w:r>
      <w:r>
        <w:rPr>
          <w:rStyle w:val="EndnoteReference"/>
        </w:rPr>
        <w:endnoteReference w:id="974"/>
      </w:r>
    </w:p>
    <w:p w14:paraId="3D1D025E" w14:textId="01C531DE"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lastRenderedPageBreak/>
        <w:t>An urban design review board that provided advice and recommendations to a city manager and city council about land development.</w:t>
      </w:r>
      <w:r>
        <w:rPr>
          <w:rStyle w:val="EndnoteReference"/>
        </w:rPr>
        <w:endnoteReference w:id="975"/>
      </w:r>
    </w:p>
    <w:p w14:paraId="55E47588" w14:textId="3A665F3A"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t>A board of hospital governors of a joint township district hospital.</w:t>
      </w:r>
      <w:r>
        <w:rPr>
          <w:rStyle w:val="EndnoteReference"/>
        </w:rPr>
        <w:endnoteReference w:id="976"/>
      </w:r>
    </w:p>
    <w:p w14:paraId="4CEA74B1" w14:textId="70CA7B19" w:rsidR="000C4251" w:rsidRPr="000C4251" w:rsidRDefault="00681BA7" w:rsidP="000C4251">
      <w:pPr>
        <w:pStyle w:val="ListParagraph"/>
        <w:numPr>
          <w:ilvl w:val="0"/>
          <w:numId w:val="61"/>
        </w:numPr>
        <w:spacing w:after="120" w:line="220" w:lineRule="exact"/>
        <w:ind w:left="1440"/>
        <w:jc w:val="both"/>
        <w:rPr>
          <w:szCs w:val="26"/>
        </w:rPr>
      </w:pPr>
      <w:r w:rsidRPr="000C4251">
        <w:rPr>
          <w:szCs w:val="26"/>
        </w:rPr>
        <w:t>A citizens’ advisory committee of a county children services board.</w:t>
      </w:r>
      <w:r>
        <w:rPr>
          <w:rStyle w:val="EndnoteReference"/>
        </w:rPr>
        <w:endnoteReference w:id="977"/>
      </w:r>
    </w:p>
    <w:p w14:paraId="0F6614B2" w14:textId="25B24ABC" w:rsidR="00681BA7" w:rsidRPr="000C4251" w:rsidRDefault="00681BA7" w:rsidP="000C4251">
      <w:pPr>
        <w:pStyle w:val="ListParagraph"/>
        <w:numPr>
          <w:ilvl w:val="0"/>
          <w:numId w:val="61"/>
        </w:numPr>
        <w:spacing w:after="120" w:line="220" w:lineRule="exact"/>
        <w:ind w:left="1440"/>
        <w:jc w:val="both"/>
        <w:rPr>
          <w:szCs w:val="26"/>
        </w:rPr>
      </w:pPr>
      <w:r w:rsidRPr="000C4251">
        <w:rPr>
          <w:szCs w:val="26"/>
        </w:rPr>
        <w:t>A board of directors of a county agricultural society.</w:t>
      </w:r>
      <w:r>
        <w:rPr>
          <w:rStyle w:val="EndnoteReference"/>
        </w:rPr>
        <w:endnoteReference w:id="978"/>
      </w:r>
    </w:p>
    <w:p w14:paraId="5A349A3F" w14:textId="77777777" w:rsidR="00681BA7" w:rsidRDefault="00681BA7">
      <w:pPr>
        <w:spacing w:line="220" w:lineRule="exact"/>
        <w:ind w:left="360"/>
        <w:jc w:val="both"/>
        <w:rPr>
          <w:szCs w:val="26"/>
        </w:rPr>
      </w:pPr>
      <w:r>
        <w:rPr>
          <w:szCs w:val="26"/>
        </w:rPr>
        <w:t xml:space="preserve">Courts have found that the Open Meetings Act does not apply to individual public </w:t>
      </w:r>
      <w:r>
        <w:rPr>
          <w:i/>
          <w:szCs w:val="26"/>
        </w:rPr>
        <w:t>officials</w:t>
      </w:r>
      <w:r>
        <w:rPr>
          <w:szCs w:val="26"/>
        </w:rPr>
        <w:t xml:space="preserve"> (as opposed to public </w:t>
      </w:r>
      <w:r>
        <w:rPr>
          <w:i/>
          <w:szCs w:val="26"/>
        </w:rPr>
        <w:t>bodies</w:t>
      </w:r>
      <w:r>
        <w:rPr>
          <w:szCs w:val="26"/>
        </w:rPr>
        <w:t>) or to meetings held by individual officials.</w:t>
      </w:r>
      <w:r>
        <w:rPr>
          <w:rStyle w:val="EndnoteReference"/>
        </w:rPr>
        <w:endnoteReference w:id="979"/>
      </w:r>
      <w:r>
        <w:rPr>
          <w:szCs w:val="26"/>
        </w:rPr>
        <w:t xml:space="preserve">  Moreover, if an individual public official creates a group solely pursuant to his or her executive authority or as a delegation of that authority, the Open Meetings Act probably does not apply to the group’s gatherings.</w:t>
      </w:r>
      <w:r>
        <w:rPr>
          <w:rStyle w:val="EndnoteReference"/>
        </w:rPr>
        <w:endnoteReference w:id="980"/>
      </w:r>
    </w:p>
    <w:p w14:paraId="2F0E5BD3" w14:textId="77777777" w:rsidR="00681BA7" w:rsidRDefault="00681BA7">
      <w:pPr>
        <w:spacing w:line="220" w:lineRule="exact"/>
        <w:ind w:left="360"/>
        <w:jc w:val="both"/>
        <w:rPr>
          <w:szCs w:val="26"/>
        </w:rPr>
      </w:pPr>
    </w:p>
    <w:p w14:paraId="54E56792" w14:textId="65D83999" w:rsidR="00681BA7" w:rsidRDefault="00681BA7">
      <w:pPr>
        <w:spacing w:line="220" w:lineRule="exact"/>
        <w:ind w:left="360"/>
        <w:jc w:val="both"/>
        <w:rPr>
          <w:szCs w:val="26"/>
        </w:rPr>
      </w:pPr>
      <w:r>
        <w:rPr>
          <w:szCs w:val="26"/>
        </w:rPr>
        <w:t>However, at least one court determined that a selection committee whose members were appointed by the chair of a public body, not by formal action of the body, is nevertheless a public body and subject to the Open Meetings Act.</w:t>
      </w:r>
      <w:r>
        <w:rPr>
          <w:rStyle w:val="EndnoteReference"/>
        </w:rPr>
        <w:endnoteReference w:id="981"/>
      </w:r>
    </w:p>
    <w:p w14:paraId="2EE0C57F" w14:textId="77777777" w:rsidR="00E52CBE" w:rsidRDefault="00E52CBE">
      <w:pPr>
        <w:spacing w:line="220" w:lineRule="exact"/>
        <w:ind w:left="360"/>
        <w:jc w:val="both"/>
        <w:rPr>
          <w:szCs w:val="26"/>
        </w:rPr>
      </w:pPr>
    </w:p>
    <w:p w14:paraId="7FC33589" w14:textId="7C376EDF" w:rsidR="00681BA7" w:rsidRDefault="00681BA7" w:rsidP="00322085">
      <w:pPr>
        <w:pStyle w:val="Heading3"/>
      </w:pPr>
      <w:bookmarkStart w:id="589" w:name="_Toc159851649"/>
      <w:r>
        <w:t>4.</w:t>
      </w:r>
      <w:r>
        <w:tab/>
        <w:t>When the Open Meetings Act applies to private bodies</w:t>
      </w:r>
      <w:bookmarkEnd w:id="589"/>
    </w:p>
    <w:p w14:paraId="7EE9BF61" w14:textId="6DB339E9" w:rsidR="00681BA7" w:rsidRDefault="00681BA7">
      <w:pPr>
        <w:spacing w:line="220" w:lineRule="exact"/>
        <w:ind w:left="360"/>
        <w:jc w:val="both"/>
        <w:rPr>
          <w:szCs w:val="26"/>
        </w:rPr>
      </w:pPr>
      <w:r>
        <w:rPr>
          <w:szCs w:val="26"/>
        </w:rPr>
        <w:t xml:space="preserve">Some private entities are considered “public bodies” for purposes of the Open Meetings Act when they are organized pursuant to state statute and are statutorily authorized to receive and expend government funds for a governmental purpose. For example, </w:t>
      </w:r>
      <w:r w:rsidR="00024240">
        <w:rPr>
          <w:szCs w:val="26"/>
        </w:rPr>
        <w:t xml:space="preserve">one court </w:t>
      </w:r>
      <w:r w:rsidR="00895DF5">
        <w:rPr>
          <w:szCs w:val="26"/>
        </w:rPr>
        <w:t xml:space="preserve">held that </w:t>
      </w:r>
      <w:r>
        <w:rPr>
          <w:szCs w:val="26"/>
        </w:rPr>
        <w:t xml:space="preserve">an economic opportunity planning association </w:t>
      </w:r>
      <w:r w:rsidR="00895DF5">
        <w:rPr>
          <w:szCs w:val="26"/>
        </w:rPr>
        <w:t>is</w:t>
      </w:r>
      <w:r>
        <w:rPr>
          <w:szCs w:val="26"/>
        </w:rPr>
        <w:t xml:space="preserve"> a public body within the meaning of the Act based on the following factors: (1) its designation by the Ohio Department of Development as a community action organization pursuant to statute;</w:t>
      </w:r>
      <w:r w:rsidR="004F2C69">
        <w:rPr>
          <w:szCs w:val="26"/>
        </w:rPr>
        <w:t xml:space="preserve"> </w:t>
      </w:r>
      <w:r>
        <w:rPr>
          <w:szCs w:val="26"/>
        </w:rPr>
        <w:t>(2) its responsibility for spending substantial sums of public funds in the operation of programs for the public welfare; and (3) its obligation to comply with state statutory provisions in order to keep its status as a community action organization.</w:t>
      </w:r>
      <w:r>
        <w:rPr>
          <w:rStyle w:val="EndnoteReference"/>
        </w:rPr>
        <w:endnoteReference w:id="982"/>
      </w:r>
    </w:p>
    <w:p w14:paraId="1ACB18B7" w14:textId="77777777" w:rsidR="00E52CBE" w:rsidRDefault="00E52CBE">
      <w:pPr>
        <w:spacing w:line="220" w:lineRule="exact"/>
        <w:ind w:left="360"/>
        <w:jc w:val="both"/>
        <w:rPr>
          <w:szCs w:val="26"/>
        </w:rPr>
      </w:pPr>
    </w:p>
    <w:p w14:paraId="685FDAC1" w14:textId="32F5A43A" w:rsidR="00681BA7" w:rsidRDefault="00681BA7" w:rsidP="00602B77">
      <w:pPr>
        <w:pStyle w:val="Heading3"/>
        <w:ind w:left="2160" w:hanging="720"/>
      </w:pPr>
      <w:bookmarkStart w:id="590" w:name="_Toc159851650"/>
      <w:r>
        <w:t>5.</w:t>
      </w:r>
      <w:r>
        <w:tab/>
        <w:t>Public bodies/officials that are NEVER subject to the Open Meetings Act:</w:t>
      </w:r>
      <w:bookmarkEnd w:id="590"/>
    </w:p>
    <w:p w14:paraId="40581B52" w14:textId="77777777" w:rsidR="00681BA7" w:rsidRDefault="00681BA7" w:rsidP="000C4251">
      <w:pPr>
        <w:numPr>
          <w:ilvl w:val="0"/>
          <w:numId w:val="13"/>
        </w:numPr>
        <w:spacing w:after="120" w:line="220" w:lineRule="exact"/>
        <w:ind w:left="1440"/>
        <w:jc w:val="both"/>
        <w:rPr>
          <w:szCs w:val="26"/>
        </w:rPr>
      </w:pPr>
      <w:r>
        <w:rPr>
          <w:szCs w:val="26"/>
        </w:rPr>
        <w:t>The Ohio General Assembly;</w:t>
      </w:r>
      <w:r>
        <w:rPr>
          <w:rStyle w:val="EndnoteReference"/>
        </w:rPr>
        <w:endnoteReference w:id="983"/>
      </w:r>
    </w:p>
    <w:p w14:paraId="0F1CE046" w14:textId="77777777" w:rsidR="00681BA7" w:rsidRDefault="00681BA7" w:rsidP="000C4251">
      <w:pPr>
        <w:numPr>
          <w:ilvl w:val="0"/>
          <w:numId w:val="13"/>
        </w:numPr>
        <w:spacing w:after="120" w:line="220" w:lineRule="exact"/>
        <w:ind w:left="1440"/>
        <w:jc w:val="both"/>
        <w:rPr>
          <w:szCs w:val="26"/>
        </w:rPr>
      </w:pPr>
      <w:r>
        <w:rPr>
          <w:szCs w:val="26"/>
        </w:rPr>
        <w:t>Grand juries;</w:t>
      </w:r>
      <w:r>
        <w:rPr>
          <w:rStyle w:val="EndnoteReference"/>
        </w:rPr>
        <w:endnoteReference w:id="984"/>
      </w:r>
    </w:p>
    <w:p w14:paraId="61D49BD8" w14:textId="77777777" w:rsidR="00681BA7" w:rsidRDefault="00681BA7" w:rsidP="000C4251">
      <w:pPr>
        <w:numPr>
          <w:ilvl w:val="0"/>
          <w:numId w:val="13"/>
        </w:numPr>
        <w:spacing w:after="120" w:line="220" w:lineRule="exact"/>
        <w:ind w:left="1440"/>
        <w:jc w:val="both"/>
        <w:rPr>
          <w:szCs w:val="26"/>
        </w:rPr>
      </w:pPr>
      <w:r>
        <w:rPr>
          <w:szCs w:val="26"/>
        </w:rPr>
        <w:t>An audit conference conducted by the State Auditor or independent certified public accountants with officials of the public office that is the subject of the audit;</w:t>
      </w:r>
      <w:r>
        <w:rPr>
          <w:rStyle w:val="EndnoteReference"/>
        </w:rPr>
        <w:endnoteReference w:id="985"/>
      </w:r>
    </w:p>
    <w:p w14:paraId="346B9313" w14:textId="77777777" w:rsidR="00681BA7" w:rsidRDefault="00681BA7" w:rsidP="000C4251">
      <w:pPr>
        <w:numPr>
          <w:ilvl w:val="0"/>
          <w:numId w:val="13"/>
        </w:numPr>
        <w:spacing w:after="120" w:line="220" w:lineRule="exact"/>
        <w:ind w:left="1440"/>
        <w:jc w:val="both"/>
        <w:rPr>
          <w:szCs w:val="26"/>
        </w:rPr>
      </w:pPr>
      <w:r>
        <w:rPr>
          <w:szCs w:val="26"/>
        </w:rPr>
        <w:t>The Organized Crime Investigations Commission;</w:t>
      </w:r>
      <w:r>
        <w:rPr>
          <w:rStyle w:val="EndnoteReference"/>
        </w:rPr>
        <w:endnoteReference w:id="986"/>
      </w:r>
    </w:p>
    <w:p w14:paraId="1DF5FF12" w14:textId="77777777" w:rsidR="00681BA7" w:rsidRDefault="00681BA7" w:rsidP="000C4251">
      <w:pPr>
        <w:numPr>
          <w:ilvl w:val="0"/>
          <w:numId w:val="13"/>
        </w:numPr>
        <w:spacing w:after="120" w:line="220" w:lineRule="exact"/>
        <w:ind w:left="1440"/>
        <w:jc w:val="both"/>
        <w:rPr>
          <w:szCs w:val="26"/>
        </w:rPr>
      </w:pPr>
      <w:r>
        <w:rPr>
          <w:szCs w:val="26"/>
        </w:rPr>
        <w:t>County child fatality review boards or state-level reviews of deaths of children;</w:t>
      </w:r>
      <w:r>
        <w:rPr>
          <w:rStyle w:val="EndnoteReference"/>
        </w:rPr>
        <w:endnoteReference w:id="987"/>
      </w:r>
    </w:p>
    <w:p w14:paraId="01470DBD" w14:textId="77777777" w:rsidR="00681BA7" w:rsidRDefault="00681BA7" w:rsidP="000C4251">
      <w:pPr>
        <w:numPr>
          <w:ilvl w:val="0"/>
          <w:numId w:val="13"/>
        </w:numPr>
        <w:spacing w:after="120" w:line="220" w:lineRule="exact"/>
        <w:ind w:left="1440"/>
        <w:jc w:val="both"/>
        <w:rPr>
          <w:szCs w:val="26"/>
        </w:rPr>
      </w:pPr>
      <w:r>
        <w:rPr>
          <w:szCs w:val="26"/>
        </w:rPr>
        <w:t>The board of directors of JobsOhio Corp., or any committee thereof, and the board of directors of any subsidiary of JobsOhio Corp., or any committee thereof;</w:t>
      </w:r>
      <w:r>
        <w:rPr>
          <w:rStyle w:val="EndnoteReference"/>
        </w:rPr>
        <w:endnoteReference w:id="988"/>
      </w:r>
      <w:r>
        <w:rPr>
          <w:szCs w:val="26"/>
        </w:rPr>
        <w:t xml:space="preserve"> and</w:t>
      </w:r>
    </w:p>
    <w:p w14:paraId="702A9993" w14:textId="77777777" w:rsidR="000C4251" w:rsidRDefault="00681BA7" w:rsidP="000C4251">
      <w:pPr>
        <w:numPr>
          <w:ilvl w:val="0"/>
          <w:numId w:val="13"/>
        </w:numPr>
        <w:spacing w:after="120" w:line="220" w:lineRule="exact"/>
        <w:ind w:left="1440"/>
        <w:jc w:val="both"/>
        <w:rPr>
          <w:szCs w:val="26"/>
        </w:rPr>
      </w:pPr>
      <w:r>
        <w:rPr>
          <w:szCs w:val="26"/>
        </w:rPr>
        <w:t>An audit conference conducted by the audit staff of the Department of Job and Family Services with officials of the public office that is the subject of that audit under R.C. 5101.37.</w:t>
      </w:r>
      <w:r>
        <w:rPr>
          <w:rStyle w:val="EndnoteReference"/>
        </w:rPr>
        <w:endnoteReference w:id="989"/>
      </w:r>
    </w:p>
    <w:p w14:paraId="6C80211B" w14:textId="3CDB939B" w:rsidR="00E52CBE" w:rsidRPr="00602B77" w:rsidRDefault="00D17F4C" w:rsidP="00E52CBE">
      <w:pPr>
        <w:numPr>
          <w:ilvl w:val="0"/>
          <w:numId w:val="13"/>
        </w:numPr>
        <w:spacing w:after="120" w:line="220" w:lineRule="exact"/>
        <w:ind w:left="1440"/>
        <w:jc w:val="both"/>
        <w:rPr>
          <w:szCs w:val="26"/>
        </w:rPr>
      </w:pPr>
      <w:r w:rsidRPr="000C4251">
        <w:rPr>
          <w:szCs w:val="26"/>
        </w:rPr>
        <w:t>Fatality- or mortality-review boards established under R.C. 3738.01, 3707.071, 307.631, 307.641, and 307.651.</w:t>
      </w:r>
      <w:r>
        <w:rPr>
          <w:rStyle w:val="EndnoteReference"/>
          <w:szCs w:val="26"/>
        </w:rPr>
        <w:endnoteReference w:id="990"/>
      </w:r>
    </w:p>
    <w:p w14:paraId="3992A421" w14:textId="330BFC23" w:rsidR="00681BA7" w:rsidRDefault="00681BA7" w:rsidP="00322085">
      <w:pPr>
        <w:pStyle w:val="Heading3"/>
      </w:pPr>
      <w:bookmarkStart w:id="591" w:name="_Toc159851651"/>
      <w:r>
        <w:t>6.</w:t>
      </w:r>
      <w:r>
        <w:tab/>
        <w:t xml:space="preserve">Public bodies that are SOMETIMES subject to the Open Meetings </w:t>
      </w:r>
      <w:r w:rsidR="00E52CBE">
        <w:tab/>
      </w:r>
      <w:r w:rsidR="00E52CBE">
        <w:tab/>
      </w:r>
      <w:r>
        <w:t>Act:</w:t>
      </w:r>
      <w:bookmarkEnd w:id="591"/>
    </w:p>
    <w:p w14:paraId="49AF50F4" w14:textId="7DEB7F7A" w:rsidR="00681BA7" w:rsidRDefault="00681BA7" w:rsidP="00BD2AE1">
      <w:pPr>
        <w:pStyle w:val="Heading4"/>
      </w:pPr>
      <w:bookmarkStart w:id="592" w:name="_Toc159851652"/>
      <w:r>
        <w:t>a.</w:t>
      </w:r>
      <w:r>
        <w:tab/>
      </w:r>
      <w:r w:rsidR="005A29C8">
        <w:tab/>
      </w:r>
      <w:r>
        <w:t xml:space="preserve">Public bodies meeting for </w:t>
      </w:r>
      <w:r w:rsidR="00602B77">
        <w:t xml:space="preserve">specific </w:t>
      </w:r>
      <w:r>
        <w:t>purposes</w:t>
      </w:r>
      <w:bookmarkEnd w:id="592"/>
    </w:p>
    <w:p w14:paraId="65C18365" w14:textId="77777777" w:rsidR="00681BA7" w:rsidRDefault="00681BA7">
      <w:pPr>
        <w:spacing w:line="220" w:lineRule="exact"/>
        <w:ind w:left="360"/>
        <w:jc w:val="both"/>
        <w:rPr>
          <w:szCs w:val="26"/>
        </w:rPr>
      </w:pPr>
      <w:r>
        <w:rPr>
          <w:szCs w:val="26"/>
        </w:rPr>
        <w:lastRenderedPageBreak/>
        <w:t>Some public bodies are not subject to the Open Meetings Act when they meet for particular purposes, including:</w:t>
      </w:r>
    </w:p>
    <w:p w14:paraId="4BDAA2F7" w14:textId="77777777" w:rsidR="00681BA7" w:rsidRDefault="00681BA7">
      <w:pPr>
        <w:spacing w:line="220" w:lineRule="exact"/>
        <w:ind w:left="360"/>
        <w:jc w:val="both"/>
        <w:rPr>
          <w:szCs w:val="26"/>
        </w:rPr>
      </w:pPr>
    </w:p>
    <w:p w14:paraId="1DAABF70" w14:textId="77777777" w:rsidR="00681BA7" w:rsidRDefault="00681BA7" w:rsidP="000C4251">
      <w:pPr>
        <w:numPr>
          <w:ilvl w:val="0"/>
          <w:numId w:val="14"/>
        </w:numPr>
        <w:spacing w:after="120" w:line="220" w:lineRule="exact"/>
        <w:ind w:left="1440"/>
        <w:jc w:val="both"/>
        <w:rPr>
          <w:szCs w:val="26"/>
        </w:rPr>
      </w:pPr>
      <w:r>
        <w:rPr>
          <w:szCs w:val="26"/>
        </w:rPr>
        <w:t>The Adult Parole Authority, when its hearings are conducted at a correctional institution for the sole purpose of interviewing inmates to determine pardon or parole;</w:t>
      </w:r>
      <w:r>
        <w:rPr>
          <w:rStyle w:val="EndnoteReference"/>
        </w:rPr>
        <w:endnoteReference w:id="991"/>
      </w:r>
    </w:p>
    <w:p w14:paraId="3A7F0022" w14:textId="3F1FFF17" w:rsidR="00681BA7" w:rsidRDefault="00681BA7" w:rsidP="000C4251">
      <w:pPr>
        <w:numPr>
          <w:ilvl w:val="0"/>
          <w:numId w:val="14"/>
        </w:numPr>
        <w:spacing w:after="120" w:line="220" w:lineRule="exact"/>
        <w:ind w:left="1440"/>
        <w:jc w:val="both"/>
        <w:rPr>
          <w:szCs w:val="26"/>
        </w:rPr>
      </w:pPr>
      <w:r>
        <w:rPr>
          <w:szCs w:val="26"/>
        </w:rPr>
        <w:t>The State Medical Board,</w:t>
      </w:r>
      <w:r>
        <w:rPr>
          <w:rStyle w:val="EndnoteReference"/>
        </w:rPr>
        <w:endnoteReference w:id="992"/>
      </w:r>
      <w:r>
        <w:rPr>
          <w:szCs w:val="26"/>
        </w:rPr>
        <w:t xml:space="preserve"> the State Board of Nursing,</w:t>
      </w:r>
      <w:r>
        <w:rPr>
          <w:rStyle w:val="EndnoteReference"/>
        </w:rPr>
        <w:endnoteReference w:id="993"/>
      </w:r>
      <w:r>
        <w:rPr>
          <w:szCs w:val="26"/>
        </w:rPr>
        <w:t xml:space="preserve"> the State Chiropractic Board</w:t>
      </w:r>
      <w:r>
        <w:rPr>
          <w:rStyle w:val="EndnoteReference"/>
        </w:rPr>
        <w:endnoteReference w:id="994"/>
      </w:r>
      <w:r>
        <w:rPr>
          <w:szCs w:val="26"/>
        </w:rPr>
        <w:t xml:space="preserve"> when determining whether to suspend a license or certificate without a prior hearing;</w:t>
      </w:r>
      <w:r>
        <w:rPr>
          <w:rStyle w:val="EndnoteReference"/>
        </w:rPr>
        <w:endnoteReference w:id="995"/>
      </w:r>
    </w:p>
    <w:p w14:paraId="4989E7ED" w14:textId="5199F91A" w:rsidR="007B3719" w:rsidRDefault="007B3719" w:rsidP="000C4251">
      <w:pPr>
        <w:numPr>
          <w:ilvl w:val="0"/>
          <w:numId w:val="14"/>
        </w:numPr>
        <w:spacing w:after="120" w:line="220" w:lineRule="exact"/>
        <w:ind w:left="1440"/>
        <w:jc w:val="both"/>
        <w:rPr>
          <w:szCs w:val="26"/>
        </w:rPr>
      </w:pPr>
      <w:r>
        <w:rPr>
          <w:szCs w:val="26"/>
        </w:rPr>
        <w:t xml:space="preserve">The State Board of Pharmacy when determining whether to suspend a license, certification, or registration without a prior hearing (including during meetings conducted by telephone conference); </w:t>
      </w:r>
      <w:r>
        <w:rPr>
          <w:rStyle w:val="EndnoteReference"/>
          <w:szCs w:val="26"/>
        </w:rPr>
        <w:endnoteReference w:id="996"/>
      </w:r>
      <w:r>
        <w:rPr>
          <w:szCs w:val="26"/>
        </w:rPr>
        <w:t xml:space="preserve"> or when determining whether to restrict a person from obtaining further information from the drug database without a hearing;</w:t>
      </w:r>
      <w:r>
        <w:rPr>
          <w:rStyle w:val="EndnoteReference"/>
          <w:szCs w:val="26"/>
        </w:rPr>
        <w:endnoteReference w:id="997"/>
      </w:r>
    </w:p>
    <w:p w14:paraId="3534E707" w14:textId="77777777" w:rsidR="00681BA7" w:rsidRDefault="00681BA7" w:rsidP="002B2C2E">
      <w:pPr>
        <w:numPr>
          <w:ilvl w:val="0"/>
          <w:numId w:val="14"/>
        </w:numPr>
        <w:spacing w:after="120" w:line="220" w:lineRule="exact"/>
        <w:ind w:left="1440"/>
        <w:jc w:val="both"/>
        <w:rPr>
          <w:szCs w:val="26"/>
        </w:rPr>
      </w:pPr>
      <w:r>
        <w:rPr>
          <w:szCs w:val="26"/>
        </w:rPr>
        <w:t>The Emergency Response Commission’s executive committee when meeting to determine whether to issue an enforcement order or to decide whether to bring an enforcement action;</w:t>
      </w:r>
      <w:r>
        <w:rPr>
          <w:rStyle w:val="EndnoteReference"/>
        </w:rPr>
        <w:endnoteReference w:id="998"/>
      </w:r>
      <w:r>
        <w:rPr>
          <w:szCs w:val="26"/>
        </w:rPr>
        <w:t xml:space="preserve"> and</w:t>
      </w:r>
    </w:p>
    <w:p w14:paraId="498FC6BE" w14:textId="77F75989" w:rsidR="00681BA7" w:rsidRDefault="00681BA7" w:rsidP="002B2C2E">
      <w:pPr>
        <w:numPr>
          <w:ilvl w:val="0"/>
          <w:numId w:val="14"/>
        </w:numPr>
        <w:spacing w:line="220" w:lineRule="exact"/>
        <w:ind w:left="1440"/>
        <w:jc w:val="both"/>
        <w:rPr>
          <w:szCs w:val="26"/>
        </w:rPr>
      </w:pPr>
      <w:r>
        <w:rPr>
          <w:szCs w:val="26"/>
        </w:rPr>
        <w:t>The Occupational Therapy Section, Physical Therapy Section, and Athletic Trainers Section of the Occupational Therapy, Physical Therapy, and Athletic Trainers Board when determining whether to suspend a practitioner’s license without a hearing.</w:t>
      </w:r>
      <w:r>
        <w:rPr>
          <w:rStyle w:val="EndnoteReference"/>
        </w:rPr>
        <w:endnoteReference w:id="999"/>
      </w:r>
    </w:p>
    <w:p w14:paraId="6732D27B" w14:textId="77777777" w:rsidR="00D17F4C" w:rsidRDefault="00D17F4C" w:rsidP="00D17F4C">
      <w:pPr>
        <w:spacing w:line="220" w:lineRule="exact"/>
        <w:ind w:left="1440"/>
        <w:jc w:val="both"/>
        <w:rPr>
          <w:szCs w:val="26"/>
        </w:rPr>
      </w:pPr>
    </w:p>
    <w:p w14:paraId="185E3342" w14:textId="2D867689" w:rsidR="00D17F4C" w:rsidRDefault="00D17F4C" w:rsidP="002B2C2E">
      <w:pPr>
        <w:numPr>
          <w:ilvl w:val="0"/>
          <w:numId w:val="14"/>
        </w:numPr>
        <w:spacing w:line="220" w:lineRule="exact"/>
        <w:ind w:left="1440"/>
        <w:jc w:val="both"/>
        <w:rPr>
          <w:szCs w:val="26"/>
        </w:rPr>
      </w:pPr>
      <w:r>
        <w:rPr>
          <w:szCs w:val="26"/>
        </w:rPr>
        <w:t>Nonprofit corporations that created a special improvement district under R.C. 1710 when the corporation is not discussing business relating the purpose for which the improvement district was created.</w:t>
      </w:r>
      <w:r>
        <w:rPr>
          <w:rStyle w:val="EndnoteReference"/>
          <w:szCs w:val="26"/>
        </w:rPr>
        <w:endnoteReference w:id="1000"/>
      </w:r>
    </w:p>
    <w:p w14:paraId="1DDA2913" w14:textId="77777777" w:rsidR="00E52CBE" w:rsidRDefault="00E52CBE" w:rsidP="00E52CBE">
      <w:pPr>
        <w:spacing w:line="220" w:lineRule="exact"/>
        <w:ind w:left="1440"/>
        <w:jc w:val="both"/>
        <w:rPr>
          <w:szCs w:val="26"/>
        </w:rPr>
      </w:pPr>
    </w:p>
    <w:p w14:paraId="2BC840A4" w14:textId="52024018" w:rsidR="00681BA7" w:rsidRDefault="00681BA7" w:rsidP="00BD2AE1">
      <w:pPr>
        <w:pStyle w:val="Heading4"/>
      </w:pPr>
      <w:bookmarkStart w:id="593" w:name="_Toc159851653"/>
      <w:r>
        <w:t>b.</w:t>
      </w:r>
      <w:r>
        <w:tab/>
      </w:r>
      <w:r w:rsidR="005A29C8">
        <w:tab/>
      </w:r>
      <w:r>
        <w:t xml:space="preserve">Public bodies handling </w:t>
      </w:r>
      <w:r w:rsidR="00602B77">
        <w:t>specific</w:t>
      </w:r>
      <w:r>
        <w:t xml:space="preserve"> business</w:t>
      </w:r>
      <w:bookmarkEnd w:id="593"/>
    </w:p>
    <w:p w14:paraId="3C649058" w14:textId="1457ED43" w:rsidR="00681BA7" w:rsidRDefault="00681BA7">
      <w:pPr>
        <w:spacing w:line="220" w:lineRule="exact"/>
        <w:ind w:left="360"/>
        <w:jc w:val="both"/>
        <w:rPr>
          <w:szCs w:val="26"/>
        </w:rPr>
      </w:pPr>
      <w:r>
        <w:rPr>
          <w:szCs w:val="26"/>
        </w:rPr>
        <w:t>When meeting to consider “whether to grant assistance for purposes of community or economic development</w:t>
      </w:r>
      <w:r w:rsidR="004F2C69">
        <w:rPr>
          <w:szCs w:val="26"/>
        </w:rPr>
        <w:t>,</w:t>
      </w:r>
      <w:r>
        <w:rPr>
          <w:szCs w:val="26"/>
        </w:rPr>
        <w:t xml:space="preserve">” certain public bodies may conduct meetings that are not open to the public. Specifically, the Controlling Board, the Tax Credit Authority, and the Minority Development Financing Advisory Board may close their meetings by </w:t>
      </w:r>
      <w:r>
        <w:rPr>
          <w:i/>
          <w:szCs w:val="26"/>
        </w:rPr>
        <w:t>unanimous</w:t>
      </w:r>
      <w:r>
        <w:rPr>
          <w:szCs w:val="26"/>
        </w:rPr>
        <w:t xml:space="preserve"> vote of the members present to protect the interest of the applicant or the possible investment of public funds.</w:t>
      </w:r>
      <w:r>
        <w:rPr>
          <w:rStyle w:val="EndnoteReference"/>
        </w:rPr>
        <w:endnoteReference w:id="1001"/>
      </w:r>
    </w:p>
    <w:p w14:paraId="790265B8" w14:textId="77777777" w:rsidR="00681BA7" w:rsidRDefault="00681BA7">
      <w:pPr>
        <w:spacing w:line="220" w:lineRule="exact"/>
        <w:ind w:left="360"/>
        <w:jc w:val="both"/>
        <w:rPr>
          <w:szCs w:val="26"/>
        </w:rPr>
      </w:pPr>
    </w:p>
    <w:p w14:paraId="6C05374E" w14:textId="2CF36D3C" w:rsidR="00681BA7" w:rsidRDefault="00681BA7">
      <w:pPr>
        <w:spacing w:line="220" w:lineRule="exact"/>
        <w:ind w:left="360"/>
        <w:jc w:val="both"/>
        <w:rPr>
          <w:szCs w:val="26"/>
        </w:rPr>
      </w:pPr>
      <w:r>
        <w:rPr>
          <w:szCs w:val="26"/>
        </w:rPr>
        <w:t xml:space="preserve">The meetings of these </w:t>
      </w:r>
      <w:r w:rsidR="004B5C85">
        <w:rPr>
          <w:szCs w:val="26"/>
        </w:rPr>
        <w:t>three</w:t>
      </w:r>
      <w:r>
        <w:rPr>
          <w:szCs w:val="26"/>
        </w:rPr>
        <w:t xml:space="preserve"> bodies may only be closed “during consideration of the following information confidentially received … from the applicant:”</w:t>
      </w:r>
    </w:p>
    <w:p w14:paraId="1F27A818" w14:textId="77777777" w:rsidR="00681BA7" w:rsidRDefault="00681BA7">
      <w:pPr>
        <w:spacing w:line="220" w:lineRule="exact"/>
        <w:ind w:left="360"/>
        <w:jc w:val="both"/>
        <w:rPr>
          <w:szCs w:val="26"/>
        </w:rPr>
      </w:pPr>
    </w:p>
    <w:p w14:paraId="4F6864D4" w14:textId="77777777" w:rsidR="00681BA7" w:rsidRDefault="00681BA7" w:rsidP="002B2C2E">
      <w:pPr>
        <w:numPr>
          <w:ilvl w:val="0"/>
          <w:numId w:val="15"/>
        </w:numPr>
        <w:tabs>
          <w:tab w:val="left" w:pos="0"/>
        </w:tabs>
        <w:spacing w:after="120" w:line="220" w:lineRule="exact"/>
        <w:ind w:left="1440"/>
        <w:jc w:val="both"/>
        <w:rPr>
          <w:szCs w:val="26"/>
        </w:rPr>
      </w:pPr>
      <w:r>
        <w:rPr>
          <w:szCs w:val="26"/>
        </w:rPr>
        <w:t>Marketing plans;</w:t>
      </w:r>
    </w:p>
    <w:p w14:paraId="72F0F71F" w14:textId="77777777" w:rsidR="00681BA7" w:rsidRDefault="00681BA7" w:rsidP="002B2C2E">
      <w:pPr>
        <w:numPr>
          <w:ilvl w:val="0"/>
          <w:numId w:val="15"/>
        </w:numPr>
        <w:tabs>
          <w:tab w:val="left" w:pos="0"/>
        </w:tabs>
        <w:spacing w:after="120" w:line="220" w:lineRule="exact"/>
        <w:ind w:left="1440"/>
        <w:jc w:val="both"/>
        <w:rPr>
          <w:szCs w:val="26"/>
        </w:rPr>
      </w:pPr>
      <w:r>
        <w:rPr>
          <w:szCs w:val="26"/>
        </w:rPr>
        <w:t>Specific business strategy;</w:t>
      </w:r>
    </w:p>
    <w:p w14:paraId="214565DC" w14:textId="77777777" w:rsidR="00681BA7" w:rsidRDefault="00681BA7" w:rsidP="002B2C2E">
      <w:pPr>
        <w:numPr>
          <w:ilvl w:val="0"/>
          <w:numId w:val="15"/>
        </w:numPr>
        <w:tabs>
          <w:tab w:val="left" w:pos="0"/>
        </w:tabs>
        <w:spacing w:after="120" w:line="220" w:lineRule="exact"/>
        <w:ind w:left="1440"/>
        <w:jc w:val="both"/>
        <w:rPr>
          <w:szCs w:val="26"/>
        </w:rPr>
      </w:pPr>
      <w:r>
        <w:rPr>
          <w:szCs w:val="26"/>
        </w:rPr>
        <w:t>Production techniques and trade secrets;</w:t>
      </w:r>
    </w:p>
    <w:p w14:paraId="7E617DAA" w14:textId="77777777" w:rsidR="00681BA7" w:rsidRDefault="00681BA7" w:rsidP="002B2C2E">
      <w:pPr>
        <w:numPr>
          <w:ilvl w:val="0"/>
          <w:numId w:val="15"/>
        </w:numPr>
        <w:tabs>
          <w:tab w:val="left" w:pos="0"/>
        </w:tabs>
        <w:spacing w:after="120" w:line="220" w:lineRule="exact"/>
        <w:ind w:left="1440"/>
        <w:jc w:val="both"/>
        <w:rPr>
          <w:szCs w:val="26"/>
        </w:rPr>
      </w:pPr>
      <w:r>
        <w:rPr>
          <w:szCs w:val="26"/>
        </w:rPr>
        <w:t>Financial projections; and</w:t>
      </w:r>
    </w:p>
    <w:p w14:paraId="7D1ECD4D" w14:textId="77777777" w:rsidR="00681BA7" w:rsidRDefault="00681BA7" w:rsidP="002B2C2E">
      <w:pPr>
        <w:numPr>
          <w:ilvl w:val="0"/>
          <w:numId w:val="15"/>
        </w:numPr>
        <w:tabs>
          <w:tab w:val="left" w:pos="0"/>
        </w:tabs>
        <w:spacing w:line="220" w:lineRule="exact"/>
        <w:ind w:left="1440"/>
        <w:jc w:val="both"/>
        <w:rPr>
          <w:szCs w:val="26"/>
        </w:rPr>
      </w:pPr>
      <w:r>
        <w:rPr>
          <w:szCs w:val="26"/>
        </w:rPr>
        <w:t>Personal financial statements of the applicant or the applicant’s immediate family, including, but not limited to, tax records or other similar information not open to public inspection.</w:t>
      </w:r>
      <w:r>
        <w:rPr>
          <w:rStyle w:val="EndnoteReference"/>
        </w:rPr>
        <w:endnoteReference w:id="1002"/>
      </w:r>
    </w:p>
    <w:p w14:paraId="21B70E91" w14:textId="77777777" w:rsidR="00681BA7" w:rsidRDefault="00681BA7">
      <w:pPr>
        <w:tabs>
          <w:tab w:val="left" w:pos="0"/>
        </w:tabs>
        <w:spacing w:line="220" w:lineRule="exact"/>
        <w:ind w:left="1440"/>
        <w:jc w:val="both"/>
        <w:rPr>
          <w:szCs w:val="26"/>
        </w:rPr>
      </w:pPr>
    </w:p>
    <w:p w14:paraId="06B69371" w14:textId="77777777" w:rsidR="00681BA7" w:rsidRDefault="00681BA7">
      <w:pPr>
        <w:spacing w:line="220" w:lineRule="exact"/>
        <w:ind w:left="360"/>
        <w:jc w:val="both"/>
        <w:rPr>
          <w:szCs w:val="26"/>
        </w:rPr>
      </w:pPr>
      <w:r>
        <w:rPr>
          <w:szCs w:val="26"/>
        </w:rPr>
        <w:t xml:space="preserve">In addition, the board of directors of a community improvement corporation, when acting as an agent of a political subdivision, may close a meeting by </w:t>
      </w:r>
      <w:r>
        <w:rPr>
          <w:i/>
          <w:szCs w:val="26"/>
        </w:rPr>
        <w:t>majority</w:t>
      </w:r>
      <w:r>
        <w:rPr>
          <w:szCs w:val="26"/>
        </w:rPr>
        <w:t xml:space="preserve"> vote of all members present during consideration of non-public record information set out in R.C. 1724.11(A).</w:t>
      </w:r>
      <w:r>
        <w:rPr>
          <w:rStyle w:val="EndnoteReference"/>
        </w:rPr>
        <w:endnoteReference w:id="1003"/>
      </w:r>
    </w:p>
    <w:p w14:paraId="25430376" w14:textId="1BF22E81" w:rsidR="00681BA7" w:rsidRPr="00345637" w:rsidRDefault="00681BA7" w:rsidP="00322085">
      <w:pPr>
        <w:pStyle w:val="Heading2"/>
      </w:pPr>
      <w:bookmarkStart w:id="594" w:name="_Toc159851654"/>
      <w:r w:rsidRPr="00345637">
        <w:t>B.</w:t>
      </w:r>
      <w:r w:rsidRPr="00345637">
        <w:tab/>
        <w:t>“Meeting”</w:t>
      </w:r>
      <w:bookmarkEnd w:id="594"/>
    </w:p>
    <w:p w14:paraId="16E87C31" w14:textId="60277F4B" w:rsidR="00681BA7" w:rsidRDefault="00681BA7" w:rsidP="00322085">
      <w:pPr>
        <w:pStyle w:val="Heading3"/>
      </w:pPr>
      <w:bookmarkStart w:id="595" w:name="_Toc159851655"/>
      <w:r>
        <w:t>1.</w:t>
      </w:r>
      <w:r>
        <w:tab/>
        <w:t>Definition</w:t>
      </w:r>
      <w:bookmarkEnd w:id="595"/>
    </w:p>
    <w:p w14:paraId="53EEB413" w14:textId="5BBADBBA" w:rsidR="004B5C85" w:rsidRDefault="00681BA7" w:rsidP="009F2B4B">
      <w:pPr>
        <w:spacing w:line="220" w:lineRule="exact"/>
        <w:ind w:left="360"/>
        <w:jc w:val="both"/>
        <w:rPr>
          <w:szCs w:val="26"/>
        </w:rPr>
      </w:pPr>
      <w:r>
        <w:rPr>
          <w:szCs w:val="26"/>
        </w:rPr>
        <w:t xml:space="preserve">The Open Meetings Act requires members of a public body to take official action, conduct deliberations, and discuss the public business in an open meeting, unless the subject matter is </w:t>
      </w:r>
      <w:r>
        <w:rPr>
          <w:szCs w:val="26"/>
        </w:rPr>
        <w:lastRenderedPageBreak/>
        <w:t>specifically exempted by law.</w:t>
      </w:r>
      <w:r>
        <w:rPr>
          <w:rStyle w:val="EndnoteReference"/>
        </w:rPr>
        <w:endnoteReference w:id="1004"/>
      </w:r>
      <w:r>
        <w:rPr>
          <w:szCs w:val="26"/>
        </w:rPr>
        <w:t xml:space="preserve">  The Act defines a “meeting” as</w:t>
      </w:r>
      <w:r w:rsidR="0085041E">
        <w:rPr>
          <w:szCs w:val="26"/>
        </w:rPr>
        <w:t>: (</w:t>
      </w:r>
      <w:r>
        <w:rPr>
          <w:szCs w:val="26"/>
        </w:rPr>
        <w:t>1) a prearranged gathering of (2) a majority of the members of a public body (3) for the purpose of discussing public business.</w:t>
      </w:r>
      <w:r>
        <w:rPr>
          <w:rStyle w:val="EndnoteReference"/>
        </w:rPr>
        <w:endnoteReference w:id="1005"/>
      </w:r>
    </w:p>
    <w:p w14:paraId="0396A79C" w14:textId="77777777" w:rsidR="00E52CBE" w:rsidRDefault="00E52CBE" w:rsidP="009F2B4B">
      <w:pPr>
        <w:spacing w:line="220" w:lineRule="exact"/>
        <w:ind w:left="360"/>
        <w:jc w:val="both"/>
        <w:rPr>
          <w:szCs w:val="26"/>
        </w:rPr>
      </w:pPr>
    </w:p>
    <w:p w14:paraId="130D82D1" w14:textId="300ED067" w:rsidR="00681BA7" w:rsidRDefault="00681BA7" w:rsidP="00BD2AE1">
      <w:pPr>
        <w:pStyle w:val="Heading4"/>
      </w:pPr>
      <w:bookmarkStart w:id="596" w:name="_Toc159851656"/>
      <w:r>
        <w:t>a.</w:t>
      </w:r>
      <w:r>
        <w:tab/>
      </w:r>
      <w:r w:rsidR="005A29C8">
        <w:tab/>
      </w:r>
      <w:r>
        <w:t>Prearranged</w:t>
      </w:r>
      <w:bookmarkEnd w:id="596"/>
    </w:p>
    <w:p w14:paraId="0860421A" w14:textId="09584F69" w:rsidR="00681BA7" w:rsidRDefault="00681BA7">
      <w:pPr>
        <w:spacing w:line="220" w:lineRule="exact"/>
        <w:ind w:left="360"/>
        <w:jc w:val="both"/>
        <w:rPr>
          <w:szCs w:val="26"/>
        </w:rPr>
      </w:pPr>
      <w:r>
        <w:rPr>
          <w:szCs w:val="26"/>
        </w:rPr>
        <w:t>The Open Meetings Act governs prearranged discussions,</w:t>
      </w:r>
      <w:r>
        <w:rPr>
          <w:rStyle w:val="EndnoteReference"/>
        </w:rPr>
        <w:endnoteReference w:id="1006"/>
      </w:r>
      <w:r>
        <w:rPr>
          <w:szCs w:val="26"/>
        </w:rPr>
        <w:t xml:space="preserve"> but it does not prohibit unplanned encounters between members of public bodies, such as hallway discussions.  One court</w:t>
      </w:r>
      <w:r w:rsidR="004F2C69">
        <w:rPr>
          <w:szCs w:val="26"/>
        </w:rPr>
        <w:t xml:space="preserve"> </w:t>
      </w:r>
      <w:r w:rsidR="00895DF5">
        <w:rPr>
          <w:szCs w:val="26"/>
        </w:rPr>
        <w:t>hel</w:t>
      </w:r>
      <w:r>
        <w:rPr>
          <w:szCs w:val="26"/>
        </w:rPr>
        <w:t>d that neither an unsolicited and unexpected email sent from one board member to other board members, nor a spontaneous one-on-one telephone conversation between two members of a five-member board was a prearranged meeting.</w:t>
      </w:r>
      <w:r>
        <w:rPr>
          <w:rStyle w:val="EndnoteReference"/>
        </w:rPr>
        <w:endnoteReference w:id="1007"/>
      </w:r>
      <w:r>
        <w:rPr>
          <w:szCs w:val="26"/>
        </w:rPr>
        <w:t xml:space="preserve">  </w:t>
      </w:r>
      <w:r w:rsidR="004F2C69">
        <w:rPr>
          <w:szCs w:val="26"/>
        </w:rPr>
        <w:t>In another case, the court held that two members of a three-member commission did not have a prearranged meeting when one member came to the office of another and had an impromptu discussion.</w:t>
      </w:r>
      <w:r w:rsidR="004F2C69">
        <w:rPr>
          <w:rStyle w:val="EndnoteReference"/>
          <w:szCs w:val="26"/>
        </w:rPr>
        <w:endnoteReference w:id="1008"/>
      </w:r>
      <w:r w:rsidR="004F2C69">
        <w:rPr>
          <w:szCs w:val="26"/>
        </w:rPr>
        <w:t xml:space="preserve"> </w:t>
      </w:r>
      <w:r>
        <w:rPr>
          <w:szCs w:val="26"/>
        </w:rPr>
        <w:t>However, the “prearranged” element does not require the parties to participate at the same time, and a series of emails exchanged among a majority of board members can constitute a “prearranged gathering” even when the emails started with one board member sending an unsolicited email to other board members.</w:t>
      </w:r>
      <w:r>
        <w:rPr>
          <w:rStyle w:val="EndnoteReference"/>
          <w:szCs w:val="26"/>
        </w:rPr>
        <w:endnoteReference w:id="1009"/>
      </w:r>
    </w:p>
    <w:p w14:paraId="2F761954" w14:textId="77777777" w:rsidR="00602B77" w:rsidRDefault="00602B77">
      <w:pPr>
        <w:spacing w:line="220" w:lineRule="exact"/>
        <w:ind w:left="360"/>
        <w:jc w:val="both"/>
        <w:rPr>
          <w:szCs w:val="26"/>
        </w:rPr>
      </w:pPr>
    </w:p>
    <w:p w14:paraId="6FD49F6E" w14:textId="5F388500" w:rsidR="00681BA7" w:rsidRDefault="00681BA7" w:rsidP="00BD2AE1">
      <w:pPr>
        <w:pStyle w:val="Heading4"/>
      </w:pPr>
      <w:bookmarkStart w:id="597" w:name="_Toc159851657"/>
      <w:r>
        <w:t>b.</w:t>
      </w:r>
      <w:r w:rsidR="005A29C8">
        <w:tab/>
      </w:r>
      <w:r>
        <w:tab/>
        <w:t>Majority of members</w:t>
      </w:r>
      <w:bookmarkEnd w:id="597"/>
    </w:p>
    <w:p w14:paraId="4AF543CF" w14:textId="675BEEEB" w:rsidR="00681BA7" w:rsidRDefault="00681BA7">
      <w:pPr>
        <w:spacing w:line="220" w:lineRule="exact"/>
        <w:ind w:left="360"/>
        <w:jc w:val="both"/>
        <w:rPr>
          <w:szCs w:val="26"/>
        </w:rPr>
      </w:pPr>
      <w:r>
        <w:rPr>
          <w:szCs w:val="26"/>
        </w:rPr>
        <w:t>The requirement that a gathering of a majority of the members of a public body constitutes a meeting applies to the public body as a whole and also to the separate memberships of all committees and subcommittees of that body.</w:t>
      </w:r>
      <w:r>
        <w:rPr>
          <w:rStyle w:val="EndnoteReference"/>
        </w:rPr>
        <w:endnoteReference w:id="1010"/>
      </w:r>
      <w:r>
        <w:rPr>
          <w:szCs w:val="26"/>
        </w:rPr>
        <w:t xml:space="preserve">  For </w:t>
      </w:r>
      <w:r w:rsidR="009F2B4B">
        <w:rPr>
          <w:szCs w:val="26"/>
        </w:rPr>
        <w:t>example</w:t>
      </w:r>
      <w:r>
        <w:rPr>
          <w:szCs w:val="26"/>
        </w:rPr>
        <w:t>, if a council is comprised of seven members, four constitute a majority in determining whether the council as a whole is conducting a “meeting.”  If the council appoints a three-member finance committee, two of those members would constitute a majority of the finance committee.</w:t>
      </w:r>
    </w:p>
    <w:p w14:paraId="3E3737FD" w14:textId="3861CA6C" w:rsidR="00681BA7" w:rsidRDefault="00E52CBE" w:rsidP="000960FF">
      <w:pPr>
        <w:pStyle w:val="Heading5"/>
        <w:ind w:left="2880"/>
      </w:pPr>
      <w:r>
        <w:tab/>
      </w:r>
      <w:bookmarkStart w:id="598" w:name="_Toc159851658"/>
      <w:r w:rsidR="00681BA7">
        <w:t>i.</w:t>
      </w:r>
      <w:r w:rsidR="00681BA7">
        <w:tab/>
        <w:t>Attending in person</w:t>
      </w:r>
      <w:bookmarkEnd w:id="598"/>
    </w:p>
    <w:p w14:paraId="676BABF1" w14:textId="4CE9A1E2" w:rsidR="00681BA7" w:rsidRDefault="00681BA7">
      <w:pPr>
        <w:spacing w:line="220" w:lineRule="exact"/>
        <w:ind w:left="360"/>
        <w:jc w:val="both"/>
        <w:rPr>
          <w:szCs w:val="26"/>
        </w:rPr>
      </w:pPr>
      <w:r>
        <w:rPr>
          <w:szCs w:val="26"/>
        </w:rPr>
        <w:t>A member of a public body must be present in</w:t>
      </w:r>
      <w:r w:rsidR="009F2B4B">
        <w:rPr>
          <w:szCs w:val="26"/>
        </w:rPr>
        <w:t xml:space="preserve"> </w:t>
      </w:r>
      <w:r>
        <w:rPr>
          <w:szCs w:val="26"/>
        </w:rPr>
        <w:t>person at a meeting in order to be considered present, vote, or be counted as part of a quorum</w:t>
      </w:r>
      <w:r w:rsidR="00E66E67">
        <w:rPr>
          <w:szCs w:val="26"/>
        </w:rPr>
        <w:t>.</w:t>
      </w:r>
      <w:r>
        <w:rPr>
          <w:rStyle w:val="EndnoteReference"/>
        </w:rPr>
        <w:endnoteReference w:id="1011"/>
      </w:r>
      <w:r w:rsidR="009F2B4B">
        <w:rPr>
          <w:szCs w:val="26"/>
        </w:rPr>
        <w:t xml:space="preserve">  </w:t>
      </w:r>
      <w:r w:rsidR="00E66E67">
        <w:rPr>
          <w:szCs w:val="26"/>
        </w:rPr>
        <w:t xml:space="preserve">A small number of public bodies have statutory authority </w:t>
      </w:r>
      <w:r w:rsidR="00024240">
        <w:rPr>
          <w:szCs w:val="26"/>
        </w:rPr>
        <w:t>t</w:t>
      </w:r>
      <w:r w:rsidR="00E66E67">
        <w:rPr>
          <w:szCs w:val="26"/>
        </w:rPr>
        <w:t>o conduct meetings via teleconference, videoconference, or other remote means</w:t>
      </w:r>
      <w:r>
        <w:rPr>
          <w:szCs w:val="26"/>
        </w:rPr>
        <w:t>.</w:t>
      </w:r>
      <w:r>
        <w:rPr>
          <w:rStyle w:val="EndnoteReference"/>
        </w:rPr>
        <w:endnoteReference w:id="1012"/>
      </w:r>
      <w:r>
        <w:rPr>
          <w:szCs w:val="26"/>
        </w:rPr>
        <w:t xml:space="preserve">  In the absence of </w:t>
      </w:r>
      <w:r w:rsidR="00E66E67">
        <w:rPr>
          <w:szCs w:val="26"/>
        </w:rPr>
        <w:t xml:space="preserve">specific </w:t>
      </w:r>
      <w:r>
        <w:rPr>
          <w:szCs w:val="26"/>
        </w:rPr>
        <w:t>statutory authority,</w:t>
      </w:r>
      <w:r w:rsidR="00E66E67">
        <w:rPr>
          <w:szCs w:val="26"/>
        </w:rPr>
        <w:t xml:space="preserve"> however,</w:t>
      </w:r>
      <w:r>
        <w:rPr>
          <w:szCs w:val="26"/>
        </w:rPr>
        <w:t xml:space="preserve"> public bodies may not conduct a meeting via electronic or telephonic conferencing.</w:t>
      </w:r>
    </w:p>
    <w:p w14:paraId="28B01DE2" w14:textId="1A9F62AF" w:rsidR="00681BA7" w:rsidRDefault="00E52CBE" w:rsidP="000960FF">
      <w:pPr>
        <w:pStyle w:val="Heading5"/>
        <w:ind w:left="2880"/>
      </w:pPr>
      <w:r>
        <w:tab/>
      </w:r>
      <w:bookmarkStart w:id="599" w:name="_Toc159851659"/>
      <w:r w:rsidR="00681BA7">
        <w:t>ii.</w:t>
      </w:r>
      <w:r w:rsidR="00681BA7">
        <w:tab/>
      </w:r>
      <w:r w:rsidR="00E66E67">
        <w:t>S</w:t>
      </w:r>
      <w:r w:rsidR="00681BA7">
        <w:t>erial “meetings”</w:t>
      </w:r>
      <w:bookmarkEnd w:id="599"/>
    </w:p>
    <w:p w14:paraId="07773F12" w14:textId="31520CED" w:rsidR="00681BA7" w:rsidRDefault="00681BA7">
      <w:pPr>
        <w:spacing w:line="220" w:lineRule="exact"/>
        <w:ind w:left="360"/>
        <w:jc w:val="both"/>
        <w:rPr>
          <w:szCs w:val="26"/>
        </w:rPr>
      </w:pPr>
      <w:r>
        <w:rPr>
          <w:szCs w:val="26"/>
        </w:rPr>
        <w:t>Unless two members constitute a majority, isolated one-on-one conversations between individual members of a public body regarding its business, either in person or by telephone, do not violate the Open Meetings Act.</w:t>
      </w:r>
      <w:r>
        <w:rPr>
          <w:rStyle w:val="EndnoteReference"/>
        </w:rPr>
        <w:endnoteReference w:id="1013"/>
      </w:r>
      <w:r>
        <w:rPr>
          <w:szCs w:val="26"/>
        </w:rPr>
        <w:t xml:space="preserve">  However, a public body may not “circumvent the requirements of the statute by setting up back-to-back meetings of </w:t>
      </w:r>
      <w:r w:rsidR="009F2B4B">
        <w:rPr>
          <w:szCs w:val="26"/>
        </w:rPr>
        <w:t>fewer</w:t>
      </w:r>
      <w:r>
        <w:rPr>
          <w:szCs w:val="26"/>
        </w:rPr>
        <w:t xml:space="preserve"> than a majority of its members, with the same topics of public business discussed at each.”</w:t>
      </w:r>
      <w:r>
        <w:rPr>
          <w:rStyle w:val="EndnoteReference"/>
        </w:rPr>
        <w:endnoteReference w:id="1014"/>
      </w:r>
      <w:r>
        <w:rPr>
          <w:szCs w:val="26"/>
        </w:rPr>
        <w:t xml:space="preserve">  Such conversations may be considered multiple parts of the same, improperly private, “meeting.”</w:t>
      </w:r>
      <w:r>
        <w:rPr>
          <w:rStyle w:val="EndnoteReference"/>
        </w:rPr>
        <w:endnoteReference w:id="1015"/>
      </w:r>
      <w:r>
        <w:rPr>
          <w:szCs w:val="26"/>
        </w:rPr>
        <w:t xml:space="preserve">  Serial meetings may also occur over the telephone or through electronic communications, like email.</w:t>
      </w:r>
      <w:r>
        <w:rPr>
          <w:rStyle w:val="EndnoteReference"/>
          <w:szCs w:val="26"/>
        </w:rPr>
        <w:endnoteReference w:id="1016"/>
      </w:r>
    </w:p>
    <w:p w14:paraId="726B5209" w14:textId="77777777" w:rsidR="00E52CBE" w:rsidRDefault="00E52CBE">
      <w:pPr>
        <w:spacing w:line="220" w:lineRule="exact"/>
        <w:ind w:left="360"/>
        <w:jc w:val="both"/>
        <w:rPr>
          <w:szCs w:val="26"/>
        </w:rPr>
      </w:pPr>
    </w:p>
    <w:p w14:paraId="04BB5276" w14:textId="13D2726A" w:rsidR="00681BA7" w:rsidRDefault="00681BA7" w:rsidP="00BD2AE1">
      <w:pPr>
        <w:pStyle w:val="Heading4"/>
      </w:pPr>
      <w:bookmarkStart w:id="600" w:name="_Toc159851660"/>
      <w:r>
        <w:t>c.</w:t>
      </w:r>
      <w:r>
        <w:tab/>
      </w:r>
      <w:r w:rsidR="005A29C8">
        <w:tab/>
      </w:r>
      <w:r>
        <w:t>Discussing public business</w:t>
      </w:r>
      <w:bookmarkEnd w:id="600"/>
    </w:p>
    <w:p w14:paraId="21571FD5" w14:textId="7DC65790" w:rsidR="00681BA7" w:rsidRDefault="00681BA7">
      <w:pPr>
        <w:spacing w:line="220" w:lineRule="exact"/>
        <w:ind w:left="360"/>
        <w:jc w:val="both"/>
        <w:rPr>
          <w:szCs w:val="26"/>
        </w:rPr>
      </w:pPr>
      <w:r>
        <w:rPr>
          <w:szCs w:val="26"/>
        </w:rPr>
        <w:t>With narrow ex</w:t>
      </w:r>
      <w:r w:rsidR="004F2C69">
        <w:rPr>
          <w:szCs w:val="26"/>
        </w:rPr>
        <w:t>ceptions</w:t>
      </w:r>
      <w:r>
        <w:rPr>
          <w:szCs w:val="26"/>
        </w:rPr>
        <w:t>, the Open Meetings Act requires the members of a public body to discuss and deliberate on official business only in open meetings.</w:t>
      </w:r>
      <w:r>
        <w:rPr>
          <w:rStyle w:val="EndnoteReference"/>
        </w:rPr>
        <w:endnoteReference w:id="1017"/>
      </w:r>
      <w:r>
        <w:rPr>
          <w:szCs w:val="26"/>
        </w:rPr>
        <w:t xml:space="preserve">  “Discussion” is the exchange of words, comments, or ideas by the members of a public body.</w:t>
      </w:r>
      <w:r>
        <w:rPr>
          <w:rStyle w:val="EndnoteReference"/>
        </w:rPr>
        <w:endnoteReference w:id="1018"/>
      </w:r>
      <w:r>
        <w:rPr>
          <w:szCs w:val="26"/>
        </w:rPr>
        <w:t xml:space="preserve">  “Deliberation” means the act of weighing and examining reasons for and against a</w:t>
      </w:r>
      <w:r w:rsidR="004F2C69">
        <w:rPr>
          <w:szCs w:val="26"/>
        </w:rPr>
        <w:t>n action</w:t>
      </w:r>
      <w:r>
        <w:rPr>
          <w:szCs w:val="26"/>
        </w:rPr>
        <w:t>.</w:t>
      </w:r>
      <w:r>
        <w:rPr>
          <w:rStyle w:val="EndnoteReference"/>
        </w:rPr>
        <w:endnoteReference w:id="1019"/>
      </w:r>
      <w:r>
        <w:rPr>
          <w:szCs w:val="26"/>
        </w:rPr>
        <w:t xml:space="preserve">  One court described “deliberation” as a thorough discussion of all factors involved, a careful weighing of positive and negative factors, and a cautious consideration of the ramifications of the proposal, while gradually arriving at a decision.</w:t>
      </w:r>
      <w:r>
        <w:rPr>
          <w:rStyle w:val="EndnoteReference"/>
        </w:rPr>
        <w:endnoteReference w:id="1020"/>
      </w:r>
      <w:r>
        <w:rPr>
          <w:szCs w:val="26"/>
        </w:rPr>
        <w:t xml:space="preserve">  Another court described the term as involving “a decisional analysis, i.e., an exchange of views on the facts in an attempt to reach a decision.”</w:t>
      </w:r>
      <w:r>
        <w:rPr>
          <w:rStyle w:val="EndnoteReference"/>
        </w:rPr>
        <w:endnoteReference w:id="1021"/>
      </w:r>
      <w:r>
        <w:rPr>
          <w:szCs w:val="26"/>
        </w:rPr>
        <w:t xml:space="preserve">  Discussions of public business may also be conducted over any other media, such as the telephone, video conference, email, text, or tweet.</w:t>
      </w:r>
      <w:r>
        <w:rPr>
          <w:rStyle w:val="EndnoteReference"/>
          <w:szCs w:val="26"/>
        </w:rPr>
        <w:endnoteReference w:id="1022"/>
      </w:r>
      <w:r>
        <w:rPr>
          <w:szCs w:val="26"/>
        </w:rPr>
        <w:t xml:space="preserve">  In other words, just because a discussion did not occur in-person does not mean it is exempt from the requirements of the Open Meetings Act.</w:t>
      </w:r>
    </w:p>
    <w:p w14:paraId="266CF33D" w14:textId="77777777" w:rsidR="00681BA7" w:rsidRDefault="00681BA7">
      <w:pPr>
        <w:spacing w:line="220" w:lineRule="exact"/>
        <w:ind w:left="360"/>
        <w:jc w:val="both"/>
        <w:rPr>
          <w:szCs w:val="26"/>
        </w:rPr>
      </w:pPr>
    </w:p>
    <w:p w14:paraId="3CBC423A" w14:textId="7CCEB031" w:rsidR="00681BA7" w:rsidRDefault="00681BA7">
      <w:pPr>
        <w:spacing w:line="220" w:lineRule="exact"/>
        <w:ind w:left="360"/>
        <w:jc w:val="both"/>
        <w:rPr>
          <w:szCs w:val="26"/>
        </w:rPr>
      </w:pPr>
      <w:r>
        <w:rPr>
          <w:szCs w:val="26"/>
        </w:rPr>
        <w:t xml:space="preserve">In evaluating whether </w:t>
      </w:r>
      <w:r w:rsidR="00241A8C">
        <w:rPr>
          <w:szCs w:val="26"/>
        </w:rPr>
        <w:t xml:space="preserve">a </w:t>
      </w:r>
      <w:r>
        <w:rPr>
          <w:szCs w:val="26"/>
        </w:rPr>
        <w:t xml:space="preserve">gathering of public officials constituted </w:t>
      </w:r>
      <w:r w:rsidR="00241A8C">
        <w:rPr>
          <w:szCs w:val="26"/>
        </w:rPr>
        <w:t xml:space="preserve">a </w:t>
      </w:r>
      <w:r>
        <w:rPr>
          <w:szCs w:val="26"/>
        </w:rPr>
        <w:t xml:space="preserve">“meeting,” </w:t>
      </w:r>
      <w:r w:rsidR="00241A8C">
        <w:rPr>
          <w:szCs w:val="26"/>
        </w:rPr>
        <w:t xml:space="preserve">one </w:t>
      </w:r>
      <w:r>
        <w:rPr>
          <w:szCs w:val="26"/>
        </w:rPr>
        <w:t xml:space="preserve">court opined that the Open Meetings Act “is intended to apply to those situations where there has been actual formal action taken; to wit, formal </w:t>
      </w:r>
      <w:r>
        <w:rPr>
          <w:i/>
          <w:szCs w:val="26"/>
        </w:rPr>
        <w:t>deliberations</w:t>
      </w:r>
      <w:r>
        <w:rPr>
          <w:szCs w:val="26"/>
        </w:rPr>
        <w:t xml:space="preserve"> concerning the public business.”</w:t>
      </w:r>
      <w:r>
        <w:rPr>
          <w:rStyle w:val="EndnoteReference"/>
        </w:rPr>
        <w:endnoteReference w:id="1023"/>
      </w:r>
      <w:r>
        <w:rPr>
          <w:szCs w:val="26"/>
        </w:rPr>
        <w:t xml:space="preserve">  Under this analysis, courts have determined that gatherings strictly of an investigative and information-seeking nature that do not involve actual discussion or deliberation of public business are not “meetings” for purposes of the Open Meetings Act.</w:t>
      </w:r>
      <w:r>
        <w:rPr>
          <w:rStyle w:val="EndnoteReference"/>
        </w:rPr>
        <w:endnoteReference w:id="1024"/>
      </w:r>
      <w:r>
        <w:rPr>
          <w:szCs w:val="26"/>
        </w:rPr>
        <w:t xml:space="preserve">  More importantly, the Supreme Court</w:t>
      </w:r>
      <w:r w:rsidR="0040318D">
        <w:rPr>
          <w:szCs w:val="26"/>
        </w:rPr>
        <w:t xml:space="preserve"> of Ohio</w:t>
      </w:r>
      <w:r>
        <w:rPr>
          <w:szCs w:val="26"/>
        </w:rPr>
        <w:t xml:space="preserve"> has not ruled on whether “investigative and informational” gatherings are or are not “meetings.”  Consequently, public bodies should seek guidance from their legal counsel about how such gatherings are viewed by the court of appeals in their district, before convening this kind of private gathering as something other than a regular or special meeting.</w:t>
      </w:r>
    </w:p>
    <w:p w14:paraId="1D458776" w14:textId="77777777" w:rsidR="00681BA7" w:rsidRDefault="00681BA7">
      <w:pPr>
        <w:spacing w:line="220" w:lineRule="exact"/>
        <w:ind w:left="360"/>
        <w:jc w:val="both"/>
        <w:rPr>
          <w:szCs w:val="26"/>
        </w:rPr>
      </w:pPr>
    </w:p>
    <w:p w14:paraId="0F6A6BEC" w14:textId="1BD45FF4" w:rsidR="00681BA7" w:rsidRDefault="00250540">
      <w:pPr>
        <w:spacing w:line="220" w:lineRule="exact"/>
        <w:ind w:left="360"/>
        <w:jc w:val="both"/>
        <w:rPr>
          <w:szCs w:val="26"/>
        </w:rPr>
      </w:pPr>
      <w:r>
        <w:rPr>
          <w:szCs w:val="26"/>
        </w:rPr>
        <w:t>Some</w:t>
      </w:r>
      <w:r w:rsidR="00681BA7">
        <w:rPr>
          <w:szCs w:val="26"/>
        </w:rPr>
        <w:t xml:space="preserve"> courts have distinguished “discussions” or “deliberations” that must take place in public from other exchanges </w:t>
      </w:r>
      <w:r>
        <w:rPr>
          <w:szCs w:val="26"/>
        </w:rPr>
        <w:t>among</w:t>
      </w:r>
      <w:r w:rsidR="00681BA7">
        <w:rPr>
          <w:szCs w:val="26"/>
        </w:rPr>
        <w:t xml:space="preserve"> a majority of members at a prearranged gathering</w:t>
      </w:r>
      <w:r>
        <w:rPr>
          <w:szCs w:val="26"/>
        </w:rPr>
        <w:t>.  These courts</w:t>
      </w:r>
      <w:r w:rsidR="00681BA7">
        <w:rPr>
          <w:szCs w:val="26"/>
        </w:rPr>
        <w:t xml:space="preserve"> have opined that the following are not “meetings” subject to the Open Meetings Act:</w:t>
      </w:r>
    </w:p>
    <w:p w14:paraId="00BAFD1A" w14:textId="77777777" w:rsidR="00681BA7" w:rsidRDefault="00681BA7">
      <w:pPr>
        <w:spacing w:line="220" w:lineRule="exact"/>
        <w:ind w:left="720"/>
        <w:jc w:val="both"/>
        <w:rPr>
          <w:szCs w:val="26"/>
        </w:rPr>
      </w:pPr>
    </w:p>
    <w:p w14:paraId="208C830C" w14:textId="44E76FEB" w:rsidR="00681BA7" w:rsidRDefault="00681BA7" w:rsidP="002B2C2E">
      <w:pPr>
        <w:numPr>
          <w:ilvl w:val="0"/>
          <w:numId w:val="16"/>
        </w:numPr>
        <w:spacing w:after="120" w:line="220" w:lineRule="exact"/>
        <w:ind w:left="1440"/>
        <w:jc w:val="both"/>
        <w:rPr>
          <w:szCs w:val="26"/>
        </w:rPr>
      </w:pPr>
      <w:r>
        <w:rPr>
          <w:szCs w:val="26"/>
        </w:rPr>
        <w:t>Question-and-answer session between board members, the public body’s legal counsel, and others who were not public officials</w:t>
      </w:r>
      <w:r w:rsidR="00241A8C">
        <w:rPr>
          <w:szCs w:val="26"/>
        </w:rPr>
        <w:t>,</w:t>
      </w:r>
      <w:r>
        <w:rPr>
          <w:szCs w:val="26"/>
        </w:rPr>
        <w:t xml:space="preserve"> was not a meeting because a majority of the board members did not engage in discussion or deliberation of public business </w:t>
      </w:r>
      <w:r>
        <w:rPr>
          <w:i/>
          <w:szCs w:val="26"/>
        </w:rPr>
        <w:t>with one another</w:t>
      </w:r>
      <w:r>
        <w:rPr>
          <w:szCs w:val="26"/>
        </w:rPr>
        <w:t>;</w:t>
      </w:r>
      <w:r>
        <w:rPr>
          <w:rStyle w:val="EndnoteReference"/>
        </w:rPr>
        <w:endnoteReference w:id="1025"/>
      </w:r>
    </w:p>
    <w:p w14:paraId="498C2A78" w14:textId="77777777" w:rsidR="00681BA7" w:rsidRDefault="00681BA7" w:rsidP="002B2C2E">
      <w:pPr>
        <w:numPr>
          <w:ilvl w:val="0"/>
          <w:numId w:val="16"/>
        </w:numPr>
        <w:spacing w:after="120" w:line="220" w:lineRule="exact"/>
        <w:ind w:left="1440"/>
        <w:jc w:val="both"/>
        <w:rPr>
          <w:szCs w:val="26"/>
        </w:rPr>
      </w:pPr>
      <w:r>
        <w:rPr>
          <w:szCs w:val="26"/>
        </w:rPr>
        <w:t>Conversations among staff members employed by a city council;</w:t>
      </w:r>
      <w:r>
        <w:rPr>
          <w:rStyle w:val="EndnoteReference"/>
        </w:rPr>
        <w:endnoteReference w:id="1026"/>
      </w:r>
    </w:p>
    <w:p w14:paraId="21460B09" w14:textId="1FD876E3" w:rsidR="00681BA7" w:rsidRDefault="00681BA7" w:rsidP="002B2C2E">
      <w:pPr>
        <w:numPr>
          <w:ilvl w:val="0"/>
          <w:numId w:val="16"/>
        </w:numPr>
        <w:spacing w:after="120" w:line="220" w:lineRule="exact"/>
        <w:ind w:left="1440"/>
        <w:jc w:val="both"/>
        <w:rPr>
          <w:szCs w:val="26"/>
        </w:rPr>
      </w:pPr>
      <w:r>
        <w:rPr>
          <w:szCs w:val="26"/>
        </w:rPr>
        <w:t>A presentation to a public body by its legal counsel when the public body receives legal advice</w:t>
      </w:r>
      <w:r w:rsidR="00241A8C">
        <w:rPr>
          <w:szCs w:val="26"/>
        </w:rPr>
        <w:t>,</w:t>
      </w:r>
      <w:r>
        <w:rPr>
          <w:rStyle w:val="EndnoteReference"/>
        </w:rPr>
        <w:endnoteReference w:id="1027"/>
      </w:r>
      <w:r>
        <w:rPr>
          <w:szCs w:val="26"/>
        </w:rPr>
        <w:t xml:space="preserve"> </w:t>
      </w:r>
      <w:r w:rsidR="00241A8C">
        <w:rPr>
          <w:szCs w:val="26"/>
        </w:rPr>
        <w:t>or when a public body requests a legal opinion from its counsel;</w:t>
      </w:r>
      <w:r w:rsidR="00241A8C">
        <w:rPr>
          <w:rStyle w:val="EndnoteReference"/>
          <w:szCs w:val="26"/>
        </w:rPr>
        <w:endnoteReference w:id="1028"/>
      </w:r>
      <w:r>
        <w:rPr>
          <w:szCs w:val="26"/>
        </w:rPr>
        <w:t>and</w:t>
      </w:r>
    </w:p>
    <w:p w14:paraId="1722145D" w14:textId="77777777" w:rsidR="00681BA7" w:rsidRDefault="00681BA7" w:rsidP="002B2C2E">
      <w:pPr>
        <w:numPr>
          <w:ilvl w:val="0"/>
          <w:numId w:val="16"/>
        </w:numPr>
        <w:spacing w:line="220" w:lineRule="exact"/>
        <w:ind w:left="1440"/>
        <w:jc w:val="both"/>
        <w:rPr>
          <w:szCs w:val="26"/>
        </w:rPr>
      </w:pPr>
      <w:r>
        <w:rPr>
          <w:szCs w:val="26"/>
        </w:rPr>
        <w:t>A press conference.</w:t>
      </w:r>
      <w:r>
        <w:rPr>
          <w:rStyle w:val="EndnoteReference"/>
        </w:rPr>
        <w:endnoteReference w:id="1029"/>
      </w:r>
    </w:p>
    <w:p w14:paraId="5BA59429" w14:textId="77777777" w:rsidR="00E52CBE" w:rsidRDefault="00E52CBE" w:rsidP="00E52CBE">
      <w:pPr>
        <w:spacing w:line="220" w:lineRule="exact"/>
        <w:ind w:left="1440"/>
        <w:jc w:val="both"/>
        <w:rPr>
          <w:szCs w:val="26"/>
        </w:rPr>
      </w:pPr>
    </w:p>
    <w:p w14:paraId="11740130" w14:textId="79EA19CC" w:rsidR="00681BA7" w:rsidRDefault="00681BA7" w:rsidP="00322085">
      <w:pPr>
        <w:pStyle w:val="Heading3"/>
      </w:pPr>
      <w:bookmarkStart w:id="601" w:name="_Toc159851661"/>
      <w:r>
        <w:t>2.</w:t>
      </w:r>
      <w:r>
        <w:tab/>
      </w:r>
      <w:r w:rsidR="00241A8C">
        <w:t>A</w:t>
      </w:r>
      <w:r>
        <w:t>pplying the definition of “meeting”</w:t>
      </w:r>
      <w:bookmarkEnd w:id="601"/>
    </w:p>
    <w:p w14:paraId="2A5E5A44" w14:textId="25A600F3" w:rsidR="00681BA7" w:rsidRDefault="00681BA7" w:rsidP="008222F7">
      <w:pPr>
        <w:spacing w:line="220" w:lineRule="exact"/>
        <w:ind w:left="360"/>
        <w:jc w:val="both"/>
        <w:rPr>
          <w:szCs w:val="26"/>
        </w:rPr>
      </w:pPr>
      <w:r>
        <w:rPr>
          <w:szCs w:val="26"/>
        </w:rPr>
        <w:t>If a gathering meets all three elements of th</w:t>
      </w:r>
      <w:r w:rsidR="00250540">
        <w:rPr>
          <w:szCs w:val="26"/>
        </w:rPr>
        <w:t>e</w:t>
      </w:r>
      <w:r>
        <w:rPr>
          <w:szCs w:val="26"/>
        </w:rPr>
        <w:t xml:space="preserve"> definition</w:t>
      </w:r>
      <w:r w:rsidR="00250540">
        <w:rPr>
          <w:szCs w:val="26"/>
        </w:rPr>
        <w:t xml:space="preserve"> of a “meeting</w:t>
      </w:r>
      <w:r w:rsidR="00DB56AD">
        <w:rPr>
          <w:szCs w:val="26"/>
        </w:rPr>
        <w:t>”—</w:t>
      </w:r>
      <w:r w:rsidR="00250540">
        <w:rPr>
          <w:szCs w:val="26"/>
        </w:rPr>
        <w:t>(1) a prearranged gathering of (2) a majority of the members of a public body (3) for the purpose of discussing public busines</w:t>
      </w:r>
      <w:r w:rsidR="00DB56AD">
        <w:rPr>
          <w:szCs w:val="26"/>
        </w:rPr>
        <w:t xml:space="preserve">s—a </w:t>
      </w:r>
      <w:r>
        <w:rPr>
          <w:szCs w:val="26"/>
        </w:rPr>
        <w:t>court will consider it a “meeting” for the purposes of the Open Meetings Act</w:t>
      </w:r>
      <w:r w:rsidR="00DB56AD">
        <w:rPr>
          <w:szCs w:val="26"/>
        </w:rPr>
        <w:t>.  This is true</w:t>
      </w:r>
      <w:r>
        <w:rPr>
          <w:szCs w:val="26"/>
        </w:rPr>
        <w:t xml:space="preserve"> regardless </w:t>
      </w:r>
      <w:r w:rsidR="00241A8C">
        <w:rPr>
          <w:szCs w:val="26"/>
        </w:rPr>
        <w:t xml:space="preserve">of </w:t>
      </w:r>
      <w:r>
        <w:rPr>
          <w:szCs w:val="26"/>
        </w:rPr>
        <w:t xml:space="preserve">whether the public body initiated the gathering itself or whether it was initiated by another entity.  Further, if majorities of multiple public bodies attend one large meeting, a court may construe the gathering of each public body’s majority of members </w:t>
      </w:r>
      <w:r w:rsidR="00DB56AD">
        <w:rPr>
          <w:szCs w:val="26"/>
        </w:rPr>
        <w:t>as</w:t>
      </w:r>
      <w:r>
        <w:rPr>
          <w:szCs w:val="26"/>
        </w:rPr>
        <w:t xml:space="preserve"> separate “meetings” of each public body.</w:t>
      </w:r>
      <w:r>
        <w:rPr>
          <w:rStyle w:val="EndnoteReference"/>
        </w:rPr>
        <w:endnoteReference w:id="1030"/>
      </w:r>
    </w:p>
    <w:p w14:paraId="37E295B2" w14:textId="77777777" w:rsidR="00E52CBE" w:rsidRDefault="00E52CBE" w:rsidP="008222F7">
      <w:pPr>
        <w:spacing w:line="220" w:lineRule="exact"/>
        <w:ind w:left="360"/>
        <w:jc w:val="both"/>
        <w:rPr>
          <w:szCs w:val="26"/>
        </w:rPr>
      </w:pPr>
    </w:p>
    <w:p w14:paraId="00B9B5A7" w14:textId="76441AB3" w:rsidR="00681BA7" w:rsidRDefault="00681BA7" w:rsidP="00BD2AE1">
      <w:pPr>
        <w:pStyle w:val="Heading4"/>
      </w:pPr>
      <w:bookmarkStart w:id="602" w:name="_Toc159851662"/>
      <w:r>
        <w:t>a.</w:t>
      </w:r>
      <w:r>
        <w:tab/>
      </w:r>
      <w:r w:rsidR="005A29C8">
        <w:tab/>
      </w:r>
      <w:r>
        <w:t>Work sessions</w:t>
      </w:r>
      <w:bookmarkEnd w:id="602"/>
    </w:p>
    <w:p w14:paraId="6F7A7E10" w14:textId="77777777" w:rsidR="00681BA7" w:rsidRDefault="00681BA7" w:rsidP="008222F7">
      <w:pPr>
        <w:spacing w:line="220" w:lineRule="exact"/>
        <w:ind w:left="360"/>
        <w:jc w:val="both"/>
        <w:rPr>
          <w:szCs w:val="26"/>
        </w:rPr>
      </w:pPr>
      <w:r>
        <w:rPr>
          <w:szCs w:val="26"/>
        </w:rPr>
        <w:t>A “meeting” by any other name is still a meeting.  “Work retreats” or “workshops” are “meetings” when a public body discusses public business among a majority of the members of a public body at a prearranged time.</w:t>
      </w:r>
      <w:r>
        <w:rPr>
          <w:rStyle w:val="EndnoteReference"/>
        </w:rPr>
        <w:endnoteReference w:id="1031"/>
      </w:r>
      <w:r>
        <w:rPr>
          <w:szCs w:val="26"/>
        </w:rPr>
        <w:t xml:space="preserve">  When conducting any meeting, the public body must comply with its obligations under the Open Meetings Act: openness, notice, and minutes.</w:t>
      </w:r>
      <w:r>
        <w:rPr>
          <w:rStyle w:val="EndnoteReference"/>
        </w:rPr>
        <w:endnoteReference w:id="1032"/>
      </w:r>
    </w:p>
    <w:p w14:paraId="3D32F507" w14:textId="77777777" w:rsidR="00E52CBE" w:rsidRDefault="00E52CBE" w:rsidP="008222F7">
      <w:pPr>
        <w:spacing w:line="220" w:lineRule="exact"/>
        <w:ind w:left="360"/>
        <w:jc w:val="both"/>
        <w:rPr>
          <w:szCs w:val="26"/>
        </w:rPr>
      </w:pPr>
    </w:p>
    <w:p w14:paraId="49432712" w14:textId="159425AB" w:rsidR="00681BA7" w:rsidRDefault="00681BA7" w:rsidP="00BD2AE1">
      <w:pPr>
        <w:pStyle w:val="Heading4"/>
      </w:pPr>
      <w:bookmarkStart w:id="603" w:name="_Toc159851663"/>
      <w:r>
        <w:t>b.</w:t>
      </w:r>
      <w:r>
        <w:tab/>
      </w:r>
      <w:r w:rsidR="005A29C8">
        <w:tab/>
      </w:r>
      <w:r>
        <w:t>Quasi-judicial proceedings</w:t>
      </w:r>
      <w:bookmarkEnd w:id="603"/>
    </w:p>
    <w:p w14:paraId="303EBB47" w14:textId="490CE406" w:rsidR="00681BA7" w:rsidRDefault="00681BA7">
      <w:pPr>
        <w:spacing w:line="220" w:lineRule="exact"/>
        <w:ind w:left="360"/>
        <w:jc w:val="both"/>
        <w:rPr>
          <w:szCs w:val="26"/>
        </w:rPr>
      </w:pPr>
      <w:r>
        <w:rPr>
          <w:szCs w:val="26"/>
        </w:rPr>
        <w:t>Public bodies whose responsibilities include adjudicative duties, such as boards of tax appeals and state professional licensing boards, are considered “quasi-judicial.”  The Supreme Court</w:t>
      </w:r>
      <w:r w:rsidR="0040318D">
        <w:rPr>
          <w:szCs w:val="26"/>
        </w:rPr>
        <w:t xml:space="preserve"> of Ohio</w:t>
      </w:r>
      <w:r>
        <w:rPr>
          <w:szCs w:val="26"/>
        </w:rPr>
        <w:t xml:space="preserve"> has determined that public bodies conducting quasi-judicial hearings, “like all judicial bodies, [require] privacy to deliberate</w:t>
      </w:r>
      <w:r w:rsidRPr="00E66E67">
        <w:rPr>
          <w:szCs w:val="26"/>
        </w:rPr>
        <w:t>, i.e.,</w:t>
      </w:r>
      <w:r>
        <w:rPr>
          <w:szCs w:val="26"/>
        </w:rPr>
        <w:t xml:space="preserve"> to evaluate and resolve, the disputes.”</w:t>
      </w:r>
      <w:r>
        <w:rPr>
          <w:rStyle w:val="EndnoteReference"/>
        </w:rPr>
        <w:endnoteReference w:id="1033"/>
      </w:r>
      <w:r>
        <w:rPr>
          <w:szCs w:val="26"/>
        </w:rPr>
        <w:t xml:space="preserve">  Quasi-judicial proceedings and the deliberations of public bodies when acting in their quasi-judicial capacities are not “meetings” and are not subject to the Open Meetings Act.</w:t>
      </w:r>
      <w:r>
        <w:rPr>
          <w:rStyle w:val="EndnoteReference"/>
        </w:rPr>
        <w:endnoteReference w:id="1034"/>
      </w:r>
      <w:r>
        <w:rPr>
          <w:szCs w:val="26"/>
        </w:rPr>
        <w:t xml:space="preserve">  Accordingly, when a public body is acting in its quasi-judicial capacity, the public body does not have to vote publicly to adjourn for deliberations or to take action following those deliberations.</w:t>
      </w:r>
      <w:r>
        <w:rPr>
          <w:rStyle w:val="EndnoteReference"/>
        </w:rPr>
        <w:endnoteReference w:id="1035"/>
      </w:r>
    </w:p>
    <w:p w14:paraId="74936EEF" w14:textId="77777777" w:rsidR="00E52CBE" w:rsidRDefault="00E52CBE">
      <w:pPr>
        <w:spacing w:line="220" w:lineRule="exact"/>
        <w:ind w:left="360"/>
        <w:jc w:val="both"/>
        <w:rPr>
          <w:szCs w:val="26"/>
        </w:rPr>
      </w:pPr>
    </w:p>
    <w:p w14:paraId="3291648A" w14:textId="77777777" w:rsidR="00E52CBE" w:rsidRDefault="00E52CBE">
      <w:pPr>
        <w:spacing w:line="220" w:lineRule="exact"/>
        <w:ind w:left="360"/>
        <w:jc w:val="both"/>
        <w:rPr>
          <w:szCs w:val="26"/>
        </w:rPr>
      </w:pPr>
    </w:p>
    <w:p w14:paraId="62077CD6" w14:textId="77777777" w:rsidR="00E52CBE" w:rsidRDefault="00E52CBE">
      <w:pPr>
        <w:spacing w:line="220" w:lineRule="exact"/>
        <w:ind w:left="360"/>
        <w:jc w:val="both"/>
        <w:rPr>
          <w:szCs w:val="26"/>
        </w:rPr>
      </w:pPr>
    </w:p>
    <w:p w14:paraId="71A34F2F" w14:textId="13C795F9" w:rsidR="00681BA7" w:rsidRDefault="00681BA7" w:rsidP="00BD2AE1">
      <w:pPr>
        <w:pStyle w:val="Heading4"/>
      </w:pPr>
      <w:bookmarkStart w:id="604" w:name="_Toc159851664"/>
      <w:r>
        <w:lastRenderedPageBreak/>
        <w:t>c.</w:t>
      </w:r>
      <w:r>
        <w:tab/>
      </w:r>
      <w:r w:rsidR="005A29C8">
        <w:tab/>
      </w:r>
      <w:r>
        <w:t>County political party central committees</w:t>
      </w:r>
      <w:bookmarkEnd w:id="604"/>
    </w:p>
    <w:p w14:paraId="2121A75A" w14:textId="4A2F66F1" w:rsidR="00681BA7" w:rsidRDefault="00681BA7">
      <w:pPr>
        <w:spacing w:line="220" w:lineRule="exact"/>
        <w:ind w:left="360"/>
        <w:jc w:val="both"/>
        <w:rPr>
          <w:szCs w:val="26"/>
        </w:rPr>
      </w:pPr>
      <w:r>
        <w:rPr>
          <w:szCs w:val="26"/>
        </w:rPr>
        <w:t xml:space="preserve">The convening of a county political party central committee </w:t>
      </w:r>
      <w:r w:rsidR="0085041E">
        <w:rPr>
          <w:szCs w:val="26"/>
        </w:rPr>
        <w:t xml:space="preserve">to </w:t>
      </w:r>
      <w:r>
        <w:rPr>
          <w:szCs w:val="26"/>
        </w:rPr>
        <w:t xml:space="preserve">conduct purely internal party affairs, unrelated to the committee’s duties of making appointments to vacated public offices, is not a “meeting” as defined by </w:t>
      </w:r>
      <w:r w:rsidR="0085041E">
        <w:rPr>
          <w:szCs w:val="26"/>
        </w:rPr>
        <w:t>the Open Meetings Act</w:t>
      </w:r>
      <w:r>
        <w:rPr>
          <w:szCs w:val="26"/>
        </w:rPr>
        <w:t xml:space="preserve">.  Thus, </w:t>
      </w:r>
      <w:r w:rsidR="0085041E">
        <w:rPr>
          <w:szCs w:val="26"/>
        </w:rPr>
        <w:t>the Act</w:t>
      </w:r>
      <w:r>
        <w:rPr>
          <w:szCs w:val="26"/>
        </w:rPr>
        <w:t xml:space="preserve"> does not apply to such a gathering.</w:t>
      </w:r>
      <w:r>
        <w:rPr>
          <w:rStyle w:val="EndnoteReference"/>
        </w:rPr>
        <w:endnoteReference w:id="1036"/>
      </w:r>
    </w:p>
    <w:p w14:paraId="47827EB2" w14:textId="77777777" w:rsidR="00E52CBE" w:rsidRDefault="00E52CBE">
      <w:pPr>
        <w:spacing w:line="220" w:lineRule="exact"/>
        <w:ind w:left="360"/>
        <w:jc w:val="both"/>
        <w:rPr>
          <w:szCs w:val="26"/>
        </w:rPr>
      </w:pPr>
    </w:p>
    <w:p w14:paraId="231DE31E" w14:textId="3228025F" w:rsidR="00681BA7" w:rsidRDefault="00681BA7" w:rsidP="00BD2AE1">
      <w:pPr>
        <w:pStyle w:val="Heading4"/>
      </w:pPr>
      <w:bookmarkStart w:id="605" w:name="_Toc159851665"/>
      <w:r>
        <w:t>d.</w:t>
      </w:r>
      <w:r>
        <w:tab/>
      </w:r>
      <w:r w:rsidR="005A29C8">
        <w:tab/>
      </w:r>
      <w:r>
        <w:t>Collective bargaining</w:t>
      </w:r>
      <w:bookmarkEnd w:id="605"/>
    </w:p>
    <w:p w14:paraId="4C9EAAF2" w14:textId="77777777" w:rsidR="00681BA7" w:rsidRDefault="00681BA7">
      <w:pPr>
        <w:spacing w:line="220" w:lineRule="exact"/>
        <w:ind w:left="360"/>
        <w:jc w:val="both"/>
        <w:rPr>
          <w:szCs w:val="26"/>
        </w:rPr>
      </w:pPr>
      <w:r>
        <w:rPr>
          <w:szCs w:val="26"/>
        </w:rPr>
        <w:t>Collective bargaining meetings between public employers and employee organizations are private and are not subject to the Open Meetings Act.</w:t>
      </w:r>
      <w:r>
        <w:rPr>
          <w:rStyle w:val="EndnoteReference"/>
        </w:rPr>
        <w:endnoteReference w:id="1037"/>
      </w:r>
    </w:p>
    <w:p w14:paraId="7E10F6D4" w14:textId="77777777" w:rsidR="00681BA7" w:rsidRDefault="007C1690" w:rsidP="007C1690">
      <w:pPr>
        <w:spacing w:line="220" w:lineRule="exact"/>
        <w:jc w:val="both"/>
        <w:rPr>
          <w:szCs w:val="26"/>
        </w:rPr>
      </w:pPr>
      <w:r>
        <w:rPr>
          <w:szCs w:val="26"/>
        </w:rPr>
        <w:br w:type="page"/>
      </w:r>
      <w:r w:rsidR="00AA189A">
        <w:rPr>
          <w:szCs w:val="26"/>
        </w:rPr>
        <w:lastRenderedPageBreak/>
        <w:t>N</w:t>
      </w:r>
      <w:r>
        <w:rPr>
          <w:szCs w:val="26"/>
        </w:rPr>
        <w:t>otes:</w:t>
      </w:r>
    </w:p>
    <w:bookmarkEnd w:id="581"/>
    <w:p w14:paraId="6BDA18F3" w14:textId="77777777" w:rsidR="00681BA7" w:rsidRDefault="00681BA7">
      <w:pPr>
        <w:spacing w:line="220" w:lineRule="exact"/>
        <w:ind w:left="720"/>
        <w:jc w:val="both"/>
        <w:rPr>
          <w:szCs w:val="26"/>
        </w:rPr>
        <w:sectPr w:rsidR="00681BA7" w:rsidSect="00AF6868">
          <w:headerReference w:type="default" r:id="rId66"/>
          <w:endnotePr>
            <w:numFmt w:val="decimal"/>
          </w:endnotePr>
          <w:pgSz w:w="12240" w:h="15840"/>
          <w:pgMar w:top="1440" w:right="1440" w:bottom="1440" w:left="1440" w:header="720" w:footer="210" w:gutter="0"/>
          <w:cols w:space="720"/>
          <w:docGrid w:linePitch="360"/>
        </w:sectPr>
      </w:pPr>
    </w:p>
    <w:p w14:paraId="28FC1EE3" w14:textId="1D0A4D50" w:rsidR="00681BA7" w:rsidRPr="00AB2338" w:rsidRDefault="004B7E2A" w:rsidP="0085553E">
      <w:pPr>
        <w:pStyle w:val="Heading1"/>
      </w:pPr>
      <w:bookmarkStart w:id="606" w:name="_Toc159851666"/>
      <w:r>
        <w:lastRenderedPageBreak/>
        <w:t>IX</w:t>
      </w:r>
      <w:r w:rsidR="00681BA7" w:rsidRPr="00AB2338">
        <w:t>.</w:t>
      </w:r>
      <w:r w:rsidR="00681BA7" w:rsidRPr="00AB2338">
        <w:tab/>
        <w:t xml:space="preserve">Chapter </w:t>
      </w:r>
      <w:r>
        <w:t>Nine</w:t>
      </w:r>
      <w:r w:rsidR="00681BA7" w:rsidRPr="00AB2338">
        <w:t>:  Duties of a Public Body</w:t>
      </w:r>
      <w:bookmarkEnd w:id="606"/>
    </w:p>
    <w:p w14:paraId="6B39A0A3" w14:textId="26124182" w:rsidR="00681BA7" w:rsidRDefault="00681BA7">
      <w:pPr>
        <w:spacing w:line="220" w:lineRule="exact"/>
        <w:jc w:val="both"/>
        <w:rPr>
          <w:szCs w:val="26"/>
        </w:rPr>
      </w:pPr>
      <w:r>
        <w:rPr>
          <w:szCs w:val="26"/>
        </w:rPr>
        <w:t>The Open Meetings Act requires public bodies to provide</w:t>
      </w:r>
      <w:r w:rsidR="00E57F6A">
        <w:rPr>
          <w:szCs w:val="26"/>
        </w:rPr>
        <w:t>: (</w:t>
      </w:r>
      <w:r>
        <w:rPr>
          <w:szCs w:val="26"/>
        </w:rPr>
        <w:t>A) openness, (B) notice, and (C) minutes.</w:t>
      </w:r>
    </w:p>
    <w:p w14:paraId="1CD47392" w14:textId="4FBC45F3" w:rsidR="00681BA7" w:rsidRPr="00345637" w:rsidRDefault="00681BA7" w:rsidP="00322085">
      <w:pPr>
        <w:pStyle w:val="Heading2"/>
      </w:pPr>
      <w:bookmarkStart w:id="607" w:name="_Toc159851667"/>
      <w:r w:rsidRPr="00345637">
        <w:t>A.</w:t>
      </w:r>
      <w:r w:rsidRPr="00345637">
        <w:tab/>
        <w:t>Openness</w:t>
      </w:r>
      <w:bookmarkEnd w:id="607"/>
    </w:p>
    <w:p w14:paraId="1D626050" w14:textId="77777777" w:rsidR="00681BA7" w:rsidRDefault="00681BA7" w:rsidP="002A4D05">
      <w:pPr>
        <w:spacing w:line="220" w:lineRule="exact"/>
        <w:ind w:left="360"/>
        <w:jc w:val="both"/>
        <w:rPr>
          <w:szCs w:val="26"/>
        </w:rPr>
      </w:pPr>
      <w:r>
        <w:rPr>
          <w:szCs w:val="26"/>
        </w:rPr>
        <w:t>The Open Meetings Act declares all meetings of a public body to be public meetings open to the public at all times.</w:t>
      </w:r>
      <w:r>
        <w:rPr>
          <w:rStyle w:val="EndnoteReference"/>
        </w:rPr>
        <w:endnoteReference w:id="1038"/>
      </w:r>
      <w:r>
        <w:rPr>
          <w:szCs w:val="26"/>
        </w:rPr>
        <w:t xml:space="preserve">  The General Assembly mandates that the Act be liberally construed to require that public officials take official action and “conduct all deliberations upon official business only in open meetings unless the subject matter is specifically excepted by law.”</w:t>
      </w:r>
      <w:r>
        <w:rPr>
          <w:rStyle w:val="EndnoteReference"/>
        </w:rPr>
        <w:endnoteReference w:id="1039"/>
      </w:r>
    </w:p>
    <w:p w14:paraId="4993F6A4" w14:textId="77777777" w:rsidR="00E52CBE" w:rsidRDefault="00E52CBE" w:rsidP="002A4D05">
      <w:pPr>
        <w:spacing w:line="220" w:lineRule="exact"/>
        <w:ind w:left="360"/>
        <w:jc w:val="both"/>
        <w:rPr>
          <w:szCs w:val="26"/>
        </w:rPr>
      </w:pPr>
    </w:p>
    <w:p w14:paraId="6215A059" w14:textId="23F93DFF" w:rsidR="00681BA7" w:rsidRDefault="00681BA7" w:rsidP="00322085">
      <w:pPr>
        <w:pStyle w:val="Heading3"/>
      </w:pPr>
      <w:bookmarkStart w:id="608" w:name="_Toc159851668"/>
      <w:r>
        <w:t>1.</w:t>
      </w:r>
      <w:r>
        <w:tab/>
        <w:t>Where meetings may be held</w:t>
      </w:r>
      <w:bookmarkEnd w:id="608"/>
    </w:p>
    <w:p w14:paraId="72B55484" w14:textId="77777777" w:rsidR="00681BA7" w:rsidRDefault="00681BA7">
      <w:pPr>
        <w:spacing w:line="220" w:lineRule="exact"/>
        <w:ind w:left="360"/>
        <w:jc w:val="both"/>
        <w:rPr>
          <w:szCs w:val="26"/>
        </w:rPr>
      </w:pPr>
      <w:r>
        <w:rPr>
          <w:szCs w:val="26"/>
        </w:rPr>
        <w:t>A public body must conduct its meetings in a venue that is open to the public.</w:t>
      </w:r>
      <w:r>
        <w:rPr>
          <w:rStyle w:val="EndnoteReference"/>
        </w:rPr>
        <w:endnoteReference w:id="1040"/>
      </w:r>
      <w:r>
        <w:rPr>
          <w:szCs w:val="26"/>
        </w:rPr>
        <w:t xml:space="preserve">  Although the Open Meetings Act does not specifically address where a public body must hold meetings, some authority suggests that a public body must hold meetings in a public meeting place</w:t>
      </w:r>
      <w:r>
        <w:rPr>
          <w:rStyle w:val="EndnoteReference"/>
        </w:rPr>
        <w:endnoteReference w:id="1041"/>
      </w:r>
      <w:r>
        <w:rPr>
          <w:szCs w:val="26"/>
        </w:rPr>
        <w:t xml:space="preserve"> that is within the geographical jurisdiction of the public body.</w:t>
      </w:r>
      <w:r>
        <w:rPr>
          <w:rStyle w:val="EndnoteReference"/>
        </w:rPr>
        <w:endnoteReference w:id="1042"/>
      </w:r>
      <w:r>
        <w:rPr>
          <w:szCs w:val="26"/>
        </w:rPr>
        <w:t xml:space="preserve">  Clearly, a meeting is not “open” when the public body has locked the doors to the meeting facility.</w:t>
      </w:r>
      <w:r>
        <w:rPr>
          <w:rStyle w:val="EndnoteReference"/>
        </w:rPr>
        <w:endnoteReference w:id="1043"/>
      </w:r>
    </w:p>
    <w:p w14:paraId="31783228" w14:textId="77777777" w:rsidR="00681BA7" w:rsidRDefault="00681BA7">
      <w:pPr>
        <w:spacing w:line="220" w:lineRule="exact"/>
        <w:ind w:left="360"/>
        <w:jc w:val="both"/>
        <w:rPr>
          <w:szCs w:val="26"/>
        </w:rPr>
      </w:pPr>
    </w:p>
    <w:p w14:paraId="6B28F914" w14:textId="0750D787" w:rsidR="00681BA7" w:rsidRDefault="00681BA7">
      <w:pPr>
        <w:spacing w:line="220" w:lineRule="exact"/>
        <w:ind w:left="360"/>
        <w:jc w:val="both"/>
        <w:rPr>
          <w:szCs w:val="26"/>
        </w:rPr>
      </w:pPr>
      <w:r>
        <w:rPr>
          <w:szCs w:val="26"/>
        </w:rPr>
        <w:t>Where space in the facility is too limited to accommodate all interested members of the public, closed</w:t>
      </w:r>
      <w:r w:rsidR="00D746B4">
        <w:rPr>
          <w:szCs w:val="26"/>
        </w:rPr>
        <w:t>-</w:t>
      </w:r>
      <w:r>
        <w:rPr>
          <w:szCs w:val="26"/>
        </w:rPr>
        <w:t>circuit television may be an acceptable alternative.</w:t>
      </w:r>
      <w:r>
        <w:rPr>
          <w:rStyle w:val="EndnoteReference"/>
        </w:rPr>
        <w:endnoteReference w:id="1044"/>
      </w:r>
      <w:r>
        <w:rPr>
          <w:szCs w:val="26"/>
        </w:rPr>
        <w:t xml:space="preserve">  </w:t>
      </w:r>
      <w:r w:rsidR="001D5448">
        <w:rPr>
          <w:szCs w:val="26"/>
        </w:rPr>
        <w:t>Allowing members of the public to observe the meeting from the hall and through the open meeting door may also be acceptable.</w:t>
      </w:r>
      <w:r w:rsidR="001D5448">
        <w:rPr>
          <w:rStyle w:val="EndnoteReference"/>
          <w:szCs w:val="26"/>
        </w:rPr>
        <w:endnoteReference w:id="1045"/>
      </w:r>
      <w:r w:rsidR="001D5448">
        <w:rPr>
          <w:szCs w:val="26"/>
        </w:rPr>
        <w:t xml:space="preserve"> </w:t>
      </w:r>
      <w:r>
        <w:rPr>
          <w:szCs w:val="26"/>
        </w:rPr>
        <w:t>Federal law requires that a meeting place be accessible to individuals with disabilities.</w:t>
      </w:r>
      <w:r>
        <w:rPr>
          <w:rStyle w:val="EndnoteReference"/>
        </w:rPr>
        <w:endnoteReference w:id="1046"/>
      </w:r>
    </w:p>
    <w:p w14:paraId="1DB8049D" w14:textId="77777777" w:rsidR="00E52CBE" w:rsidRDefault="00E52CBE">
      <w:pPr>
        <w:spacing w:line="220" w:lineRule="exact"/>
        <w:ind w:left="360"/>
        <w:jc w:val="both"/>
        <w:rPr>
          <w:szCs w:val="26"/>
        </w:rPr>
      </w:pPr>
    </w:p>
    <w:p w14:paraId="1DE85839" w14:textId="7B836107" w:rsidR="00681BA7" w:rsidRDefault="00681BA7" w:rsidP="00322085">
      <w:pPr>
        <w:pStyle w:val="Heading3"/>
      </w:pPr>
      <w:bookmarkStart w:id="609" w:name="_Toc159851669"/>
      <w:r>
        <w:t>2.</w:t>
      </w:r>
      <w:r>
        <w:tab/>
        <w:t>Method of voting</w:t>
      </w:r>
      <w:bookmarkEnd w:id="609"/>
    </w:p>
    <w:p w14:paraId="758D422B" w14:textId="1AB5B46D" w:rsidR="00681BA7" w:rsidRDefault="00681BA7">
      <w:pPr>
        <w:spacing w:line="220" w:lineRule="exact"/>
        <w:ind w:left="360"/>
        <w:jc w:val="both"/>
        <w:rPr>
          <w:szCs w:val="26"/>
        </w:rPr>
      </w:pPr>
      <w:r>
        <w:rPr>
          <w:szCs w:val="26"/>
        </w:rPr>
        <w:t>Unless a particular statute requires a specific method of voting, the public cannot insist on a particular form of voting.  The body may use its own discretion in determining the method it will use, such as voice vote, show of hands, or roll call.</w:t>
      </w:r>
      <w:r>
        <w:rPr>
          <w:rStyle w:val="EndnoteReference"/>
        </w:rPr>
        <w:endnoteReference w:id="1047"/>
      </w:r>
      <w:r>
        <w:rPr>
          <w:szCs w:val="26"/>
        </w:rPr>
        <w:t xml:space="preserve">  The Open Meetings Act only specifies the method of voting when a public body is adjourning into executive session by requiring that the vote for that purpose be by roll call.</w:t>
      </w:r>
      <w:r>
        <w:rPr>
          <w:rStyle w:val="EndnoteReference"/>
        </w:rPr>
        <w:endnoteReference w:id="1048"/>
      </w:r>
      <w:r>
        <w:rPr>
          <w:szCs w:val="26"/>
        </w:rPr>
        <w:t xml:space="preserve">  The</w:t>
      </w:r>
      <w:r w:rsidR="00A7740F">
        <w:rPr>
          <w:szCs w:val="26"/>
        </w:rPr>
        <w:t xml:space="preserve"> </w:t>
      </w:r>
      <w:r w:rsidR="00D746B4">
        <w:rPr>
          <w:szCs w:val="26"/>
        </w:rPr>
        <w:t>S</w:t>
      </w:r>
      <w:r w:rsidR="00A7740F">
        <w:rPr>
          <w:szCs w:val="26"/>
        </w:rPr>
        <w:t>upreme Court</w:t>
      </w:r>
      <w:r w:rsidR="0040318D">
        <w:rPr>
          <w:szCs w:val="26"/>
        </w:rPr>
        <w:t xml:space="preserve"> of Ohio</w:t>
      </w:r>
      <w:r w:rsidR="00A7740F">
        <w:rPr>
          <w:szCs w:val="26"/>
        </w:rPr>
        <w:t xml:space="preserve"> held that the</w:t>
      </w:r>
      <w:r>
        <w:rPr>
          <w:szCs w:val="26"/>
        </w:rPr>
        <w:t xml:space="preserve"> Act </w:t>
      </w:r>
      <w:r w:rsidR="00A7740F">
        <w:rPr>
          <w:szCs w:val="26"/>
        </w:rPr>
        <w:t>precludes a public body from taking official action by way of secret ballot.</w:t>
      </w:r>
      <w:r>
        <w:rPr>
          <w:rStyle w:val="EndnoteReference"/>
        </w:rPr>
        <w:endnoteReference w:id="1049"/>
      </w:r>
      <w:r>
        <w:rPr>
          <w:szCs w:val="26"/>
        </w:rPr>
        <w:t xml:space="preserve">  Voting by secret ballot contradicts the openness requirement of the Open Meetings Act by hiding the decision-making process from public view.</w:t>
      </w:r>
      <w:r>
        <w:rPr>
          <w:rStyle w:val="EndnoteReference"/>
          <w:szCs w:val="26"/>
        </w:rPr>
        <w:endnoteReference w:id="1050"/>
      </w:r>
    </w:p>
    <w:p w14:paraId="42258A79" w14:textId="353E2B82" w:rsidR="00CC2D72" w:rsidRDefault="00CC2D72">
      <w:pPr>
        <w:spacing w:line="220" w:lineRule="exact"/>
        <w:ind w:left="360"/>
        <w:jc w:val="both"/>
        <w:rPr>
          <w:szCs w:val="26"/>
        </w:rPr>
      </w:pPr>
    </w:p>
    <w:p w14:paraId="2D17F51E" w14:textId="118988AB" w:rsidR="00CC2D72" w:rsidRDefault="00CC2D72">
      <w:pPr>
        <w:spacing w:line="220" w:lineRule="exact"/>
        <w:ind w:left="360"/>
        <w:jc w:val="both"/>
        <w:rPr>
          <w:szCs w:val="26"/>
        </w:rPr>
      </w:pPr>
      <w:r>
        <w:rPr>
          <w:szCs w:val="26"/>
        </w:rPr>
        <w:t xml:space="preserve">Using a consent agenda whereby a public body votes on the entire agenda in a single motion and with a single vote may violate the Open Meetings Act if doing so constructively closes a public meeting, or </w:t>
      </w:r>
      <w:r w:rsidR="00225907">
        <w:rPr>
          <w:szCs w:val="26"/>
        </w:rPr>
        <w:t xml:space="preserve">otherwise </w:t>
      </w:r>
      <w:r>
        <w:rPr>
          <w:szCs w:val="26"/>
        </w:rPr>
        <w:t>acts as a way around the openness requirement of the Act.</w:t>
      </w:r>
      <w:r>
        <w:rPr>
          <w:rStyle w:val="EndnoteReference"/>
          <w:szCs w:val="26"/>
        </w:rPr>
        <w:endnoteReference w:id="1051"/>
      </w:r>
      <w:r>
        <w:rPr>
          <w:szCs w:val="26"/>
        </w:rPr>
        <w:t xml:space="preserve"> </w:t>
      </w:r>
      <w:r w:rsidR="00225907">
        <w:rPr>
          <w:szCs w:val="26"/>
        </w:rPr>
        <w:t xml:space="preserve"> </w:t>
      </w:r>
      <w:r>
        <w:rPr>
          <w:szCs w:val="26"/>
        </w:rPr>
        <w:t>A public body is also prohibited from voting on a consent agenda when the public has no way of knowing all the items th</w:t>
      </w:r>
      <w:r w:rsidR="00225907">
        <w:rPr>
          <w:szCs w:val="26"/>
        </w:rPr>
        <w:t>e</w:t>
      </w:r>
      <w:r>
        <w:rPr>
          <w:szCs w:val="26"/>
        </w:rPr>
        <w:t xml:space="preserve"> consent agenda contains.</w:t>
      </w:r>
      <w:r>
        <w:rPr>
          <w:rStyle w:val="EndnoteReference"/>
          <w:szCs w:val="26"/>
        </w:rPr>
        <w:endnoteReference w:id="1052"/>
      </w:r>
    </w:p>
    <w:p w14:paraId="5BE8851E" w14:textId="77777777" w:rsidR="00E52CBE" w:rsidRDefault="00E52CBE">
      <w:pPr>
        <w:spacing w:line="220" w:lineRule="exact"/>
        <w:ind w:left="360"/>
        <w:jc w:val="both"/>
        <w:rPr>
          <w:szCs w:val="26"/>
        </w:rPr>
      </w:pPr>
    </w:p>
    <w:p w14:paraId="4730660E" w14:textId="2A03723F" w:rsidR="00681BA7" w:rsidRDefault="00681BA7" w:rsidP="00322085">
      <w:pPr>
        <w:pStyle w:val="Heading3"/>
      </w:pPr>
      <w:bookmarkStart w:id="610" w:name="_Toc159851670"/>
      <w:r>
        <w:t>3.</w:t>
      </w:r>
      <w:r>
        <w:tab/>
        <w:t>Right to hear but not to be heard or to disrupt</w:t>
      </w:r>
      <w:bookmarkEnd w:id="610"/>
    </w:p>
    <w:p w14:paraId="26C7F96F" w14:textId="33D1610E" w:rsidR="00681BA7" w:rsidRDefault="001D5448">
      <w:pPr>
        <w:spacing w:line="220" w:lineRule="exact"/>
        <w:ind w:left="360"/>
        <w:jc w:val="both"/>
        <w:rPr>
          <w:szCs w:val="26"/>
        </w:rPr>
      </w:pPr>
      <w:r>
        <w:rPr>
          <w:szCs w:val="26"/>
        </w:rPr>
        <w:t xml:space="preserve">The public must be able to hear </w:t>
      </w:r>
      <w:r w:rsidR="00681BA7">
        <w:rPr>
          <w:szCs w:val="26"/>
        </w:rPr>
        <w:t>meetings of a public body</w:t>
      </w:r>
      <w:r>
        <w:rPr>
          <w:szCs w:val="26"/>
        </w:rPr>
        <w:t>.</w:t>
      </w:r>
      <w:r w:rsidR="00681BA7">
        <w:rPr>
          <w:szCs w:val="26"/>
        </w:rPr>
        <w:t xml:space="preserve"> </w:t>
      </w:r>
      <w:r>
        <w:rPr>
          <w:szCs w:val="26"/>
        </w:rPr>
        <w:t>Thus, one</w:t>
      </w:r>
      <w:r w:rsidR="00681BA7">
        <w:rPr>
          <w:szCs w:val="26"/>
        </w:rPr>
        <w:t xml:space="preserve"> court found that members of a public body who whispered and passed documents among themselves constructively closed that portion of their meeting by intentionally preventing the audience from hearing or knowing the business the body discussed.</w:t>
      </w:r>
      <w:r w:rsidR="00681BA7">
        <w:rPr>
          <w:rStyle w:val="EndnoteReference"/>
        </w:rPr>
        <w:endnoteReference w:id="1053"/>
      </w:r>
      <w:r w:rsidR="00681BA7">
        <w:rPr>
          <w:szCs w:val="26"/>
        </w:rPr>
        <w:t xml:space="preserve">  However, the Open Meetings Act does not provide (or prohibit) attendees th</w:t>
      </w:r>
      <w:r w:rsidR="00D056C1">
        <w:rPr>
          <w:szCs w:val="26"/>
        </w:rPr>
        <w:t>e right to be heard at meetings.  Note that other laws may apply to limit the restrictions the public body can place on the public’s ability to speak during meetings.</w:t>
      </w:r>
      <w:r w:rsidR="00681BA7">
        <w:rPr>
          <w:rStyle w:val="EndnoteReference"/>
        </w:rPr>
        <w:endnoteReference w:id="1054"/>
      </w:r>
      <w:r w:rsidR="00681BA7">
        <w:rPr>
          <w:szCs w:val="26"/>
        </w:rPr>
        <w:t xml:space="preserve">  Further, a disruptive person waives his or her right to attend meetings, and the body may remove that person from the meeting.</w:t>
      </w:r>
      <w:r w:rsidR="00681BA7">
        <w:rPr>
          <w:rStyle w:val="EndnoteReference"/>
        </w:rPr>
        <w:endnoteReference w:id="1055"/>
      </w:r>
    </w:p>
    <w:p w14:paraId="1C54EC25" w14:textId="77777777" w:rsidR="00E52CBE" w:rsidRDefault="00E52CBE">
      <w:pPr>
        <w:spacing w:line="220" w:lineRule="exact"/>
        <w:ind w:left="360"/>
        <w:jc w:val="both"/>
        <w:rPr>
          <w:szCs w:val="26"/>
        </w:rPr>
      </w:pPr>
    </w:p>
    <w:p w14:paraId="60B8E2B3" w14:textId="4D0063EB" w:rsidR="00681BA7" w:rsidRDefault="00681BA7" w:rsidP="00322085">
      <w:pPr>
        <w:pStyle w:val="Heading3"/>
      </w:pPr>
      <w:bookmarkStart w:id="611" w:name="_Toc159851671"/>
      <w:r>
        <w:t>4.</w:t>
      </w:r>
      <w:r>
        <w:tab/>
        <w:t>Audio and video recording</w:t>
      </w:r>
      <w:bookmarkEnd w:id="611"/>
    </w:p>
    <w:p w14:paraId="2FDDE2E4" w14:textId="77777777" w:rsidR="00681BA7" w:rsidRDefault="00681BA7">
      <w:pPr>
        <w:spacing w:line="220" w:lineRule="exact"/>
        <w:ind w:left="360"/>
        <w:jc w:val="both"/>
        <w:rPr>
          <w:szCs w:val="26"/>
        </w:rPr>
      </w:pPr>
      <w:r>
        <w:rPr>
          <w:szCs w:val="26"/>
        </w:rPr>
        <w:t>A public body cannot prohibit the public from audio or video recording a public meeting.</w:t>
      </w:r>
      <w:r>
        <w:rPr>
          <w:rStyle w:val="EndnoteReference"/>
        </w:rPr>
        <w:endnoteReference w:id="1056"/>
      </w:r>
      <w:r>
        <w:rPr>
          <w:szCs w:val="26"/>
        </w:rPr>
        <w:t xml:space="preserve">  A public body may, however, establish reasonable rules regulating the use of recording equipment, such as </w:t>
      </w:r>
      <w:r>
        <w:rPr>
          <w:szCs w:val="26"/>
        </w:rPr>
        <w:lastRenderedPageBreak/>
        <w:t>requiring equipment to be silent, unobtrusive, self-contained, and self-powered to limit interference with the ability of others to hear, see, and participate in the meeting.</w:t>
      </w:r>
      <w:r>
        <w:rPr>
          <w:rStyle w:val="EndnoteReference"/>
        </w:rPr>
        <w:endnoteReference w:id="1057"/>
      </w:r>
    </w:p>
    <w:p w14:paraId="063874CF" w14:textId="77777777" w:rsidR="00E52CBE" w:rsidRDefault="00E52CBE">
      <w:pPr>
        <w:spacing w:line="220" w:lineRule="exact"/>
        <w:ind w:left="360"/>
        <w:jc w:val="both"/>
        <w:rPr>
          <w:szCs w:val="26"/>
        </w:rPr>
      </w:pPr>
    </w:p>
    <w:p w14:paraId="6E5613F3" w14:textId="12EB9EB8" w:rsidR="00681BA7" w:rsidRDefault="00681BA7" w:rsidP="00322085">
      <w:pPr>
        <w:pStyle w:val="Heading3"/>
      </w:pPr>
      <w:bookmarkStart w:id="612" w:name="_Toc159851672"/>
      <w:r>
        <w:t>5.</w:t>
      </w:r>
      <w:r>
        <w:tab/>
        <w:t>Executive sessions</w:t>
      </w:r>
      <w:bookmarkEnd w:id="612"/>
    </w:p>
    <w:p w14:paraId="4834AA53" w14:textId="60B67060" w:rsidR="004B5C85" w:rsidRDefault="001D5448" w:rsidP="00602B77">
      <w:pPr>
        <w:spacing w:line="220" w:lineRule="exact"/>
        <w:ind w:left="360"/>
        <w:jc w:val="both"/>
        <w:rPr>
          <w:szCs w:val="26"/>
        </w:rPr>
      </w:pPr>
      <w:r>
        <w:rPr>
          <w:szCs w:val="26"/>
        </w:rPr>
        <w:t>Executive sessions (discussed below in Chapter Nine)</w:t>
      </w:r>
      <w:r w:rsidR="00681BA7">
        <w:rPr>
          <w:szCs w:val="26"/>
        </w:rPr>
        <w:t xml:space="preserve"> are </w:t>
      </w:r>
      <w:r>
        <w:rPr>
          <w:szCs w:val="26"/>
        </w:rPr>
        <w:t>portions of open meetings from which the public can be excluded. H</w:t>
      </w:r>
      <w:r w:rsidR="00681BA7">
        <w:rPr>
          <w:szCs w:val="26"/>
        </w:rPr>
        <w:t>owever, public bodies may not vote or take official action in an executive session.</w:t>
      </w:r>
      <w:r w:rsidR="00681BA7">
        <w:rPr>
          <w:rStyle w:val="EndnoteReference"/>
        </w:rPr>
        <w:endnoteReference w:id="1058"/>
      </w:r>
    </w:p>
    <w:p w14:paraId="2B56B9D9" w14:textId="5F1A6FE9" w:rsidR="00681BA7" w:rsidRPr="00345637" w:rsidRDefault="00681BA7" w:rsidP="00322085">
      <w:pPr>
        <w:pStyle w:val="Heading2"/>
      </w:pPr>
      <w:bookmarkStart w:id="613" w:name="_Toc159851673"/>
      <w:r w:rsidRPr="00345637">
        <w:t>B.</w:t>
      </w:r>
      <w:r w:rsidRPr="00345637">
        <w:tab/>
        <w:t>Notice</w:t>
      </w:r>
      <w:bookmarkEnd w:id="613"/>
    </w:p>
    <w:p w14:paraId="39247FE4" w14:textId="576DDBE7" w:rsidR="00681BA7" w:rsidRDefault="00681BA7" w:rsidP="001D678F">
      <w:pPr>
        <w:spacing w:line="220" w:lineRule="exact"/>
        <w:ind w:left="360"/>
        <w:jc w:val="both"/>
        <w:rPr>
          <w:szCs w:val="26"/>
        </w:rPr>
      </w:pPr>
      <w:r>
        <w:rPr>
          <w:szCs w:val="26"/>
        </w:rPr>
        <w:t>Every public body must establish, by rule, a reasonable method for notifying the public in advance of its meetings.</w:t>
      </w:r>
      <w:r>
        <w:rPr>
          <w:rStyle w:val="EndnoteReference"/>
        </w:rPr>
        <w:endnoteReference w:id="1059"/>
      </w:r>
      <w:r>
        <w:rPr>
          <w:szCs w:val="26"/>
        </w:rPr>
        <w:t xml:space="preserve">  The public body’s notice rule must provide for “notice that is consistent and actually reaches the public.”</w:t>
      </w:r>
      <w:r>
        <w:rPr>
          <w:rStyle w:val="EndnoteReference"/>
        </w:rPr>
        <w:endnoteReference w:id="1060"/>
      </w:r>
      <w:r>
        <w:rPr>
          <w:szCs w:val="26"/>
        </w:rPr>
        <w:t xml:space="preserve">  The requirements for proper notice vary depending on the type of meeting a public body is conducting, as detailed in this section.</w:t>
      </w:r>
    </w:p>
    <w:p w14:paraId="2E789EF0" w14:textId="77777777" w:rsidR="00602B77" w:rsidRDefault="00602B77" w:rsidP="001D678F">
      <w:pPr>
        <w:spacing w:line="220" w:lineRule="exact"/>
        <w:ind w:left="360"/>
        <w:jc w:val="both"/>
        <w:rPr>
          <w:szCs w:val="26"/>
        </w:rPr>
      </w:pPr>
    </w:p>
    <w:p w14:paraId="484B214C" w14:textId="66541191" w:rsidR="00681BA7" w:rsidRDefault="00681BA7" w:rsidP="00322085">
      <w:pPr>
        <w:pStyle w:val="Heading3"/>
      </w:pPr>
      <w:bookmarkStart w:id="614" w:name="_Toc159851674"/>
      <w:r>
        <w:t>1.</w:t>
      </w:r>
      <w:r>
        <w:tab/>
        <w:t>Types of meetings and notice requirements</w:t>
      </w:r>
      <w:bookmarkEnd w:id="614"/>
    </w:p>
    <w:p w14:paraId="054947CA" w14:textId="18BC62AC" w:rsidR="00681BA7" w:rsidRDefault="00681BA7" w:rsidP="00BD2AE1">
      <w:pPr>
        <w:pStyle w:val="Heading4"/>
      </w:pPr>
      <w:bookmarkStart w:id="615" w:name="_Toc159851675"/>
      <w:r>
        <w:t>a.</w:t>
      </w:r>
      <w:r>
        <w:tab/>
      </w:r>
      <w:r w:rsidR="005A29C8">
        <w:tab/>
      </w:r>
      <w:r>
        <w:t>Regular meetings</w:t>
      </w:r>
      <w:bookmarkEnd w:id="615"/>
    </w:p>
    <w:p w14:paraId="6753C86D" w14:textId="7D795074" w:rsidR="00681BA7" w:rsidRDefault="00681BA7">
      <w:pPr>
        <w:spacing w:line="220" w:lineRule="exact"/>
        <w:ind w:left="360"/>
        <w:jc w:val="both"/>
        <w:rPr>
          <w:szCs w:val="26"/>
        </w:rPr>
      </w:pPr>
      <w:r>
        <w:rPr>
          <w:szCs w:val="26"/>
        </w:rPr>
        <w:t>“Regular meetings” are those held at prescheduled intervals, such as monthly or annual meetings.</w:t>
      </w:r>
      <w:r>
        <w:rPr>
          <w:rStyle w:val="EndnoteReference"/>
        </w:rPr>
        <w:endnoteReference w:id="1061"/>
      </w:r>
      <w:r>
        <w:rPr>
          <w:szCs w:val="26"/>
        </w:rPr>
        <w:t xml:space="preserve">  A public body must establish, by rule, a reasonable method that allows the public to </w:t>
      </w:r>
      <w:r w:rsidR="00802B0C">
        <w:rPr>
          <w:szCs w:val="26"/>
        </w:rPr>
        <w:t>know</w:t>
      </w:r>
      <w:r>
        <w:rPr>
          <w:szCs w:val="26"/>
        </w:rPr>
        <w:t xml:space="preserve"> the </w:t>
      </w:r>
      <w:r>
        <w:rPr>
          <w:i/>
          <w:szCs w:val="26"/>
        </w:rPr>
        <w:t>time</w:t>
      </w:r>
      <w:r>
        <w:rPr>
          <w:szCs w:val="26"/>
        </w:rPr>
        <w:t xml:space="preserve"> and </w:t>
      </w:r>
      <w:r>
        <w:rPr>
          <w:i/>
          <w:szCs w:val="26"/>
        </w:rPr>
        <w:t>place</w:t>
      </w:r>
      <w:r>
        <w:rPr>
          <w:szCs w:val="26"/>
        </w:rPr>
        <w:t xml:space="preserve"> of regular meetings.</w:t>
      </w:r>
      <w:r>
        <w:rPr>
          <w:rStyle w:val="EndnoteReference"/>
        </w:rPr>
        <w:endnoteReference w:id="1062"/>
      </w:r>
    </w:p>
    <w:p w14:paraId="2B78DB0F" w14:textId="77777777" w:rsidR="00E52CBE" w:rsidRDefault="00E52CBE">
      <w:pPr>
        <w:spacing w:line="220" w:lineRule="exact"/>
        <w:ind w:left="360"/>
        <w:jc w:val="both"/>
        <w:rPr>
          <w:szCs w:val="26"/>
        </w:rPr>
      </w:pPr>
    </w:p>
    <w:p w14:paraId="143CF8B5" w14:textId="4B64C18C" w:rsidR="00681BA7" w:rsidRDefault="00681BA7" w:rsidP="00BD2AE1">
      <w:pPr>
        <w:pStyle w:val="Heading4"/>
      </w:pPr>
      <w:bookmarkStart w:id="616" w:name="_Toc159851676"/>
      <w:r>
        <w:t>b.</w:t>
      </w:r>
      <w:r w:rsidR="005A29C8">
        <w:tab/>
      </w:r>
      <w:r>
        <w:tab/>
        <w:t>Special meetings</w:t>
      </w:r>
      <w:bookmarkEnd w:id="616"/>
    </w:p>
    <w:p w14:paraId="021DFBF1" w14:textId="07A16865" w:rsidR="00681BA7" w:rsidRDefault="00681BA7">
      <w:pPr>
        <w:spacing w:line="220" w:lineRule="exact"/>
        <w:ind w:left="360"/>
        <w:jc w:val="both"/>
        <w:rPr>
          <w:szCs w:val="26"/>
        </w:rPr>
      </w:pPr>
      <w:r>
        <w:rPr>
          <w:szCs w:val="26"/>
        </w:rPr>
        <w:t>A “special meeting” is any meeting other than a regular meeting.</w:t>
      </w:r>
      <w:r>
        <w:rPr>
          <w:rStyle w:val="EndnoteReference"/>
        </w:rPr>
        <w:endnoteReference w:id="1063"/>
      </w:r>
      <w:r>
        <w:rPr>
          <w:szCs w:val="26"/>
        </w:rPr>
        <w:t xml:space="preserve">  A public body must establish, by rule, a reasonable method that </w:t>
      </w:r>
      <w:r w:rsidR="00D93D44">
        <w:rPr>
          <w:szCs w:val="26"/>
        </w:rPr>
        <w:t xml:space="preserve">informs </w:t>
      </w:r>
      <w:r>
        <w:rPr>
          <w:szCs w:val="26"/>
        </w:rPr>
        <w:t xml:space="preserve">the public </w:t>
      </w:r>
      <w:r w:rsidR="006B2914">
        <w:rPr>
          <w:szCs w:val="26"/>
        </w:rPr>
        <w:t>of</w:t>
      </w:r>
      <w:r>
        <w:rPr>
          <w:szCs w:val="26"/>
        </w:rPr>
        <w:t xml:space="preserve"> the </w:t>
      </w:r>
      <w:r>
        <w:rPr>
          <w:i/>
          <w:szCs w:val="26"/>
        </w:rPr>
        <w:t>time</w:t>
      </w:r>
      <w:r>
        <w:rPr>
          <w:szCs w:val="26"/>
        </w:rPr>
        <w:t xml:space="preserve">, </w:t>
      </w:r>
      <w:r>
        <w:rPr>
          <w:i/>
          <w:szCs w:val="26"/>
        </w:rPr>
        <w:t>place</w:t>
      </w:r>
      <w:r>
        <w:rPr>
          <w:szCs w:val="26"/>
        </w:rPr>
        <w:t xml:space="preserve">, and </w:t>
      </w:r>
      <w:r>
        <w:rPr>
          <w:i/>
          <w:szCs w:val="26"/>
        </w:rPr>
        <w:t>purpose</w:t>
      </w:r>
      <w:r>
        <w:rPr>
          <w:szCs w:val="26"/>
        </w:rPr>
        <w:t xml:space="preserve"> of special meetings</w:t>
      </w:r>
      <w:r>
        <w:rPr>
          <w:rStyle w:val="EndnoteReference"/>
        </w:rPr>
        <w:endnoteReference w:id="1064"/>
      </w:r>
      <w:r>
        <w:rPr>
          <w:szCs w:val="26"/>
        </w:rPr>
        <w:t xml:space="preserve"> and conforms with the following requirements:</w:t>
      </w:r>
    </w:p>
    <w:p w14:paraId="53570B44" w14:textId="77777777" w:rsidR="00681BA7" w:rsidRDefault="00681BA7">
      <w:pPr>
        <w:spacing w:line="220" w:lineRule="exact"/>
        <w:ind w:left="720"/>
        <w:jc w:val="both"/>
        <w:rPr>
          <w:szCs w:val="26"/>
        </w:rPr>
      </w:pPr>
    </w:p>
    <w:p w14:paraId="4D580AD1" w14:textId="3B69F271" w:rsidR="00681BA7" w:rsidRDefault="00B71771" w:rsidP="002B2C2E">
      <w:pPr>
        <w:numPr>
          <w:ilvl w:val="0"/>
          <w:numId w:val="17"/>
        </w:numPr>
        <w:spacing w:after="120" w:line="220" w:lineRule="exact"/>
        <w:ind w:left="1440"/>
        <w:jc w:val="both"/>
        <w:rPr>
          <w:szCs w:val="26"/>
        </w:rPr>
      </w:pPr>
      <w:r>
        <w:rPr>
          <w:szCs w:val="26"/>
        </w:rPr>
        <w:t>A p</w:t>
      </w:r>
      <w:r w:rsidR="00681BA7">
        <w:rPr>
          <w:szCs w:val="26"/>
        </w:rPr>
        <w:t>ublic bo</w:t>
      </w:r>
      <w:r>
        <w:rPr>
          <w:szCs w:val="26"/>
        </w:rPr>
        <w:t>dy</w:t>
      </w:r>
      <w:r w:rsidR="00681BA7">
        <w:rPr>
          <w:szCs w:val="26"/>
        </w:rPr>
        <w:t xml:space="preserve"> must provide at least 24-hours advance notification of </w:t>
      </w:r>
      <w:r>
        <w:rPr>
          <w:szCs w:val="26"/>
        </w:rPr>
        <w:t xml:space="preserve">a </w:t>
      </w:r>
      <w:r w:rsidR="00681BA7">
        <w:rPr>
          <w:szCs w:val="26"/>
        </w:rPr>
        <w:t>special meeting to all media outlets that have requested such notification,</w:t>
      </w:r>
      <w:r w:rsidR="00681BA7">
        <w:rPr>
          <w:rStyle w:val="EndnoteReference"/>
        </w:rPr>
        <w:endnoteReference w:id="1065"/>
      </w:r>
      <w:r w:rsidR="00681BA7">
        <w:rPr>
          <w:szCs w:val="26"/>
        </w:rPr>
        <w:t xml:space="preserve"> except in the event of an emergency requiring immediate official action (see “</w:t>
      </w:r>
      <w:r w:rsidR="00802B0C">
        <w:rPr>
          <w:szCs w:val="26"/>
        </w:rPr>
        <w:t>E</w:t>
      </w:r>
      <w:r w:rsidR="00681BA7">
        <w:rPr>
          <w:szCs w:val="26"/>
        </w:rPr>
        <w:t>mergency meetings,” below).</w:t>
      </w:r>
    </w:p>
    <w:p w14:paraId="45A3DFF9" w14:textId="10C47B8A" w:rsidR="00681BA7" w:rsidRDefault="00681BA7" w:rsidP="002B2C2E">
      <w:pPr>
        <w:numPr>
          <w:ilvl w:val="0"/>
          <w:numId w:val="17"/>
        </w:numPr>
        <w:spacing w:line="220" w:lineRule="exact"/>
        <w:ind w:left="1440"/>
        <w:jc w:val="both"/>
        <w:rPr>
          <w:szCs w:val="26"/>
        </w:rPr>
      </w:pPr>
      <w:r>
        <w:rPr>
          <w:szCs w:val="26"/>
        </w:rPr>
        <w:t xml:space="preserve">When a public body holds a special meeting to discuss particular issues, the statement of the meeting’s purpose must specifically indicate those issues, and the public body </w:t>
      </w:r>
      <w:r w:rsidR="00802B0C">
        <w:rPr>
          <w:szCs w:val="26"/>
        </w:rPr>
        <w:t>can</w:t>
      </w:r>
      <w:r>
        <w:rPr>
          <w:szCs w:val="26"/>
        </w:rPr>
        <w:t xml:space="preserve"> only discuss those specified issues at that meeting.</w:t>
      </w:r>
      <w:r>
        <w:rPr>
          <w:rStyle w:val="EndnoteReference"/>
        </w:rPr>
        <w:endnoteReference w:id="1066"/>
      </w:r>
      <w:r>
        <w:rPr>
          <w:szCs w:val="26"/>
        </w:rPr>
        <w:t xml:space="preserve">  When a special meeting is simply a rescheduled “regular” meeting occurring at a different time, the statement of the meeting’s purpose may be for “general purposes.”</w:t>
      </w:r>
      <w:r>
        <w:rPr>
          <w:rStyle w:val="EndnoteReference"/>
        </w:rPr>
        <w:endnoteReference w:id="1067"/>
      </w:r>
      <w:r>
        <w:rPr>
          <w:szCs w:val="26"/>
        </w:rPr>
        <w:t xml:space="preserve">  Discussing matters at a special meeting that were not disclosed in the notice of purpose, either in open session or executive session, is a violation of the Open Meetings Act.</w:t>
      </w:r>
      <w:r>
        <w:rPr>
          <w:rStyle w:val="EndnoteReference"/>
        </w:rPr>
        <w:endnoteReference w:id="1068"/>
      </w:r>
    </w:p>
    <w:p w14:paraId="08C137B4" w14:textId="77777777" w:rsidR="00E52CBE" w:rsidRDefault="00E52CBE" w:rsidP="00E52CBE">
      <w:pPr>
        <w:spacing w:line="220" w:lineRule="exact"/>
        <w:ind w:left="1440"/>
        <w:jc w:val="both"/>
        <w:rPr>
          <w:szCs w:val="26"/>
        </w:rPr>
      </w:pPr>
    </w:p>
    <w:p w14:paraId="3AD42A73" w14:textId="12A9ED5D" w:rsidR="00681BA7" w:rsidRDefault="00681BA7" w:rsidP="00BD2AE1">
      <w:pPr>
        <w:pStyle w:val="Heading4"/>
      </w:pPr>
      <w:bookmarkStart w:id="617" w:name="_Toc159851677"/>
      <w:r>
        <w:t>c.</w:t>
      </w:r>
      <w:r>
        <w:tab/>
      </w:r>
      <w:r w:rsidR="005A29C8">
        <w:tab/>
      </w:r>
      <w:r>
        <w:t>Emergency meetings</w:t>
      </w:r>
      <w:bookmarkEnd w:id="617"/>
    </w:p>
    <w:p w14:paraId="786D5331" w14:textId="77777777" w:rsidR="00681BA7" w:rsidRDefault="00681BA7">
      <w:pPr>
        <w:spacing w:line="220" w:lineRule="exact"/>
        <w:ind w:left="360"/>
        <w:jc w:val="both"/>
        <w:rPr>
          <w:szCs w:val="26"/>
        </w:rPr>
      </w:pPr>
      <w:r>
        <w:rPr>
          <w:szCs w:val="26"/>
        </w:rPr>
        <w:t>An emergency meeting is a type of special meeting that a public body convenes when a situation requires immediate official action.</w:t>
      </w:r>
      <w:r>
        <w:rPr>
          <w:rStyle w:val="EndnoteReference"/>
        </w:rPr>
        <w:endnoteReference w:id="1069"/>
      </w:r>
      <w:r>
        <w:rPr>
          <w:szCs w:val="26"/>
        </w:rPr>
        <w:t xml:space="preserve">  Rather than the 24-hours advance notice usually required, a public body scheduling an emergency meeting must </w:t>
      </w:r>
      <w:r w:rsidRPr="006B2914">
        <w:rPr>
          <w:i/>
          <w:szCs w:val="26"/>
        </w:rPr>
        <w:t xml:space="preserve">immediately </w:t>
      </w:r>
      <w:r>
        <w:rPr>
          <w:szCs w:val="26"/>
        </w:rPr>
        <w:t>notify all media outlets that have specifically requested such notice of the time, place, and purpose of the emergency meeting.</w:t>
      </w:r>
      <w:r>
        <w:rPr>
          <w:rStyle w:val="EndnoteReference"/>
        </w:rPr>
        <w:endnoteReference w:id="1070"/>
      </w:r>
      <w:r>
        <w:rPr>
          <w:szCs w:val="26"/>
        </w:rPr>
        <w:t xml:space="preserve">  The purpose statement must comport with the specificity requirements discussed above.</w:t>
      </w:r>
    </w:p>
    <w:p w14:paraId="45B6C86D" w14:textId="77777777" w:rsidR="00E52CBE" w:rsidRDefault="00E52CBE">
      <w:pPr>
        <w:spacing w:line="220" w:lineRule="exact"/>
        <w:ind w:left="360"/>
        <w:jc w:val="both"/>
        <w:rPr>
          <w:szCs w:val="26"/>
        </w:rPr>
      </w:pPr>
    </w:p>
    <w:p w14:paraId="4EEA61FA" w14:textId="10BD9D2C" w:rsidR="00E52CBE" w:rsidRPr="00E52CBE" w:rsidRDefault="00681BA7" w:rsidP="00E52CBE">
      <w:pPr>
        <w:pStyle w:val="Heading3"/>
      </w:pPr>
      <w:bookmarkStart w:id="618" w:name="_Toc159851678"/>
      <w:r>
        <w:t>2.</w:t>
      </w:r>
      <w:r>
        <w:tab/>
        <w:t xml:space="preserve">Rules </w:t>
      </w:r>
      <w:r w:rsidR="000D6299">
        <w:t>for giving notice</w:t>
      </w:r>
      <w:bookmarkEnd w:id="618"/>
    </w:p>
    <w:p w14:paraId="68BB2279" w14:textId="50507281" w:rsidR="00802B0C" w:rsidRDefault="00681BA7">
      <w:pPr>
        <w:spacing w:line="220" w:lineRule="exact"/>
        <w:ind w:left="360"/>
        <w:jc w:val="both"/>
        <w:rPr>
          <w:szCs w:val="26"/>
        </w:rPr>
      </w:pPr>
      <w:r>
        <w:rPr>
          <w:szCs w:val="26"/>
        </w:rPr>
        <w:t xml:space="preserve">The Open Meetings Act requires every public body to adopt rules establishing reasonable methods </w:t>
      </w:r>
      <w:r w:rsidR="000D6299">
        <w:rPr>
          <w:szCs w:val="26"/>
        </w:rPr>
        <w:t>to notify the public of</w:t>
      </w:r>
      <w:r>
        <w:rPr>
          <w:szCs w:val="26"/>
        </w:rPr>
        <w:t xml:space="preserve"> the time and place of all regularly scheduled meetings, and the time, place, and purpose of all special meetings.</w:t>
      </w:r>
      <w:r>
        <w:rPr>
          <w:rStyle w:val="EndnoteReference"/>
        </w:rPr>
        <w:endnoteReference w:id="1071"/>
      </w:r>
      <w:r>
        <w:rPr>
          <w:szCs w:val="26"/>
        </w:rPr>
        <w:t xml:space="preserve">  </w:t>
      </w:r>
      <w:r w:rsidR="00802B0C">
        <w:rPr>
          <w:szCs w:val="26"/>
        </w:rPr>
        <w:t xml:space="preserve">A parent public body may impose its own notice rules on a subordinate committee. </w:t>
      </w:r>
      <w:r w:rsidR="00802B0C">
        <w:rPr>
          <w:rStyle w:val="EndnoteReference"/>
          <w:szCs w:val="26"/>
        </w:rPr>
        <w:endnoteReference w:id="1072"/>
      </w:r>
    </w:p>
    <w:p w14:paraId="50431E72" w14:textId="77777777" w:rsidR="00802B0C" w:rsidRDefault="00802B0C">
      <w:pPr>
        <w:spacing w:line="220" w:lineRule="exact"/>
        <w:ind w:left="360"/>
        <w:jc w:val="both"/>
        <w:rPr>
          <w:szCs w:val="26"/>
        </w:rPr>
      </w:pPr>
    </w:p>
    <w:p w14:paraId="28059675" w14:textId="110CE1F3" w:rsidR="00681BA7" w:rsidRDefault="00681BA7">
      <w:pPr>
        <w:spacing w:line="220" w:lineRule="exact"/>
        <w:ind w:left="360"/>
        <w:jc w:val="both"/>
        <w:rPr>
          <w:szCs w:val="26"/>
        </w:rPr>
      </w:pPr>
      <w:r>
        <w:rPr>
          <w:szCs w:val="26"/>
        </w:rPr>
        <w:t>Those rules must include a provision for any person, upon request and payment of a reasonable fee, to obtain reasonable advance notification of all meetings at which any specific type of public business is to be discussed.</w:t>
      </w:r>
      <w:r>
        <w:rPr>
          <w:rStyle w:val="EndnoteReference"/>
        </w:rPr>
        <w:endnoteReference w:id="1073"/>
      </w:r>
      <w:r>
        <w:rPr>
          <w:szCs w:val="26"/>
        </w:rPr>
        <w:t xml:space="preserve">  The statute s</w:t>
      </w:r>
      <w:r w:rsidR="00802B0C">
        <w:rPr>
          <w:szCs w:val="26"/>
        </w:rPr>
        <w:t>ays</w:t>
      </w:r>
      <w:r>
        <w:rPr>
          <w:szCs w:val="26"/>
        </w:rPr>
        <w:t xml:space="preserve"> that provisions for advance notification may include mailing the agenda of meetings to all subscribers on a mailing list or mailing notices in self-addressed, stamped envelopes provided by the person requesting notice.</w:t>
      </w:r>
      <w:r>
        <w:rPr>
          <w:rStyle w:val="EndnoteReference"/>
        </w:rPr>
        <w:endnoteReference w:id="1074"/>
      </w:r>
    </w:p>
    <w:p w14:paraId="2D9DCF3A" w14:textId="77777777" w:rsidR="00E52CBE" w:rsidRDefault="00E52CBE">
      <w:pPr>
        <w:spacing w:line="220" w:lineRule="exact"/>
        <w:ind w:left="360"/>
        <w:jc w:val="both"/>
        <w:rPr>
          <w:szCs w:val="26"/>
        </w:rPr>
      </w:pPr>
    </w:p>
    <w:p w14:paraId="7969C597" w14:textId="24D9792F" w:rsidR="00681BA7" w:rsidRDefault="00681BA7" w:rsidP="00322085">
      <w:pPr>
        <w:pStyle w:val="Heading3"/>
      </w:pPr>
      <w:bookmarkStart w:id="619" w:name="_Toc159851679"/>
      <w:r>
        <w:t>3.</w:t>
      </w:r>
      <w:r>
        <w:tab/>
        <w:t>Notice by publication</w:t>
      </w:r>
      <w:bookmarkEnd w:id="619"/>
    </w:p>
    <w:p w14:paraId="69CE2FCF" w14:textId="77777777" w:rsidR="00681BA7" w:rsidRDefault="00681BA7">
      <w:pPr>
        <w:spacing w:line="220" w:lineRule="exact"/>
        <w:ind w:left="360"/>
        <w:jc w:val="both"/>
        <w:rPr>
          <w:szCs w:val="26"/>
        </w:rPr>
      </w:pPr>
      <w:r>
        <w:rPr>
          <w:szCs w:val="26"/>
        </w:rPr>
        <w:t>Courts have found that publication of meeting information in a newspaper is one reasonable method of noticing the public of its meetings.</w:t>
      </w:r>
      <w:r>
        <w:rPr>
          <w:rStyle w:val="EndnoteReference"/>
        </w:rPr>
        <w:endnoteReference w:id="1075"/>
      </w:r>
      <w:r>
        <w:rPr>
          <w:szCs w:val="26"/>
        </w:rPr>
        <w:t xml:space="preserve">  This method, however, does not satisfy the notice requirement if the public body does not have a rule providing for it or if the newspaper has discretion not to publish the information.</w:t>
      </w:r>
      <w:r>
        <w:rPr>
          <w:rStyle w:val="EndnoteReference"/>
        </w:rPr>
        <w:endnoteReference w:id="1076"/>
      </w:r>
      <w:r>
        <w:rPr>
          <w:szCs w:val="26"/>
        </w:rPr>
        <w:t xml:space="preserve">  Courts have addressed situations in which the media misprints meeting information and have not found a violation of the notice requirement.</w:t>
      </w:r>
      <w:r>
        <w:rPr>
          <w:rStyle w:val="EndnoteReference"/>
        </w:rPr>
        <w:endnoteReference w:id="1077"/>
      </w:r>
      <w:r>
        <w:rPr>
          <w:szCs w:val="26"/>
        </w:rPr>
        <w:t xml:space="preserve">  Many public bodies that adopt some other means of notice by rule also notify their local media of all regular, special, and emergency meetings as a courtesy.</w:t>
      </w:r>
    </w:p>
    <w:p w14:paraId="260CFF14" w14:textId="3D96D1C4" w:rsidR="00681BA7" w:rsidRPr="00345637" w:rsidRDefault="00681BA7" w:rsidP="00322085">
      <w:pPr>
        <w:pStyle w:val="Heading2"/>
      </w:pPr>
      <w:bookmarkStart w:id="620" w:name="_Toc159851680"/>
      <w:r w:rsidRPr="00345637">
        <w:t>C.</w:t>
      </w:r>
      <w:r w:rsidRPr="00345637">
        <w:tab/>
        <w:t>Minutes</w:t>
      </w:r>
      <w:bookmarkEnd w:id="620"/>
    </w:p>
    <w:p w14:paraId="5BA264CD" w14:textId="1FE51AF2" w:rsidR="00681BA7" w:rsidRDefault="00681BA7" w:rsidP="00322085">
      <w:pPr>
        <w:pStyle w:val="Heading3"/>
      </w:pPr>
      <w:bookmarkStart w:id="621" w:name="_Toc159851681"/>
      <w:r>
        <w:t>1.</w:t>
      </w:r>
      <w:r>
        <w:tab/>
        <w:t>Content of minutes</w:t>
      </w:r>
      <w:bookmarkEnd w:id="621"/>
    </w:p>
    <w:p w14:paraId="0001F1B4" w14:textId="5F426E0B" w:rsidR="00681BA7" w:rsidRDefault="00681BA7">
      <w:pPr>
        <w:spacing w:line="220" w:lineRule="exact"/>
        <w:ind w:left="360"/>
        <w:jc w:val="both"/>
        <w:rPr>
          <w:szCs w:val="26"/>
        </w:rPr>
      </w:pPr>
      <w:r>
        <w:rPr>
          <w:szCs w:val="26"/>
        </w:rPr>
        <w:t>A public body must keep full and accurate minutes of its meetings.</w:t>
      </w:r>
      <w:r>
        <w:rPr>
          <w:rStyle w:val="EndnoteReference"/>
        </w:rPr>
        <w:endnoteReference w:id="1078"/>
      </w:r>
      <w:r>
        <w:rPr>
          <w:szCs w:val="26"/>
        </w:rPr>
        <w:t xml:space="preserve">  </w:t>
      </w:r>
      <w:r w:rsidR="00802B0C">
        <w:rPr>
          <w:szCs w:val="26"/>
        </w:rPr>
        <w:t>M</w:t>
      </w:r>
      <w:r>
        <w:rPr>
          <w:szCs w:val="26"/>
        </w:rPr>
        <w:t xml:space="preserve">inutes </w:t>
      </w:r>
      <w:r w:rsidR="00802B0C">
        <w:rPr>
          <w:szCs w:val="26"/>
        </w:rPr>
        <w:t>do</w:t>
      </w:r>
      <w:r>
        <w:rPr>
          <w:szCs w:val="26"/>
        </w:rPr>
        <w:t xml:space="preserve"> not </w:t>
      </w:r>
      <w:r w:rsidR="00802B0C">
        <w:rPr>
          <w:szCs w:val="26"/>
        </w:rPr>
        <w:t xml:space="preserve">have </w:t>
      </w:r>
      <w:r>
        <w:rPr>
          <w:szCs w:val="26"/>
        </w:rPr>
        <w:t xml:space="preserve">to be a verbatim transcript of the proceedings, but must include enough facts and information </w:t>
      </w:r>
      <w:r w:rsidR="00802B0C">
        <w:rPr>
          <w:szCs w:val="26"/>
        </w:rPr>
        <w:t>for</w:t>
      </w:r>
      <w:r>
        <w:rPr>
          <w:szCs w:val="26"/>
        </w:rPr>
        <w:t xml:space="preserve"> the public to understand and appreciate the </w:t>
      </w:r>
      <w:r w:rsidRPr="00E86790">
        <w:rPr>
          <w:i/>
          <w:iCs/>
          <w:szCs w:val="26"/>
        </w:rPr>
        <w:t>rationale</w:t>
      </w:r>
      <w:r>
        <w:rPr>
          <w:szCs w:val="26"/>
        </w:rPr>
        <w:t xml:space="preserve"> behind the public body’s decisions.</w:t>
      </w:r>
      <w:r>
        <w:rPr>
          <w:rStyle w:val="EndnoteReference"/>
        </w:rPr>
        <w:endnoteReference w:id="1079"/>
      </w:r>
      <w:r>
        <w:rPr>
          <w:szCs w:val="26"/>
        </w:rPr>
        <w:t xml:space="preserve">  Th</w:t>
      </w:r>
      <w:r w:rsidR="00802B0C">
        <w:rPr>
          <w:szCs w:val="26"/>
        </w:rPr>
        <w:t>us,</w:t>
      </w:r>
      <w:r>
        <w:rPr>
          <w:szCs w:val="26"/>
        </w:rPr>
        <w:t xml:space="preserve"> minutes must include more than a record of roll call votes</w:t>
      </w:r>
      <w:r w:rsidR="00802B0C">
        <w:rPr>
          <w:szCs w:val="26"/>
        </w:rPr>
        <w:t>.</w:t>
      </w:r>
      <w:r w:rsidR="00802B0C">
        <w:rPr>
          <w:rStyle w:val="EndnoteReference"/>
          <w:szCs w:val="26"/>
        </w:rPr>
        <w:endnoteReference w:id="1080"/>
      </w:r>
      <w:r>
        <w:rPr>
          <w:szCs w:val="26"/>
        </w:rPr>
        <w:t xml:space="preserve">  </w:t>
      </w:r>
      <w:r w:rsidR="00802B0C">
        <w:rPr>
          <w:szCs w:val="26"/>
        </w:rPr>
        <w:t>However, minutes may be sufficient even if information such as the date of the meeting is  missing.</w:t>
      </w:r>
      <w:r w:rsidR="00802B0C">
        <w:rPr>
          <w:rStyle w:val="EndnoteReference"/>
          <w:szCs w:val="26"/>
        </w:rPr>
        <w:endnoteReference w:id="1081"/>
      </w:r>
      <w:r w:rsidR="00200F56">
        <w:rPr>
          <w:szCs w:val="26"/>
        </w:rPr>
        <w:t xml:space="preserve"> Minutes are inadequate when they contain inaccuracies that are not corrected. </w:t>
      </w:r>
      <w:r w:rsidR="00200F56">
        <w:rPr>
          <w:rStyle w:val="EndnoteReference"/>
          <w:szCs w:val="26"/>
        </w:rPr>
        <w:endnoteReference w:id="1082"/>
      </w:r>
      <w:r>
        <w:rPr>
          <w:szCs w:val="26"/>
        </w:rPr>
        <w:t>A public body cannot rely on sources other than their approved minutes to argue that their minutes contain a full and accurate record of their proceedings.</w:t>
      </w:r>
      <w:r>
        <w:rPr>
          <w:rStyle w:val="EndnoteReference"/>
        </w:rPr>
        <w:endnoteReference w:id="1083"/>
      </w:r>
    </w:p>
    <w:p w14:paraId="65A24913" w14:textId="77777777" w:rsidR="00681BA7" w:rsidRDefault="00681BA7">
      <w:pPr>
        <w:spacing w:line="220" w:lineRule="exact"/>
        <w:ind w:left="360"/>
        <w:jc w:val="both"/>
        <w:rPr>
          <w:szCs w:val="26"/>
        </w:rPr>
      </w:pPr>
    </w:p>
    <w:p w14:paraId="1DDA5112" w14:textId="7571F3C9" w:rsidR="00681BA7" w:rsidRDefault="00681BA7">
      <w:pPr>
        <w:spacing w:line="220" w:lineRule="exact"/>
        <w:ind w:left="360"/>
        <w:jc w:val="both"/>
        <w:rPr>
          <w:szCs w:val="26"/>
        </w:rPr>
      </w:pPr>
      <w:r>
        <w:rPr>
          <w:szCs w:val="26"/>
        </w:rPr>
        <w:t xml:space="preserve">Because executive sessions are not open to the public, the meeting minutes need to reflect only the general subject matter of the executive session via the motion to convene the session for a permissible purpose or purposes (see “Executive Session,” discussed later in Chapter </w:t>
      </w:r>
      <w:r w:rsidR="00F178B5">
        <w:rPr>
          <w:szCs w:val="26"/>
        </w:rPr>
        <w:t>Ten</w:t>
      </w:r>
      <w:r>
        <w:rPr>
          <w:szCs w:val="26"/>
        </w:rPr>
        <w:t>).</w:t>
      </w:r>
      <w:r>
        <w:rPr>
          <w:rStyle w:val="EndnoteReference"/>
        </w:rPr>
        <w:endnoteReference w:id="1084"/>
      </w:r>
      <w:r>
        <w:rPr>
          <w:szCs w:val="26"/>
        </w:rPr>
        <w:t xml:space="preserve">  Including details of members’ pre-vote discussion following an executive session may prove helpful, though.  At least one court found that the lack of pre-vote comments reflected by the minutes supported the conclusion that the public body’s discussion of the pros and cons of the matter at issue must have improperly occurred during executive session.</w:t>
      </w:r>
      <w:r>
        <w:rPr>
          <w:rStyle w:val="EndnoteReference"/>
        </w:rPr>
        <w:endnoteReference w:id="1085"/>
      </w:r>
    </w:p>
    <w:p w14:paraId="64E7F34A" w14:textId="77777777" w:rsidR="00E52CBE" w:rsidRDefault="00E52CBE">
      <w:pPr>
        <w:spacing w:line="220" w:lineRule="exact"/>
        <w:ind w:left="360"/>
        <w:jc w:val="both"/>
        <w:rPr>
          <w:szCs w:val="26"/>
        </w:rPr>
      </w:pPr>
    </w:p>
    <w:p w14:paraId="5B64E7D8" w14:textId="6C4D10B3" w:rsidR="00681BA7" w:rsidRDefault="00681BA7" w:rsidP="00322085">
      <w:pPr>
        <w:pStyle w:val="Heading3"/>
      </w:pPr>
      <w:bookmarkStart w:id="622" w:name="_Toc159851682"/>
      <w:r>
        <w:t>2.</w:t>
      </w:r>
      <w:r>
        <w:tab/>
        <w:t>Making minutes available “promptly” as a public record</w:t>
      </w:r>
      <w:bookmarkEnd w:id="622"/>
    </w:p>
    <w:p w14:paraId="491F2E2C" w14:textId="101AA608" w:rsidR="00681BA7" w:rsidRDefault="00681BA7">
      <w:pPr>
        <w:spacing w:line="220" w:lineRule="exact"/>
        <w:ind w:left="360"/>
        <w:jc w:val="both"/>
        <w:rPr>
          <w:szCs w:val="26"/>
        </w:rPr>
      </w:pPr>
      <w:r>
        <w:rPr>
          <w:szCs w:val="26"/>
        </w:rPr>
        <w:t>A public body must promptly prepare, file, and make its minutes</w:t>
      </w:r>
      <w:r w:rsidR="00200F56">
        <w:rPr>
          <w:szCs w:val="26"/>
        </w:rPr>
        <w:t xml:space="preserve"> available</w:t>
      </w:r>
      <w:r>
        <w:rPr>
          <w:szCs w:val="26"/>
        </w:rPr>
        <w:t xml:space="preserve"> for public inspection.</w:t>
      </w:r>
      <w:r>
        <w:rPr>
          <w:rStyle w:val="EndnoteReference"/>
        </w:rPr>
        <w:endnoteReference w:id="1086"/>
      </w:r>
      <w:r>
        <w:rPr>
          <w:szCs w:val="26"/>
        </w:rPr>
        <w:t xml:space="preserve">  The term “promptly” is not defined.  One court has adopted the definition applied by courts to the Public Records Act (without delay and with reasonable speed, depending on the facts of each case), to define that term in the Open Meetings Act.</w:t>
      </w:r>
      <w:r>
        <w:rPr>
          <w:rStyle w:val="EndnoteReference"/>
        </w:rPr>
        <w:endnoteReference w:id="1087"/>
      </w:r>
      <w:r>
        <w:rPr>
          <w:szCs w:val="26"/>
        </w:rPr>
        <w:t xml:space="preserve">  The final version of the official minutes approved by members of the public body is a public record.</w:t>
      </w:r>
      <w:r>
        <w:rPr>
          <w:rStyle w:val="EndnoteReference"/>
        </w:rPr>
        <w:endnoteReference w:id="1088"/>
      </w:r>
      <w:r>
        <w:rPr>
          <w:szCs w:val="26"/>
        </w:rPr>
        <w:t xml:space="preserve">  Note that a draft version of the meeting minutes that the public body circulates for approval,</w:t>
      </w:r>
      <w:r>
        <w:rPr>
          <w:rStyle w:val="EndnoteReference"/>
        </w:rPr>
        <w:endnoteReference w:id="1089"/>
      </w:r>
      <w:r>
        <w:rPr>
          <w:szCs w:val="26"/>
        </w:rPr>
        <w:t xml:space="preserve"> as well as the clerk’s handwritten notes used to draft minutes,</w:t>
      </w:r>
      <w:r>
        <w:rPr>
          <w:rStyle w:val="EndnoteReference"/>
        </w:rPr>
        <w:endnoteReference w:id="1090"/>
      </w:r>
      <w:r>
        <w:rPr>
          <w:szCs w:val="26"/>
        </w:rPr>
        <w:t xml:space="preserve"> may also be public records.</w:t>
      </w:r>
    </w:p>
    <w:p w14:paraId="5145BF15" w14:textId="77777777" w:rsidR="00E52CBE" w:rsidRDefault="00E52CBE">
      <w:pPr>
        <w:spacing w:line="220" w:lineRule="exact"/>
        <w:ind w:left="360"/>
        <w:jc w:val="both"/>
        <w:rPr>
          <w:szCs w:val="26"/>
        </w:rPr>
      </w:pPr>
    </w:p>
    <w:p w14:paraId="4C3B2C9E" w14:textId="11AB3561" w:rsidR="00681BA7" w:rsidRDefault="00681BA7" w:rsidP="00322085">
      <w:pPr>
        <w:pStyle w:val="Heading3"/>
      </w:pPr>
      <w:bookmarkStart w:id="623" w:name="_Toc159851683"/>
      <w:r>
        <w:t>3.</w:t>
      </w:r>
      <w:r>
        <w:tab/>
        <w:t>Medium on which minutes are kept</w:t>
      </w:r>
      <w:bookmarkEnd w:id="623"/>
    </w:p>
    <w:p w14:paraId="152B930D" w14:textId="79842368" w:rsidR="00681BA7" w:rsidRDefault="00681BA7">
      <w:pPr>
        <w:spacing w:line="220" w:lineRule="exact"/>
        <w:ind w:left="360"/>
        <w:jc w:val="both"/>
        <w:rPr>
          <w:szCs w:val="26"/>
        </w:rPr>
      </w:pPr>
      <w:r>
        <w:rPr>
          <w:szCs w:val="26"/>
        </w:rPr>
        <w:t xml:space="preserve">Because neither the Open Meetings Act nor the Public Records Act addresses the medium on which a public body must keep the official meeting minutes, a public body may make this </w:t>
      </w:r>
      <w:r w:rsidR="00200F56">
        <w:rPr>
          <w:szCs w:val="26"/>
        </w:rPr>
        <w:t xml:space="preserve">decision </w:t>
      </w:r>
      <w:r>
        <w:rPr>
          <w:szCs w:val="26"/>
        </w:rPr>
        <w:t>itself.  Some public bodies document that choice by adopting a formal rule or by passing a resolution or motion at a meeting.</w:t>
      </w:r>
      <w:r>
        <w:rPr>
          <w:rStyle w:val="EndnoteReference"/>
        </w:rPr>
        <w:endnoteReference w:id="1091"/>
      </w:r>
      <w:r>
        <w:rPr>
          <w:szCs w:val="26"/>
        </w:rPr>
        <w:t xml:space="preserve">  Many public bodies make a contemporaneous audio recording of the meeting to use as a back-up in preparing written official minutes.  The Ohio Attorney General has </w:t>
      </w:r>
      <w:r>
        <w:rPr>
          <w:szCs w:val="26"/>
        </w:rPr>
        <w:lastRenderedPageBreak/>
        <w:t>opined that such a recording constitutes a public record that the public body must make available for inspection upon request.</w:t>
      </w:r>
      <w:r>
        <w:rPr>
          <w:rStyle w:val="EndnoteReference"/>
        </w:rPr>
        <w:endnoteReference w:id="1092"/>
      </w:r>
    </w:p>
    <w:p w14:paraId="43B5118B" w14:textId="3E3662B7" w:rsidR="00681BA7" w:rsidRPr="00345637" w:rsidRDefault="00681BA7" w:rsidP="00322085">
      <w:pPr>
        <w:pStyle w:val="Heading2"/>
      </w:pPr>
      <w:bookmarkStart w:id="624" w:name="_Toc159851684"/>
      <w:r w:rsidRPr="00345637">
        <w:t>D.</w:t>
      </w:r>
      <w:r w:rsidRPr="00345637">
        <w:tab/>
        <w:t>Modified Duties of Public Bodies under Special Circumstances</w:t>
      </w:r>
      <w:bookmarkEnd w:id="624"/>
    </w:p>
    <w:p w14:paraId="146EE7B4" w14:textId="3BCCEDCF" w:rsidR="00681BA7" w:rsidRDefault="00681BA7" w:rsidP="00322085">
      <w:pPr>
        <w:pStyle w:val="Heading3"/>
      </w:pPr>
      <w:bookmarkStart w:id="625" w:name="_Toc159851685"/>
      <w:r w:rsidRPr="00257DA2">
        <w:t>1.</w:t>
      </w:r>
      <w:r w:rsidRPr="00257DA2">
        <w:tab/>
        <w:t>Declared emergency</w:t>
      </w:r>
      <w:bookmarkEnd w:id="625"/>
    </w:p>
    <w:p w14:paraId="05AC8883" w14:textId="3FAF2EF8" w:rsidR="000D6299" w:rsidRDefault="00681BA7" w:rsidP="00FD27DC">
      <w:pPr>
        <w:spacing w:line="220" w:lineRule="exact"/>
        <w:ind w:left="360"/>
        <w:jc w:val="both"/>
        <w:rPr>
          <w:szCs w:val="26"/>
        </w:rPr>
      </w:pPr>
      <w:r>
        <w:rPr>
          <w:szCs w:val="26"/>
        </w:rPr>
        <w:t>During a declared emergency,</w:t>
      </w:r>
      <w:r w:rsidR="00FD27DC">
        <w:rPr>
          <w:rStyle w:val="EndnoteReference"/>
        </w:rPr>
        <w:endnoteReference w:id="1093"/>
      </w:r>
      <w:r>
        <w:rPr>
          <w:szCs w:val="26"/>
        </w:rPr>
        <w:t xml:space="preserve"> R.C. 5502.24(B) provides a limited exemption to fulfilling the requirements of the Open Meetings Act.  If, due to a declared emergency, it becomes “imprudent, inexpedient, or impossible to conduct the affairs of local government at the regular or usual place,” the governing body may meet at an alternate site previously designated (by ordinance, resolution, or other manner) as the emergency location of government.</w:t>
      </w:r>
      <w:r>
        <w:rPr>
          <w:rStyle w:val="EndnoteReference"/>
        </w:rPr>
        <w:endnoteReference w:id="1094"/>
      </w:r>
      <w:r>
        <w:rPr>
          <w:szCs w:val="26"/>
        </w:rPr>
        <w:t xml:space="preserve">  Further, the public body may exercise its powers and functions in light of the exigencies of the emergency without regard to or compliance with time-consuming procedures and formalities of the Open Meetings Act.  Even in an emergency, however, there is no exemption to the “in person” meeting requirement of R.C. 121.22(C), and the provision does not permit the public body to meet by teleconference</w:t>
      </w:r>
      <w:r w:rsidR="00B71771">
        <w:rPr>
          <w:szCs w:val="26"/>
        </w:rPr>
        <w:t>, unless the public body otherwise has a specific statutory authority to do so</w:t>
      </w:r>
      <w:r>
        <w:rPr>
          <w:szCs w:val="26"/>
        </w:rPr>
        <w:t>.</w:t>
      </w:r>
      <w:r>
        <w:rPr>
          <w:rStyle w:val="EndnoteReference"/>
        </w:rPr>
        <w:endnoteReference w:id="1095"/>
      </w:r>
    </w:p>
    <w:p w14:paraId="3EA9BA62" w14:textId="77777777" w:rsidR="00FD27DC" w:rsidRDefault="00FD27DC" w:rsidP="00FD27DC">
      <w:pPr>
        <w:spacing w:line="220" w:lineRule="exact"/>
        <w:jc w:val="both"/>
        <w:rPr>
          <w:szCs w:val="26"/>
        </w:rPr>
      </w:pPr>
    </w:p>
    <w:p w14:paraId="1F59815C" w14:textId="28F17539" w:rsidR="00681BA7" w:rsidRDefault="00681BA7" w:rsidP="00322085">
      <w:pPr>
        <w:pStyle w:val="Heading3"/>
      </w:pPr>
      <w:bookmarkStart w:id="626" w:name="_Toc159851686"/>
      <w:r>
        <w:t>2.</w:t>
      </w:r>
      <w:r>
        <w:tab/>
        <w:t>Municipal charters</w:t>
      </w:r>
      <w:bookmarkEnd w:id="626"/>
    </w:p>
    <w:p w14:paraId="47C465E3" w14:textId="77777777" w:rsidR="00681BA7" w:rsidRDefault="00681BA7">
      <w:pPr>
        <w:spacing w:line="220" w:lineRule="exact"/>
        <w:ind w:left="360"/>
        <w:jc w:val="both"/>
        <w:rPr>
          <w:szCs w:val="26"/>
        </w:rPr>
      </w:pPr>
      <w:r>
        <w:rPr>
          <w:szCs w:val="26"/>
        </w:rPr>
        <w:t>The Open Meetings Act applies to public bodies at both the state and local government level.  However, because the Ohio Constitution permits “home rule” (self-government), municipalities may adopt a charter under which their local governments operate.</w:t>
      </w:r>
      <w:r>
        <w:rPr>
          <w:rStyle w:val="EndnoteReference"/>
        </w:rPr>
        <w:endnoteReference w:id="1096"/>
      </w:r>
      <w:r>
        <w:rPr>
          <w:szCs w:val="26"/>
        </w:rPr>
        <w:t xml:space="preserve">  A charter municipality has the right to determine by charter the manner in which its meetings will be held.</w:t>
      </w:r>
      <w:r>
        <w:rPr>
          <w:rStyle w:val="EndnoteReference"/>
        </w:rPr>
        <w:endnoteReference w:id="1097"/>
      </w:r>
      <w:r>
        <w:rPr>
          <w:szCs w:val="26"/>
        </w:rPr>
        <w:t xml:space="preserve">  Charter provisions take precedence over the Open Meetings Act when the two conflict.</w:t>
      </w:r>
      <w:r>
        <w:rPr>
          <w:rStyle w:val="EndnoteReference"/>
        </w:rPr>
        <w:endnoteReference w:id="1098"/>
      </w:r>
      <w:r>
        <w:rPr>
          <w:szCs w:val="26"/>
        </w:rPr>
        <w:t xml:space="preserve">  If a municipal charter includes specific guidelines regarding the conduct of meetings, the municipality must abide by those guidelines.</w:t>
      </w:r>
      <w:r>
        <w:rPr>
          <w:rStyle w:val="EndnoteReference"/>
        </w:rPr>
        <w:endnoteReference w:id="1099"/>
      </w:r>
      <w:r>
        <w:rPr>
          <w:szCs w:val="26"/>
        </w:rPr>
        <w:t xml:space="preserve">  In addition, if a charter expressly requires that all meetings of the public bodies must be open, the municipality may not adopt ordinances that permit executive session.</w:t>
      </w:r>
      <w:r>
        <w:rPr>
          <w:rStyle w:val="EndnoteReference"/>
        </w:rPr>
        <w:endnoteReference w:id="1100"/>
      </w:r>
    </w:p>
    <w:p w14:paraId="54858989" w14:textId="77777777" w:rsidR="00681BA7" w:rsidRDefault="00676796" w:rsidP="00676796">
      <w:pPr>
        <w:spacing w:line="220" w:lineRule="exact"/>
        <w:jc w:val="both"/>
        <w:rPr>
          <w:szCs w:val="26"/>
        </w:rPr>
      </w:pPr>
      <w:r>
        <w:rPr>
          <w:szCs w:val="26"/>
        </w:rPr>
        <w:br w:type="page"/>
      </w:r>
      <w:r w:rsidR="00AA189A">
        <w:rPr>
          <w:szCs w:val="26"/>
        </w:rPr>
        <w:lastRenderedPageBreak/>
        <w:t>N</w:t>
      </w:r>
      <w:r>
        <w:rPr>
          <w:szCs w:val="26"/>
        </w:rPr>
        <w:t>otes:</w:t>
      </w:r>
    </w:p>
    <w:p w14:paraId="21FA1EF8" w14:textId="77777777" w:rsidR="00681BA7" w:rsidRDefault="00681BA7">
      <w:pPr>
        <w:spacing w:line="220" w:lineRule="exact"/>
        <w:ind w:left="360"/>
        <w:jc w:val="both"/>
        <w:rPr>
          <w:szCs w:val="26"/>
        </w:rPr>
        <w:sectPr w:rsidR="00681BA7" w:rsidSect="00AF6868">
          <w:headerReference w:type="default" r:id="rId67"/>
          <w:footerReference w:type="default" r:id="rId68"/>
          <w:endnotePr>
            <w:numFmt w:val="decimal"/>
          </w:endnotePr>
          <w:pgSz w:w="12240" w:h="15840"/>
          <w:pgMar w:top="1440" w:right="1440" w:bottom="1440" w:left="1440" w:header="720" w:footer="210" w:gutter="0"/>
          <w:cols w:space="720"/>
          <w:docGrid w:linePitch="360"/>
        </w:sectPr>
      </w:pPr>
    </w:p>
    <w:p w14:paraId="1382CD8A" w14:textId="2C813521" w:rsidR="00681BA7" w:rsidRPr="009C0AD5" w:rsidRDefault="00681BA7" w:rsidP="0085553E">
      <w:pPr>
        <w:pStyle w:val="Heading1"/>
      </w:pPr>
      <w:bookmarkStart w:id="627" w:name="_Toc159851687"/>
      <w:r w:rsidRPr="009C0AD5">
        <w:lastRenderedPageBreak/>
        <w:t>X.</w:t>
      </w:r>
      <w:r w:rsidRPr="009C0AD5">
        <w:tab/>
        <w:t xml:space="preserve">Chapter </w:t>
      </w:r>
      <w:r w:rsidR="004B7E2A">
        <w:t>Ten</w:t>
      </w:r>
      <w:r w:rsidRPr="009C0AD5">
        <w:t>:  Executive Session</w:t>
      </w:r>
      <w:bookmarkEnd w:id="627"/>
    </w:p>
    <w:p w14:paraId="4065E7F7" w14:textId="03602963" w:rsidR="00E90B19" w:rsidRPr="00E52CBE" w:rsidRDefault="00AF6868" w:rsidP="00E52CBE">
      <w:pPr>
        <w:spacing w:line="280" w:lineRule="exact"/>
        <w:jc w:val="center"/>
        <w:rPr>
          <w:rFonts w:eastAsia="Calibri"/>
          <w:i/>
          <w:sz w:val="28"/>
          <w:szCs w:val="20"/>
        </w:rPr>
      </w:pPr>
      <w:r>
        <w:rPr>
          <w:i/>
          <w:noProof/>
          <w:sz w:val="28"/>
        </w:rPr>
        <w:pict w14:anchorId="63CAC62F">
          <v:rect id="_x0000_i1026" alt="" style="width:468pt;height:.05pt;mso-width-percent:0;mso-height-percent:0;mso-width-percent:0;mso-height-percent:0" o:hralign="center" o:hrstd="t" o:hr="t" fillcolor="#a0a0a0" stroked="f"/>
        </w:pict>
      </w:r>
      <w:r w:rsidR="00E90B19" w:rsidRPr="00E52CBE">
        <w:rPr>
          <w:rStyle w:val="Heading2Char"/>
        </w:rPr>
        <w:t>Executive Session Overview</w:t>
      </w:r>
    </w:p>
    <w:p w14:paraId="2080C86C" w14:textId="77777777" w:rsidR="00E90B19" w:rsidRPr="00E90B19" w:rsidRDefault="00AF6868" w:rsidP="00701593">
      <w:pPr>
        <w:spacing w:line="280" w:lineRule="exact"/>
        <w:jc w:val="center"/>
        <w:rPr>
          <w:rFonts w:eastAsia="Calibri"/>
          <w:i/>
          <w:sz w:val="28"/>
          <w:szCs w:val="20"/>
        </w:rPr>
      </w:pPr>
      <w:r>
        <w:rPr>
          <w:i/>
          <w:noProof/>
          <w:sz w:val="28"/>
        </w:rPr>
        <w:pict w14:anchorId="5D9171BE">
          <v:rect id="_x0000_i1025" alt="" style="width:468pt;height:.05pt;mso-width-percent:0;mso-height-percent:0;mso-width-percent:0;mso-height-percent:0" o:hralign="center" o:hrstd="t" o:hr="t" fillcolor="#a0a0a0" stroked="f"/>
        </w:pict>
      </w:r>
    </w:p>
    <w:p w14:paraId="07959AF9" w14:textId="77777777" w:rsidR="00E90B19" w:rsidRPr="00E90B19" w:rsidRDefault="00A7740F" w:rsidP="00E15BB5">
      <w:pPr>
        <w:numPr>
          <w:ilvl w:val="0"/>
          <w:numId w:val="41"/>
        </w:numPr>
        <w:spacing w:before="120" w:after="120"/>
        <w:ind w:right="252"/>
        <w:jc w:val="both"/>
        <w:rPr>
          <w:rFonts w:eastAsia="Calibri"/>
        </w:rPr>
      </w:pPr>
      <w:r>
        <w:rPr>
          <w:rFonts w:eastAsia="Calibri"/>
        </w:rPr>
        <w:t xml:space="preserve">Executive session is a </w:t>
      </w:r>
      <w:r w:rsidR="00E90B19" w:rsidRPr="00E90B19">
        <w:rPr>
          <w:rFonts w:eastAsia="Calibri"/>
        </w:rPr>
        <w:t>portion of an open meeting from which the public can be excluded</w:t>
      </w:r>
      <w:r>
        <w:rPr>
          <w:rFonts w:eastAsia="Calibri"/>
        </w:rPr>
        <w:t>.</w:t>
      </w:r>
    </w:p>
    <w:p w14:paraId="1166FDBA" w14:textId="77777777" w:rsidR="00E90B19" w:rsidRPr="00E90B19" w:rsidRDefault="00E90B19" w:rsidP="00E15BB5">
      <w:pPr>
        <w:numPr>
          <w:ilvl w:val="0"/>
          <w:numId w:val="41"/>
        </w:numPr>
        <w:spacing w:after="120"/>
        <w:ind w:right="252"/>
        <w:jc w:val="both"/>
        <w:rPr>
          <w:rFonts w:eastAsia="Calibri"/>
        </w:rPr>
      </w:pPr>
      <w:r w:rsidRPr="00E90B19">
        <w:rPr>
          <w:rFonts w:eastAsia="Calibri"/>
        </w:rPr>
        <w:t>Proper procedure is required to move into executive session:</w:t>
      </w:r>
    </w:p>
    <w:p w14:paraId="3720960C" w14:textId="3C4E0F75" w:rsidR="00E90B19" w:rsidRPr="00E90B19" w:rsidRDefault="00E90B19" w:rsidP="00E15BB5">
      <w:pPr>
        <w:numPr>
          <w:ilvl w:val="1"/>
          <w:numId w:val="38"/>
        </w:numPr>
        <w:spacing w:after="120"/>
        <w:ind w:right="252"/>
        <w:jc w:val="both"/>
        <w:rPr>
          <w:rFonts w:eastAsia="Calibri"/>
        </w:rPr>
      </w:pPr>
      <w:r w:rsidRPr="00E90B19">
        <w:rPr>
          <w:rFonts w:eastAsia="Calibri"/>
        </w:rPr>
        <w:t>Meeting</w:t>
      </w:r>
      <w:r w:rsidR="00CC627F">
        <w:rPr>
          <w:rFonts w:eastAsia="Calibri"/>
        </w:rPr>
        <w:t>s</w:t>
      </w:r>
      <w:r w:rsidRPr="00E90B19">
        <w:rPr>
          <w:rFonts w:eastAsia="Calibri"/>
        </w:rPr>
        <w:t xml:space="preserve"> must always begin and end in open session, where </w:t>
      </w:r>
      <w:r w:rsidR="0041274B">
        <w:rPr>
          <w:rFonts w:eastAsia="Calibri"/>
        </w:rPr>
        <w:t xml:space="preserve">the </w:t>
      </w:r>
      <w:r w:rsidRPr="00E90B19">
        <w:rPr>
          <w:rFonts w:eastAsia="Calibri"/>
        </w:rPr>
        <w:t>public may be present</w:t>
      </w:r>
    </w:p>
    <w:p w14:paraId="78291D27" w14:textId="77777777" w:rsidR="00E90B19" w:rsidRPr="00E90B19" w:rsidRDefault="00E90B19" w:rsidP="00E15BB5">
      <w:pPr>
        <w:numPr>
          <w:ilvl w:val="1"/>
          <w:numId w:val="38"/>
        </w:numPr>
        <w:spacing w:after="120"/>
        <w:ind w:right="252"/>
        <w:jc w:val="both"/>
        <w:rPr>
          <w:rFonts w:eastAsia="Calibri"/>
        </w:rPr>
      </w:pPr>
      <w:r w:rsidRPr="00E90B19">
        <w:rPr>
          <w:rFonts w:eastAsia="Calibri"/>
        </w:rPr>
        <w:t>Motion on the record to move into executive session, followed by a second</w:t>
      </w:r>
    </w:p>
    <w:p w14:paraId="5C50565B" w14:textId="77777777" w:rsidR="00E90B19" w:rsidRPr="00E90B19" w:rsidRDefault="00E90B19" w:rsidP="00E15BB5">
      <w:pPr>
        <w:numPr>
          <w:ilvl w:val="1"/>
          <w:numId w:val="38"/>
        </w:numPr>
        <w:spacing w:after="120"/>
        <w:ind w:right="252"/>
        <w:jc w:val="both"/>
        <w:rPr>
          <w:rFonts w:eastAsia="Calibri"/>
        </w:rPr>
      </w:pPr>
      <w:r w:rsidRPr="00E90B19">
        <w:rPr>
          <w:rFonts w:eastAsia="Calibri"/>
        </w:rPr>
        <w:t>Specific reason for executive session must be put in the motion and recorded</w:t>
      </w:r>
    </w:p>
    <w:p w14:paraId="110DBE33" w14:textId="77777777" w:rsidR="00E90B19" w:rsidRPr="00E90B19" w:rsidRDefault="00E90B19" w:rsidP="00E15BB5">
      <w:pPr>
        <w:numPr>
          <w:ilvl w:val="1"/>
          <w:numId w:val="38"/>
        </w:numPr>
        <w:spacing w:after="120"/>
        <w:ind w:right="252"/>
        <w:jc w:val="both"/>
        <w:rPr>
          <w:rFonts w:eastAsia="Calibri"/>
        </w:rPr>
      </w:pPr>
      <w:r w:rsidRPr="00E90B19">
        <w:rPr>
          <w:rFonts w:eastAsia="Calibri"/>
        </w:rPr>
        <w:t>Roll call vote, which must be approved by the majority of a quorum of the public body</w:t>
      </w:r>
    </w:p>
    <w:p w14:paraId="57465589" w14:textId="77777777" w:rsidR="00E90B19" w:rsidRPr="00E90B19" w:rsidRDefault="00E90B19" w:rsidP="00E15BB5">
      <w:pPr>
        <w:numPr>
          <w:ilvl w:val="1"/>
          <w:numId w:val="38"/>
        </w:numPr>
        <w:spacing w:after="120"/>
        <w:ind w:right="252"/>
        <w:jc w:val="both"/>
        <w:rPr>
          <w:rFonts w:eastAsia="Calibri"/>
        </w:rPr>
      </w:pPr>
      <w:r w:rsidRPr="00E90B19">
        <w:rPr>
          <w:rFonts w:eastAsia="Calibri"/>
        </w:rPr>
        <w:t>Motion and vote recorded in the meeting minutes</w:t>
      </w:r>
    </w:p>
    <w:p w14:paraId="404C4CA6" w14:textId="75E8E995" w:rsidR="00E90B19" w:rsidRPr="00E90B19" w:rsidRDefault="00E90B19" w:rsidP="00E15BB5">
      <w:pPr>
        <w:numPr>
          <w:ilvl w:val="0"/>
          <w:numId w:val="40"/>
        </w:numPr>
        <w:spacing w:after="120"/>
        <w:ind w:right="252"/>
        <w:jc w:val="both"/>
        <w:rPr>
          <w:rFonts w:eastAsia="Calibri"/>
        </w:rPr>
      </w:pPr>
      <w:r w:rsidRPr="00E90B19">
        <w:rPr>
          <w:rFonts w:eastAsia="Calibri"/>
        </w:rPr>
        <w:t>Executive session can only be held for</w:t>
      </w:r>
      <w:r w:rsidR="00CC627F">
        <w:rPr>
          <w:rFonts w:eastAsia="Calibri"/>
        </w:rPr>
        <w:t xml:space="preserve"> </w:t>
      </w:r>
      <w:r w:rsidRPr="00E90B19">
        <w:rPr>
          <w:rFonts w:eastAsia="Calibri"/>
        </w:rPr>
        <w:t>the following reasons:</w:t>
      </w:r>
    </w:p>
    <w:p w14:paraId="4A255B04" w14:textId="77777777" w:rsidR="00E90B19" w:rsidRPr="00E90B19" w:rsidRDefault="00E90B19" w:rsidP="00E15BB5">
      <w:pPr>
        <w:numPr>
          <w:ilvl w:val="1"/>
          <w:numId w:val="40"/>
        </w:numPr>
        <w:spacing w:after="120"/>
        <w:ind w:right="252"/>
        <w:jc w:val="both"/>
        <w:rPr>
          <w:rFonts w:eastAsia="Calibri"/>
        </w:rPr>
      </w:pPr>
      <w:r w:rsidRPr="00E90B19">
        <w:rPr>
          <w:rFonts w:eastAsia="Calibri"/>
        </w:rPr>
        <w:t>Certain personnel matters</w:t>
      </w:r>
    </w:p>
    <w:p w14:paraId="162172B6" w14:textId="77777777" w:rsidR="00E90B19" w:rsidRPr="00E90B19" w:rsidRDefault="00E90B19" w:rsidP="00E15BB5">
      <w:pPr>
        <w:numPr>
          <w:ilvl w:val="1"/>
          <w:numId w:val="40"/>
        </w:numPr>
        <w:spacing w:after="120"/>
        <w:ind w:right="252"/>
        <w:jc w:val="both"/>
        <w:rPr>
          <w:rFonts w:eastAsia="Calibri"/>
        </w:rPr>
      </w:pPr>
      <w:r w:rsidRPr="00E90B19">
        <w:rPr>
          <w:rFonts w:eastAsia="Calibri"/>
        </w:rPr>
        <w:t>Purchase or sale of property</w:t>
      </w:r>
    </w:p>
    <w:p w14:paraId="1C3A63D2" w14:textId="77777777" w:rsidR="00E90B19" w:rsidRPr="00E90B19" w:rsidRDefault="00E90B19" w:rsidP="00E15BB5">
      <w:pPr>
        <w:numPr>
          <w:ilvl w:val="1"/>
          <w:numId w:val="40"/>
        </w:numPr>
        <w:spacing w:after="120"/>
        <w:ind w:right="252"/>
        <w:jc w:val="both"/>
        <w:rPr>
          <w:rFonts w:eastAsia="Calibri"/>
        </w:rPr>
      </w:pPr>
      <w:r w:rsidRPr="00E90B19">
        <w:rPr>
          <w:rFonts w:eastAsia="Calibri"/>
        </w:rPr>
        <w:t>Pending or imminent court action</w:t>
      </w:r>
    </w:p>
    <w:p w14:paraId="07142F82" w14:textId="77777777" w:rsidR="00E90B19" w:rsidRPr="00E90B19" w:rsidRDefault="00E90B19" w:rsidP="00E15BB5">
      <w:pPr>
        <w:numPr>
          <w:ilvl w:val="1"/>
          <w:numId w:val="40"/>
        </w:numPr>
        <w:spacing w:after="120"/>
        <w:ind w:right="252"/>
        <w:jc w:val="both"/>
        <w:rPr>
          <w:rFonts w:eastAsia="Calibri"/>
        </w:rPr>
      </w:pPr>
      <w:r w:rsidRPr="00E90B19">
        <w:rPr>
          <w:rFonts w:eastAsia="Calibri"/>
        </w:rPr>
        <w:t>Collective bargaining matters</w:t>
      </w:r>
    </w:p>
    <w:p w14:paraId="2C6F34E4" w14:textId="77777777" w:rsidR="00E90B19" w:rsidRPr="00E90B19" w:rsidRDefault="00E90B19" w:rsidP="00E15BB5">
      <w:pPr>
        <w:numPr>
          <w:ilvl w:val="1"/>
          <w:numId w:val="40"/>
        </w:numPr>
        <w:spacing w:after="120"/>
        <w:ind w:right="252"/>
        <w:jc w:val="both"/>
        <w:rPr>
          <w:rFonts w:eastAsia="Calibri"/>
        </w:rPr>
      </w:pPr>
      <w:r w:rsidRPr="00E90B19">
        <w:rPr>
          <w:rFonts w:eastAsia="Calibri"/>
        </w:rPr>
        <w:t>Matters required to be kept confidential</w:t>
      </w:r>
    </w:p>
    <w:p w14:paraId="414CDE2D" w14:textId="77777777" w:rsidR="00E90B19" w:rsidRPr="00E90B19" w:rsidRDefault="00E90B19" w:rsidP="00E15BB5">
      <w:pPr>
        <w:numPr>
          <w:ilvl w:val="1"/>
          <w:numId w:val="40"/>
        </w:numPr>
        <w:spacing w:after="120"/>
        <w:ind w:right="252"/>
        <w:jc w:val="both"/>
        <w:rPr>
          <w:rFonts w:eastAsia="Calibri"/>
        </w:rPr>
      </w:pPr>
      <w:r w:rsidRPr="00E90B19">
        <w:rPr>
          <w:rFonts w:eastAsia="Calibri"/>
        </w:rPr>
        <w:t>Security matters</w:t>
      </w:r>
    </w:p>
    <w:p w14:paraId="3CF44BE6" w14:textId="77777777" w:rsidR="00E90B19" w:rsidRPr="00E90B19" w:rsidRDefault="00E90B19" w:rsidP="00E15BB5">
      <w:pPr>
        <w:numPr>
          <w:ilvl w:val="1"/>
          <w:numId w:val="40"/>
        </w:numPr>
        <w:spacing w:after="120"/>
        <w:ind w:right="252"/>
        <w:jc w:val="both"/>
        <w:rPr>
          <w:rFonts w:eastAsia="Calibri"/>
        </w:rPr>
      </w:pPr>
      <w:r w:rsidRPr="00E90B19">
        <w:rPr>
          <w:rFonts w:eastAsia="Calibri"/>
        </w:rPr>
        <w:t>Hospital trade secrets</w:t>
      </w:r>
    </w:p>
    <w:p w14:paraId="03109172" w14:textId="77777777" w:rsidR="00E90B19" w:rsidRPr="00E90B19" w:rsidRDefault="00E90B19" w:rsidP="00E15BB5">
      <w:pPr>
        <w:numPr>
          <w:ilvl w:val="1"/>
          <w:numId w:val="40"/>
        </w:numPr>
        <w:spacing w:after="120"/>
        <w:ind w:right="252"/>
        <w:jc w:val="both"/>
        <w:rPr>
          <w:rFonts w:eastAsia="Calibri"/>
        </w:rPr>
      </w:pPr>
      <w:r w:rsidRPr="00E90B19">
        <w:rPr>
          <w:rFonts w:eastAsia="Calibri"/>
        </w:rPr>
        <w:t>Confidential business information of an applicant for economic development assistance</w:t>
      </w:r>
    </w:p>
    <w:p w14:paraId="2DA8828E" w14:textId="77777777" w:rsidR="00E90B19" w:rsidRPr="00E90B19" w:rsidRDefault="00E90B19" w:rsidP="00E15BB5">
      <w:pPr>
        <w:numPr>
          <w:ilvl w:val="1"/>
          <w:numId w:val="40"/>
        </w:numPr>
        <w:spacing w:after="120"/>
        <w:ind w:right="252"/>
        <w:jc w:val="both"/>
        <w:rPr>
          <w:rFonts w:eastAsia="Calibri"/>
        </w:rPr>
      </w:pPr>
      <w:r w:rsidRPr="00E90B19">
        <w:rPr>
          <w:rFonts w:eastAsia="Calibri"/>
        </w:rPr>
        <w:t>Veterans Service Commission applications</w:t>
      </w:r>
    </w:p>
    <w:p w14:paraId="34A547A6" w14:textId="76D2FA69" w:rsidR="00E90B19" w:rsidRPr="00E90B19" w:rsidRDefault="00E90B19" w:rsidP="00E15BB5">
      <w:pPr>
        <w:numPr>
          <w:ilvl w:val="0"/>
          <w:numId w:val="40"/>
        </w:numPr>
        <w:spacing w:after="120"/>
        <w:ind w:right="252"/>
        <w:jc w:val="both"/>
        <w:rPr>
          <w:rFonts w:eastAsia="Calibri"/>
        </w:rPr>
      </w:pPr>
      <w:r w:rsidRPr="00E90B19">
        <w:rPr>
          <w:rFonts w:eastAsia="Calibri"/>
        </w:rPr>
        <w:t xml:space="preserve">Discussion in executive session </w:t>
      </w:r>
      <w:r w:rsidR="009444CF">
        <w:rPr>
          <w:rFonts w:eastAsia="Calibri"/>
        </w:rPr>
        <w:t>must</w:t>
      </w:r>
      <w:r w:rsidR="009444CF" w:rsidRPr="00E90B19">
        <w:rPr>
          <w:rFonts w:eastAsia="Calibri"/>
        </w:rPr>
        <w:t xml:space="preserve"> </w:t>
      </w:r>
      <w:r w:rsidRPr="00E90B19">
        <w:rPr>
          <w:rFonts w:eastAsia="Calibri"/>
        </w:rPr>
        <w:t>be limited to the specific, statutory reason for the executive session</w:t>
      </w:r>
      <w:r w:rsidR="009444CF">
        <w:rPr>
          <w:rFonts w:eastAsia="Calibri"/>
        </w:rPr>
        <w:t>, as set forth in the motion</w:t>
      </w:r>
      <w:r w:rsidRPr="00E90B19">
        <w:rPr>
          <w:rFonts w:eastAsia="Calibri"/>
        </w:rPr>
        <w:t>.</w:t>
      </w:r>
    </w:p>
    <w:p w14:paraId="43BA6F6A" w14:textId="77777777" w:rsidR="00E90B19" w:rsidRPr="00E90B19" w:rsidRDefault="00E90B19" w:rsidP="00E15BB5">
      <w:pPr>
        <w:numPr>
          <w:ilvl w:val="0"/>
          <w:numId w:val="40"/>
        </w:numPr>
        <w:spacing w:after="120"/>
        <w:ind w:right="252"/>
        <w:jc w:val="both"/>
        <w:rPr>
          <w:rFonts w:eastAsia="Calibri"/>
        </w:rPr>
      </w:pPr>
      <w:r w:rsidRPr="00E90B19">
        <w:rPr>
          <w:rFonts w:eastAsia="Calibri"/>
        </w:rPr>
        <w:t>The public body can invite non-members to be present in an executive session, but cannot exclude other members of the public body from the executive session.</w:t>
      </w:r>
    </w:p>
    <w:p w14:paraId="6251139E" w14:textId="275923C9" w:rsidR="00E90B19" w:rsidRPr="00E90B19" w:rsidRDefault="00E90B19" w:rsidP="00E15BB5">
      <w:pPr>
        <w:numPr>
          <w:ilvl w:val="0"/>
          <w:numId w:val="40"/>
        </w:numPr>
        <w:spacing w:after="120"/>
        <w:ind w:right="252"/>
        <w:jc w:val="both"/>
        <w:rPr>
          <w:rFonts w:eastAsia="Calibri"/>
        </w:rPr>
      </w:pPr>
      <w:r w:rsidRPr="00E90B19">
        <w:rPr>
          <w:rFonts w:eastAsia="Calibri"/>
        </w:rPr>
        <w:t xml:space="preserve">Discussion in executive session </w:t>
      </w:r>
      <w:r w:rsidR="00CC627F">
        <w:rPr>
          <w:rFonts w:eastAsia="Calibri"/>
        </w:rPr>
        <w:t>is</w:t>
      </w:r>
      <w:r w:rsidRPr="00E90B19">
        <w:rPr>
          <w:rFonts w:eastAsia="Calibri"/>
        </w:rPr>
        <w:t xml:space="preserve"> not automatically confidential, but other confidentiality rules may apply; public records considered in the executive session may be accessible through the Public Records Act.</w:t>
      </w:r>
    </w:p>
    <w:p w14:paraId="5B6A73A2" w14:textId="77777777" w:rsidR="00681BA7" w:rsidRPr="00E90B19" w:rsidRDefault="00E90B19" w:rsidP="00E15BB5">
      <w:pPr>
        <w:numPr>
          <w:ilvl w:val="0"/>
          <w:numId w:val="40"/>
        </w:numPr>
        <w:spacing w:after="120"/>
        <w:ind w:right="252"/>
        <w:jc w:val="both"/>
        <w:rPr>
          <w:rFonts w:eastAsia="Calibri"/>
        </w:rPr>
      </w:pPr>
      <w:r w:rsidRPr="00E90B19">
        <w:rPr>
          <w:rFonts w:eastAsia="Calibri"/>
        </w:rPr>
        <w:t>The public body may not vote or make any decisions in executive session</w:t>
      </w:r>
      <w:r w:rsidR="00A7740F">
        <w:rPr>
          <w:rFonts w:eastAsia="Calibri"/>
        </w:rPr>
        <w:t>.</w:t>
      </w:r>
    </w:p>
    <w:p w14:paraId="1DE2E286" w14:textId="3DF94AC9" w:rsidR="00681BA7" w:rsidRDefault="00681BA7" w:rsidP="00322085">
      <w:pPr>
        <w:pStyle w:val="Heading2"/>
      </w:pPr>
      <w:r>
        <w:br w:type="page"/>
      </w:r>
      <w:bookmarkStart w:id="628" w:name="_Toc159851688"/>
      <w:r w:rsidRPr="00345637">
        <w:lastRenderedPageBreak/>
        <w:t>A.</w:t>
      </w:r>
      <w:r w:rsidRPr="00345637">
        <w:tab/>
        <w:t>General Principles</w:t>
      </w:r>
      <w:bookmarkEnd w:id="628"/>
    </w:p>
    <w:p w14:paraId="2418EBE6" w14:textId="2CD449F9" w:rsidR="00681BA7" w:rsidRDefault="00681BA7" w:rsidP="00F758E7">
      <w:pPr>
        <w:spacing w:line="220" w:lineRule="exact"/>
        <w:ind w:left="360"/>
        <w:jc w:val="both"/>
        <w:rPr>
          <w:szCs w:val="26"/>
        </w:rPr>
      </w:pPr>
      <w:r>
        <w:rPr>
          <w:szCs w:val="26"/>
        </w:rPr>
        <w:t>An “executive session” is a conference between members of a public body from which the public is excluded.</w:t>
      </w:r>
      <w:r>
        <w:rPr>
          <w:rStyle w:val="EndnoteReference"/>
        </w:rPr>
        <w:endnoteReference w:id="1101"/>
      </w:r>
      <w:r>
        <w:rPr>
          <w:szCs w:val="26"/>
        </w:rPr>
        <w:t xml:space="preserve">  The public body, however, may </w:t>
      </w:r>
      <w:r>
        <w:rPr>
          <w:i/>
          <w:szCs w:val="26"/>
        </w:rPr>
        <w:t>invite</w:t>
      </w:r>
      <w:r>
        <w:rPr>
          <w:szCs w:val="26"/>
        </w:rPr>
        <w:t xml:space="preserve"> anyone it chooses to attend an executive session.</w:t>
      </w:r>
      <w:r>
        <w:rPr>
          <w:rStyle w:val="EndnoteReference"/>
        </w:rPr>
        <w:endnoteReference w:id="1102"/>
      </w:r>
      <w:r>
        <w:rPr>
          <w:szCs w:val="26"/>
        </w:rPr>
        <w:t xml:space="preserve">  The Open Meetings Act strictly limits the use of executive sessions</w:t>
      </w:r>
      <w:r w:rsidR="00E24C4A">
        <w:rPr>
          <w:szCs w:val="26"/>
        </w:rPr>
        <w:t xml:space="preserve"> in several ways. First, a public body may only hold executive sessions at regular and special meetings.</w:t>
      </w:r>
      <w:r w:rsidR="00E24C4A">
        <w:rPr>
          <w:rStyle w:val="EndnoteReference"/>
          <w:szCs w:val="26"/>
        </w:rPr>
        <w:endnoteReference w:id="1103"/>
      </w:r>
      <w:r>
        <w:rPr>
          <w:szCs w:val="26"/>
        </w:rPr>
        <w:t xml:space="preserve">  </w:t>
      </w:r>
      <w:r w:rsidR="00E24C4A">
        <w:rPr>
          <w:szCs w:val="26"/>
        </w:rPr>
        <w:t>Second</w:t>
      </w:r>
      <w:r>
        <w:rPr>
          <w:szCs w:val="26"/>
        </w:rPr>
        <w:t>, the Open Meetings Act limits the matters that a public body may discuss in executive session</w:t>
      </w:r>
      <w:r w:rsidR="00E24C4A">
        <w:rPr>
          <w:szCs w:val="26"/>
        </w:rPr>
        <w:t xml:space="preserve"> to those matters identified in the Act,</w:t>
      </w:r>
      <w:r>
        <w:rPr>
          <w:rStyle w:val="EndnoteReference"/>
        </w:rPr>
        <w:endnoteReference w:id="1104"/>
      </w:r>
      <w:r>
        <w:rPr>
          <w:szCs w:val="26"/>
        </w:rPr>
        <w:t xml:space="preserve"> </w:t>
      </w:r>
      <w:r w:rsidR="00E24C4A">
        <w:rPr>
          <w:szCs w:val="26"/>
        </w:rPr>
        <w:t>although one court held that a public body may discuss other related issues if they have a direct bearing on the permitted matter(s).</w:t>
      </w:r>
      <w:r w:rsidR="00E24C4A">
        <w:rPr>
          <w:rStyle w:val="EndnoteReference"/>
          <w:szCs w:val="26"/>
        </w:rPr>
        <w:endnoteReference w:id="1105"/>
      </w:r>
      <w:r>
        <w:rPr>
          <w:szCs w:val="26"/>
        </w:rPr>
        <w:t xml:space="preserve"> </w:t>
      </w:r>
      <w:r w:rsidR="00E24C4A">
        <w:rPr>
          <w:szCs w:val="26"/>
        </w:rPr>
        <w:t>Third</w:t>
      </w:r>
      <w:r>
        <w:rPr>
          <w:szCs w:val="26"/>
        </w:rPr>
        <w:t xml:space="preserve">, a public body </w:t>
      </w:r>
      <w:r w:rsidR="00E24C4A">
        <w:rPr>
          <w:szCs w:val="26"/>
        </w:rPr>
        <w:t xml:space="preserve">must </w:t>
      </w:r>
      <w:r>
        <w:rPr>
          <w:szCs w:val="26"/>
        </w:rPr>
        <w:t>follow a specific procedure to adjourn into an executive session.</w:t>
      </w:r>
      <w:r>
        <w:rPr>
          <w:rStyle w:val="EndnoteReference"/>
        </w:rPr>
        <w:endnoteReference w:id="1106"/>
      </w:r>
      <w:r>
        <w:rPr>
          <w:szCs w:val="26"/>
        </w:rPr>
        <w:t xml:space="preserve">  Finally, a public body may not take any formal action, such as voting or otherwise reaching a collective decision, in an executive session</w:t>
      </w:r>
      <w:r w:rsidR="00941D84">
        <w:rPr>
          <w:szCs w:val="26"/>
        </w:rPr>
        <w:t>; a</w:t>
      </w:r>
      <w:r>
        <w:rPr>
          <w:szCs w:val="26"/>
        </w:rPr>
        <w:t>ny formal action taken in an executive session is invalid.</w:t>
      </w:r>
      <w:r>
        <w:rPr>
          <w:rStyle w:val="EndnoteReference"/>
        </w:rPr>
        <w:endnoteReference w:id="1107"/>
      </w:r>
    </w:p>
    <w:p w14:paraId="6F11A0D0" w14:textId="77777777" w:rsidR="00681BA7" w:rsidRDefault="00681BA7" w:rsidP="00E24C4A">
      <w:pPr>
        <w:spacing w:line="220" w:lineRule="exact"/>
        <w:jc w:val="both"/>
        <w:rPr>
          <w:szCs w:val="26"/>
        </w:rPr>
      </w:pPr>
    </w:p>
    <w:p w14:paraId="12534733" w14:textId="4F55074D" w:rsidR="00681BA7" w:rsidRPr="004F53F5" w:rsidRDefault="00681BA7" w:rsidP="00F758E7">
      <w:pPr>
        <w:spacing w:line="220" w:lineRule="exact"/>
        <w:ind w:left="360"/>
        <w:jc w:val="both"/>
        <w:rPr>
          <w:szCs w:val="26"/>
        </w:rPr>
      </w:pPr>
      <w:r>
        <w:rPr>
          <w:szCs w:val="26"/>
        </w:rPr>
        <w:t>The Open Meetings Act does not prohibit the public body or one of its members from disclosing the information discussed in executive session.</w:t>
      </w:r>
      <w:r>
        <w:rPr>
          <w:rStyle w:val="EndnoteReference"/>
        </w:rPr>
        <w:endnoteReference w:id="1108"/>
      </w:r>
      <w:r>
        <w:rPr>
          <w:szCs w:val="26"/>
        </w:rPr>
        <w:t xml:space="preserve">  However, other </w:t>
      </w:r>
      <w:r w:rsidR="006D5959">
        <w:rPr>
          <w:szCs w:val="26"/>
        </w:rPr>
        <w:t xml:space="preserve">laws </w:t>
      </w:r>
      <w:r>
        <w:rPr>
          <w:szCs w:val="26"/>
        </w:rPr>
        <w:t>may prohibit such disclosure.</w:t>
      </w:r>
      <w:r>
        <w:rPr>
          <w:rStyle w:val="EndnoteReference"/>
        </w:rPr>
        <w:endnoteReference w:id="1109"/>
      </w:r>
      <w:r w:rsidR="0041274B">
        <w:rPr>
          <w:szCs w:val="26"/>
        </w:rPr>
        <w:t xml:space="preserve"> An Ohio Ethics Commission Opinion concluded that if information discussed in executive session is made confidential by statute, or has been clearly designated as confidential, public officials may have a duty to keep that information confidential under Ohio ethic laws.</w:t>
      </w:r>
      <w:r w:rsidR="0041274B">
        <w:rPr>
          <w:rStyle w:val="EndnoteReference"/>
          <w:szCs w:val="26"/>
        </w:rPr>
        <w:endnoteReference w:id="1110"/>
      </w:r>
      <w:r w:rsidR="0041274B">
        <w:rPr>
          <w:szCs w:val="26"/>
        </w:rPr>
        <w:t xml:space="preserve"> Public officials should seek legal counsel to determine whether ethics laws prohibit them from disclosing topics discussed during executive session.</w:t>
      </w:r>
    </w:p>
    <w:p w14:paraId="1FDF17EA" w14:textId="77777777" w:rsidR="00681BA7" w:rsidRPr="004F53F5" w:rsidRDefault="00681BA7">
      <w:pPr>
        <w:spacing w:line="220" w:lineRule="exact"/>
        <w:jc w:val="both"/>
        <w:rPr>
          <w:szCs w:val="26"/>
        </w:rPr>
      </w:pPr>
    </w:p>
    <w:p w14:paraId="4CA5422D" w14:textId="1F2AB552" w:rsidR="00681BA7" w:rsidRDefault="00681BA7" w:rsidP="00D8365A">
      <w:pPr>
        <w:spacing w:line="220" w:lineRule="exact"/>
        <w:ind w:left="360"/>
        <w:jc w:val="both"/>
        <w:rPr>
          <w:szCs w:val="26"/>
        </w:rPr>
      </w:pPr>
      <w:r w:rsidRPr="004F53F5">
        <w:rPr>
          <w:szCs w:val="26"/>
        </w:rPr>
        <w:t xml:space="preserve">The privacy afforded by the Open Meetings Act to executive session discussions does not make confidential any documents that a public body may discuss in executive session.  If a document is a “public record” and is not otherwise exempt under one of the exemptions to the Public Records Act, the record will still be subject to public disclosure even if the public body appropriately discussed it in executive session.  </w:t>
      </w:r>
      <w:r w:rsidR="004F53F5">
        <w:rPr>
          <w:szCs w:val="26"/>
        </w:rPr>
        <w:t>Thus</w:t>
      </w:r>
      <w:r w:rsidRPr="004F53F5">
        <w:rPr>
          <w:szCs w:val="26"/>
        </w:rPr>
        <w:t>, an</w:t>
      </w:r>
      <w:r>
        <w:rPr>
          <w:szCs w:val="26"/>
        </w:rPr>
        <w:t xml:space="preserve"> executive session under the Open Meetings Act is not an exemption for public records under the Public Records Act.  For </w:t>
      </w:r>
      <w:r w:rsidR="00D8365A">
        <w:rPr>
          <w:szCs w:val="26"/>
        </w:rPr>
        <w:t>example</w:t>
      </w:r>
      <w:r>
        <w:rPr>
          <w:szCs w:val="26"/>
        </w:rPr>
        <w:t>, if a public body properly discusses pending litigation in executive session, a settlement agreement negotiated during that executive session and reduced to writing may be subject to public disclosure.</w:t>
      </w:r>
      <w:r>
        <w:rPr>
          <w:rStyle w:val="EndnoteReference"/>
        </w:rPr>
        <w:endnoteReference w:id="1111"/>
      </w:r>
    </w:p>
    <w:p w14:paraId="7AE88DD6" w14:textId="427C9FF2" w:rsidR="00681BA7" w:rsidRPr="00345637" w:rsidRDefault="00681BA7" w:rsidP="00322085">
      <w:pPr>
        <w:pStyle w:val="Heading2"/>
      </w:pPr>
      <w:bookmarkStart w:id="629" w:name="_Toc159851689"/>
      <w:r w:rsidRPr="00345637">
        <w:t>B.</w:t>
      </w:r>
      <w:r w:rsidRPr="00345637">
        <w:tab/>
        <w:t>Permissible Discussion Topics in Executive Session</w:t>
      </w:r>
      <w:bookmarkEnd w:id="629"/>
    </w:p>
    <w:p w14:paraId="4696549C" w14:textId="6E629C56" w:rsidR="00681BA7" w:rsidRDefault="004F53F5" w:rsidP="00F758E7">
      <w:pPr>
        <w:spacing w:line="220" w:lineRule="exact"/>
        <w:ind w:left="360"/>
        <w:jc w:val="both"/>
        <w:rPr>
          <w:szCs w:val="26"/>
        </w:rPr>
      </w:pPr>
      <w:r>
        <w:rPr>
          <w:szCs w:val="26"/>
        </w:rPr>
        <w:t>A public body can only adjourn into executive session to discuss one of the following nine topics.</w:t>
      </w:r>
    </w:p>
    <w:p w14:paraId="49B6B097" w14:textId="77777777" w:rsidR="00E52CBE" w:rsidRDefault="00E52CBE" w:rsidP="00F758E7">
      <w:pPr>
        <w:spacing w:line="220" w:lineRule="exact"/>
        <w:ind w:left="360"/>
        <w:jc w:val="both"/>
        <w:rPr>
          <w:szCs w:val="26"/>
        </w:rPr>
      </w:pPr>
    </w:p>
    <w:p w14:paraId="1038C6E8" w14:textId="42984E87" w:rsidR="00681BA7" w:rsidRDefault="00681BA7" w:rsidP="00322085">
      <w:pPr>
        <w:pStyle w:val="Heading3"/>
      </w:pPr>
      <w:bookmarkStart w:id="630" w:name="_Toc159851690"/>
      <w:r w:rsidRPr="00257DA2">
        <w:t>1.</w:t>
      </w:r>
      <w:r w:rsidRPr="00257DA2">
        <w:tab/>
        <w:t>Certain personnel matters when particularly named in motion</w:t>
      </w:r>
      <w:bookmarkEnd w:id="630"/>
    </w:p>
    <w:p w14:paraId="6D336AC6" w14:textId="77777777" w:rsidR="00681BA7" w:rsidRDefault="00681BA7">
      <w:pPr>
        <w:spacing w:line="220" w:lineRule="exact"/>
        <w:ind w:left="360"/>
        <w:jc w:val="both"/>
        <w:rPr>
          <w:szCs w:val="26"/>
        </w:rPr>
      </w:pPr>
      <w:r>
        <w:rPr>
          <w:szCs w:val="26"/>
        </w:rPr>
        <w:t>A public body may adjourn into executive session:</w:t>
      </w:r>
    </w:p>
    <w:p w14:paraId="68942C7B" w14:textId="77777777" w:rsidR="00681BA7" w:rsidRDefault="00681BA7">
      <w:pPr>
        <w:spacing w:line="220" w:lineRule="exact"/>
        <w:ind w:left="720"/>
        <w:jc w:val="both"/>
        <w:rPr>
          <w:szCs w:val="26"/>
        </w:rPr>
      </w:pPr>
    </w:p>
    <w:p w14:paraId="177B62F2" w14:textId="77777777" w:rsidR="00681BA7" w:rsidRDefault="00681BA7" w:rsidP="002B2C2E">
      <w:pPr>
        <w:numPr>
          <w:ilvl w:val="0"/>
          <w:numId w:val="18"/>
        </w:numPr>
        <w:spacing w:after="120" w:line="220" w:lineRule="exact"/>
        <w:jc w:val="both"/>
        <w:rPr>
          <w:szCs w:val="26"/>
        </w:rPr>
      </w:pPr>
      <w:r>
        <w:rPr>
          <w:szCs w:val="26"/>
        </w:rPr>
        <w:t>To consider the appointment, employment, dismissal, discipline, promotion, demotion, or compensation of a public employee or official; and</w:t>
      </w:r>
    </w:p>
    <w:p w14:paraId="738FA5D8" w14:textId="77777777" w:rsidR="00681BA7" w:rsidRDefault="00681BA7" w:rsidP="002B2C2E">
      <w:pPr>
        <w:numPr>
          <w:ilvl w:val="0"/>
          <w:numId w:val="18"/>
        </w:numPr>
        <w:spacing w:after="120" w:line="220" w:lineRule="exact"/>
        <w:jc w:val="both"/>
        <w:rPr>
          <w:szCs w:val="26"/>
        </w:rPr>
      </w:pPr>
      <w:r>
        <w:rPr>
          <w:szCs w:val="26"/>
        </w:rPr>
        <w:t>To consider the investigation of charges or complaints against a public employee, official, licensee, or regulated individual,</w:t>
      </w:r>
      <w:r>
        <w:rPr>
          <w:rStyle w:val="EndnoteReference"/>
        </w:rPr>
        <w:endnoteReference w:id="1112"/>
      </w:r>
      <w:r>
        <w:rPr>
          <w:szCs w:val="26"/>
        </w:rPr>
        <w:t xml:space="preserve"> unless the employee, official, licensee, or regulated individual requests a public hearing;</w:t>
      </w:r>
      <w:r>
        <w:rPr>
          <w:rStyle w:val="EndnoteReference"/>
        </w:rPr>
        <w:endnoteReference w:id="1113"/>
      </w:r>
    </w:p>
    <w:p w14:paraId="68DA37B1" w14:textId="77777777" w:rsidR="00681BA7" w:rsidRPr="00D8365A" w:rsidRDefault="00681BA7">
      <w:pPr>
        <w:spacing w:after="120" w:line="220" w:lineRule="exact"/>
        <w:ind w:left="1440"/>
        <w:jc w:val="both"/>
        <w:rPr>
          <w:i/>
          <w:szCs w:val="26"/>
        </w:rPr>
      </w:pPr>
      <w:r w:rsidRPr="00D8365A">
        <w:rPr>
          <w:i/>
          <w:szCs w:val="26"/>
        </w:rPr>
        <w:t>but</w:t>
      </w:r>
    </w:p>
    <w:p w14:paraId="1697749E" w14:textId="77777777" w:rsidR="00681BA7" w:rsidRDefault="00681BA7" w:rsidP="002B2C2E">
      <w:pPr>
        <w:numPr>
          <w:ilvl w:val="0"/>
          <w:numId w:val="18"/>
        </w:numPr>
        <w:spacing w:line="220" w:lineRule="exact"/>
        <w:jc w:val="both"/>
        <w:rPr>
          <w:szCs w:val="26"/>
        </w:rPr>
      </w:pPr>
      <w:r>
        <w:rPr>
          <w:szCs w:val="26"/>
        </w:rPr>
        <w:t>A public body may not hold an executive session to consider the discipline of an elected official for conduct related to the performance of the official’s duties or to consider that person’s removal from office.</w:t>
      </w:r>
    </w:p>
    <w:p w14:paraId="4B6199C7" w14:textId="77777777" w:rsidR="00681BA7" w:rsidRDefault="00681BA7">
      <w:pPr>
        <w:spacing w:line="220" w:lineRule="exact"/>
        <w:ind w:left="360"/>
        <w:jc w:val="both"/>
        <w:rPr>
          <w:szCs w:val="26"/>
        </w:rPr>
      </w:pPr>
    </w:p>
    <w:p w14:paraId="7A5552F6" w14:textId="77777777" w:rsidR="00681BA7" w:rsidRDefault="00681BA7">
      <w:pPr>
        <w:spacing w:line="220" w:lineRule="exact"/>
        <w:ind w:left="360"/>
        <w:jc w:val="both"/>
        <w:rPr>
          <w:szCs w:val="26"/>
        </w:rPr>
      </w:pPr>
      <w:r>
        <w:rPr>
          <w:szCs w:val="26"/>
        </w:rPr>
        <w:t xml:space="preserve">A motion to adjourn into executive session must specify which of the </w:t>
      </w:r>
      <w:r>
        <w:rPr>
          <w:i/>
          <w:szCs w:val="26"/>
        </w:rPr>
        <w:t>particular</w:t>
      </w:r>
      <w:r>
        <w:rPr>
          <w:szCs w:val="26"/>
        </w:rPr>
        <w:t xml:space="preserve"> personnel matter(s) listed in the statute the movant proposes to discuss</w:t>
      </w:r>
      <w:r w:rsidRPr="00D8365A">
        <w:rPr>
          <w:szCs w:val="26"/>
        </w:rPr>
        <w:t xml:space="preserve">.  A motion “to discuss personnel matters” </w:t>
      </w:r>
      <w:r w:rsidRPr="00D8365A">
        <w:rPr>
          <w:i/>
          <w:szCs w:val="26"/>
        </w:rPr>
        <w:t>is not sufficiently specific</w:t>
      </w:r>
      <w:r w:rsidRPr="00D8365A">
        <w:rPr>
          <w:szCs w:val="26"/>
        </w:rPr>
        <w:t xml:space="preserve"> and </w:t>
      </w:r>
      <w:r w:rsidRPr="00D8365A">
        <w:rPr>
          <w:i/>
          <w:szCs w:val="26"/>
        </w:rPr>
        <w:t>does not comply with the statute</w:t>
      </w:r>
      <w:r w:rsidRPr="00D8365A">
        <w:rPr>
          <w:szCs w:val="26"/>
        </w:rPr>
        <w:t>.</w:t>
      </w:r>
      <w:r>
        <w:rPr>
          <w:rStyle w:val="EndnoteReference"/>
        </w:rPr>
        <w:endnoteReference w:id="1114"/>
      </w:r>
      <w:r>
        <w:rPr>
          <w:szCs w:val="26"/>
        </w:rPr>
        <w:t xml:space="preserve">  One court has concluded that a public body violated the Open Meetings Act by going into executive session for the stated purpose of an employee’s “evaluation.”  That court did not “necessarily disagree” that the Act allows discussion on an employee’s “job performance” in executive session, but it concluded that “the public body must </w:t>
      </w:r>
      <w:r>
        <w:rPr>
          <w:szCs w:val="26"/>
        </w:rPr>
        <w:lastRenderedPageBreak/>
        <w:t>specify the context in which ‘job performance’ will be considered by identifying one of the statutory purposes set forth in R.C. 121.22(G).”</w:t>
      </w:r>
      <w:r>
        <w:rPr>
          <w:rStyle w:val="EndnoteReference"/>
        </w:rPr>
        <w:endnoteReference w:id="1115"/>
      </w:r>
      <w:r>
        <w:rPr>
          <w:szCs w:val="26"/>
        </w:rPr>
        <w:t xml:space="preserve">  The motion need not include the name of the person involved in the specified personnel matter</w:t>
      </w:r>
      <w:r>
        <w:rPr>
          <w:rStyle w:val="EndnoteReference"/>
        </w:rPr>
        <w:endnoteReference w:id="1116"/>
      </w:r>
      <w:r>
        <w:rPr>
          <w:szCs w:val="26"/>
        </w:rPr>
        <w:t xml:space="preserve"> or disclose “private facts.”</w:t>
      </w:r>
      <w:r>
        <w:rPr>
          <w:rStyle w:val="EndnoteReference"/>
        </w:rPr>
        <w:endnoteReference w:id="1117"/>
      </w:r>
    </w:p>
    <w:p w14:paraId="365CA83F" w14:textId="77777777" w:rsidR="00A7740F" w:rsidRDefault="00A7740F">
      <w:pPr>
        <w:spacing w:line="220" w:lineRule="exact"/>
        <w:ind w:left="360"/>
        <w:jc w:val="both"/>
        <w:rPr>
          <w:szCs w:val="26"/>
        </w:rPr>
      </w:pPr>
    </w:p>
    <w:p w14:paraId="1BAF3C8D" w14:textId="688AD31D" w:rsidR="00681BA7" w:rsidRDefault="00681BA7">
      <w:pPr>
        <w:spacing w:line="220" w:lineRule="exact"/>
        <w:ind w:left="360"/>
        <w:jc w:val="both"/>
        <w:rPr>
          <w:szCs w:val="26"/>
        </w:rPr>
      </w:pPr>
      <w:r>
        <w:rPr>
          <w:szCs w:val="26"/>
        </w:rPr>
        <w:t>Appellate courts disagree whether a public body must limit its discussion of personnel in an executive session to a specific individual or may include broader discussion of employee matters.  At least three appellate courts have held that the language of the Open Meetings Act clearly limits discussion in executive session to consideration of a specific employee’s employment, dismissal, etc.</w:t>
      </w:r>
      <w:r>
        <w:rPr>
          <w:rStyle w:val="EndnoteReference"/>
        </w:rPr>
        <w:endnoteReference w:id="1118"/>
      </w:r>
      <w:r>
        <w:rPr>
          <w:szCs w:val="26"/>
        </w:rPr>
        <w:t xml:space="preserve">  These court decisions are based on the plain language in the Act, which requires that “all meetings of any public body are declared to be open to the public at all times,”</w:t>
      </w:r>
      <w:r>
        <w:rPr>
          <w:rStyle w:val="EndnoteReference"/>
        </w:rPr>
        <w:endnoteReference w:id="1119"/>
      </w:r>
      <w:r>
        <w:rPr>
          <w:szCs w:val="26"/>
        </w:rPr>
        <w:t xml:space="preserve"> meaning any exemptions to openness should be drawn narrowly.  A different appellate court, however, looked to a different provision in the Act that permits the public body to exclude the name of any person to be considered during the executive session as allowing general personnel discussions.</w:t>
      </w:r>
      <w:r>
        <w:rPr>
          <w:rStyle w:val="EndnoteReference"/>
        </w:rPr>
        <w:endnoteReference w:id="1120"/>
      </w:r>
      <w:r w:rsidR="009444CF">
        <w:rPr>
          <w:szCs w:val="26"/>
        </w:rPr>
        <w:t xml:space="preserve">  It is important for a public body to consult the case law within its own appellate district to determine what applies.</w:t>
      </w:r>
    </w:p>
    <w:p w14:paraId="15A539C3" w14:textId="77777777" w:rsidR="00E52CBE" w:rsidRDefault="00E52CBE">
      <w:pPr>
        <w:spacing w:line="220" w:lineRule="exact"/>
        <w:ind w:left="360"/>
        <w:jc w:val="both"/>
        <w:rPr>
          <w:szCs w:val="26"/>
        </w:rPr>
      </w:pPr>
    </w:p>
    <w:p w14:paraId="2CB2A186" w14:textId="70470B96" w:rsidR="00681BA7" w:rsidRDefault="00681BA7" w:rsidP="00322085">
      <w:pPr>
        <w:pStyle w:val="Heading3"/>
      </w:pPr>
      <w:bookmarkStart w:id="631" w:name="_Toc159851691"/>
      <w:r>
        <w:t>2.</w:t>
      </w:r>
      <w:r>
        <w:tab/>
        <w:t>Purchase or sale of property</w:t>
      </w:r>
      <w:bookmarkEnd w:id="631"/>
    </w:p>
    <w:p w14:paraId="5BEB6346" w14:textId="77777777" w:rsidR="00681BA7" w:rsidRDefault="00681BA7">
      <w:pPr>
        <w:spacing w:line="220" w:lineRule="exact"/>
        <w:ind w:left="360"/>
        <w:jc w:val="both"/>
        <w:rPr>
          <w:szCs w:val="26"/>
        </w:rPr>
      </w:pPr>
      <w:r>
        <w:rPr>
          <w:szCs w:val="26"/>
        </w:rPr>
        <w:t>A public body may adjourn into executive session to consider the purchase of property of any sort – real, personal, tangible, or intangible.</w:t>
      </w:r>
      <w:r>
        <w:rPr>
          <w:rStyle w:val="EndnoteReference"/>
        </w:rPr>
        <w:endnoteReference w:id="1121"/>
      </w:r>
      <w:r>
        <w:rPr>
          <w:szCs w:val="26"/>
        </w:rPr>
        <w:t xml:space="preserve">  A public body may also adjourn into executive session to consider the sale of real or personal property by competitive bid, or the sale or disposition of unneeded, obsolete, or unfit property under R.C. 505.10, if disclosure of the information would result in a competitive advantage to the person whose personal, private interest is adverse to the general public interest.</w:t>
      </w:r>
      <w:r>
        <w:rPr>
          <w:rStyle w:val="EndnoteReference"/>
        </w:rPr>
        <w:endnoteReference w:id="1122"/>
      </w:r>
      <w:r>
        <w:rPr>
          <w:szCs w:val="26"/>
        </w:rPr>
        <w:t xml:space="preserve">  No member of a public body may use this exemption as subterfuge to provide covert information to prospective buyers or sellers.</w:t>
      </w:r>
      <w:r>
        <w:rPr>
          <w:rStyle w:val="EndnoteReference"/>
        </w:rPr>
        <w:endnoteReference w:id="1123"/>
      </w:r>
    </w:p>
    <w:p w14:paraId="145179DC" w14:textId="77777777" w:rsidR="00E52CBE" w:rsidRDefault="00E52CBE">
      <w:pPr>
        <w:spacing w:line="220" w:lineRule="exact"/>
        <w:ind w:left="360"/>
        <w:jc w:val="both"/>
        <w:rPr>
          <w:szCs w:val="26"/>
        </w:rPr>
      </w:pPr>
    </w:p>
    <w:p w14:paraId="704C6D36" w14:textId="5E48E6BC" w:rsidR="00681BA7" w:rsidRDefault="00681BA7" w:rsidP="00322085">
      <w:pPr>
        <w:pStyle w:val="Heading3"/>
      </w:pPr>
      <w:bookmarkStart w:id="632" w:name="_Toc159851692"/>
      <w:r>
        <w:t>3.</w:t>
      </w:r>
      <w:r>
        <w:tab/>
        <w:t>Pending or imminent court action</w:t>
      </w:r>
      <w:bookmarkEnd w:id="632"/>
    </w:p>
    <w:p w14:paraId="3F06A954" w14:textId="168F48E3" w:rsidR="00681BA7" w:rsidRDefault="00681BA7">
      <w:pPr>
        <w:spacing w:line="220" w:lineRule="exact"/>
        <w:ind w:left="360"/>
        <w:jc w:val="both"/>
        <w:rPr>
          <w:szCs w:val="26"/>
        </w:rPr>
      </w:pPr>
      <w:r>
        <w:rPr>
          <w:szCs w:val="26"/>
        </w:rPr>
        <w:t>A public body may adjourn into executive session with the public body’s attorney to discuss a pending or imminent court action.</w:t>
      </w:r>
      <w:r>
        <w:rPr>
          <w:rStyle w:val="EndnoteReference"/>
        </w:rPr>
        <w:endnoteReference w:id="1124"/>
      </w:r>
      <w:r>
        <w:rPr>
          <w:szCs w:val="26"/>
        </w:rPr>
        <w:t xml:space="preserve">  Court action is “pending” if a lawsuit has been commenced, and it is “imminent” if it is on the brink of commencing.</w:t>
      </w:r>
      <w:r>
        <w:rPr>
          <w:rStyle w:val="EndnoteReference"/>
        </w:rPr>
        <w:endnoteReference w:id="1125"/>
      </w:r>
      <w:r>
        <w:rPr>
          <w:szCs w:val="26"/>
        </w:rPr>
        <w:t xml:space="preserve">  Courts have concluded that threatened litigation is imminent and may be discussed in executive session.</w:t>
      </w:r>
      <w:r>
        <w:rPr>
          <w:rStyle w:val="EndnoteReference"/>
        </w:rPr>
        <w:endnoteReference w:id="1126"/>
      </w:r>
      <w:r>
        <w:rPr>
          <w:szCs w:val="26"/>
        </w:rPr>
        <w:t xml:space="preserve">  </w:t>
      </w:r>
      <w:r w:rsidR="006D5959">
        <w:rPr>
          <w:szCs w:val="26"/>
        </w:rPr>
        <w:t>However,</w:t>
      </w:r>
      <w:r>
        <w:rPr>
          <w:szCs w:val="26"/>
        </w:rPr>
        <w:t xml:space="preserve"> a general discussion of legal matters is not a sufficient basis for invoking this provision.</w:t>
      </w:r>
      <w:r>
        <w:rPr>
          <w:rStyle w:val="EndnoteReference"/>
        </w:rPr>
        <w:endnoteReference w:id="1127"/>
      </w:r>
      <w:r>
        <w:rPr>
          <w:szCs w:val="26"/>
        </w:rPr>
        <w:t xml:space="preserve">  Note that a member of a public body is not necessarily the public body’s duly-appointed counsel simply because the member happens to also be an attorney.</w:t>
      </w:r>
      <w:r>
        <w:rPr>
          <w:rStyle w:val="EndnoteReference"/>
          <w:szCs w:val="26"/>
        </w:rPr>
        <w:endnoteReference w:id="1128"/>
      </w:r>
    </w:p>
    <w:p w14:paraId="79423F82" w14:textId="77777777" w:rsidR="00E52CBE" w:rsidRDefault="00E52CBE">
      <w:pPr>
        <w:spacing w:line="220" w:lineRule="exact"/>
        <w:ind w:left="360"/>
        <w:jc w:val="both"/>
        <w:rPr>
          <w:szCs w:val="26"/>
        </w:rPr>
      </w:pPr>
    </w:p>
    <w:p w14:paraId="7D9AC6F7" w14:textId="7E2986F6" w:rsidR="00681BA7" w:rsidRDefault="00681BA7" w:rsidP="00322085">
      <w:pPr>
        <w:pStyle w:val="Heading3"/>
      </w:pPr>
      <w:bookmarkStart w:id="633" w:name="_Toc159851693"/>
      <w:r>
        <w:t>4.</w:t>
      </w:r>
      <w:r>
        <w:tab/>
        <w:t>Collective bargaining matters</w:t>
      </w:r>
      <w:bookmarkEnd w:id="633"/>
    </w:p>
    <w:p w14:paraId="35CFEE90" w14:textId="77777777" w:rsidR="00681BA7" w:rsidRDefault="00681BA7">
      <w:pPr>
        <w:spacing w:line="220" w:lineRule="exact"/>
        <w:ind w:left="360"/>
        <w:jc w:val="both"/>
        <w:rPr>
          <w:szCs w:val="26"/>
        </w:rPr>
      </w:pPr>
      <w:r>
        <w:rPr>
          <w:szCs w:val="26"/>
        </w:rPr>
        <w:t>A public body may adjourn into executive session to prepare for, conduct, or review a collective bargaining strategy.</w:t>
      </w:r>
      <w:r>
        <w:rPr>
          <w:rStyle w:val="EndnoteReference"/>
        </w:rPr>
        <w:endnoteReference w:id="1129"/>
      </w:r>
    </w:p>
    <w:p w14:paraId="48BE3F9F" w14:textId="77777777" w:rsidR="00E52CBE" w:rsidRDefault="00E52CBE">
      <w:pPr>
        <w:spacing w:line="220" w:lineRule="exact"/>
        <w:ind w:left="360"/>
        <w:jc w:val="both"/>
        <w:rPr>
          <w:szCs w:val="26"/>
        </w:rPr>
      </w:pPr>
    </w:p>
    <w:p w14:paraId="04FFD578" w14:textId="688BCD19" w:rsidR="00681BA7" w:rsidRDefault="00681BA7" w:rsidP="00322085">
      <w:pPr>
        <w:pStyle w:val="Heading3"/>
      </w:pPr>
      <w:bookmarkStart w:id="634" w:name="_Toc159851694"/>
      <w:r>
        <w:t>5.</w:t>
      </w:r>
      <w:r>
        <w:tab/>
        <w:t>Matters required to be kept confidential</w:t>
      </w:r>
      <w:bookmarkEnd w:id="634"/>
    </w:p>
    <w:p w14:paraId="33753B43" w14:textId="04270785" w:rsidR="000A6320" w:rsidRDefault="00681BA7" w:rsidP="00D8365A">
      <w:pPr>
        <w:spacing w:line="220" w:lineRule="exact"/>
        <w:ind w:left="360"/>
        <w:jc w:val="both"/>
        <w:rPr>
          <w:szCs w:val="26"/>
        </w:rPr>
      </w:pPr>
      <w:r>
        <w:rPr>
          <w:szCs w:val="26"/>
        </w:rPr>
        <w:t>A public body may adjourn into executive session to discuss matters that federal law or regulations or state statutes require the public body to keep confidential.</w:t>
      </w:r>
      <w:r>
        <w:rPr>
          <w:rStyle w:val="EndnoteReference"/>
        </w:rPr>
        <w:endnoteReference w:id="1130"/>
      </w:r>
      <w:r>
        <w:rPr>
          <w:szCs w:val="26"/>
        </w:rPr>
        <w:t xml:space="preserve">  The common law attorney-client privilege does not qualify under this enumerated exemption to allow general legal advice in executive session because the public body is not </w:t>
      </w:r>
      <w:r>
        <w:rPr>
          <w:i/>
          <w:szCs w:val="26"/>
        </w:rPr>
        <w:t>required</w:t>
      </w:r>
      <w:r>
        <w:rPr>
          <w:szCs w:val="26"/>
        </w:rPr>
        <w:t xml:space="preserve"> to assert the privilege.</w:t>
      </w:r>
      <w:r>
        <w:rPr>
          <w:rStyle w:val="EndnoteReference"/>
        </w:rPr>
        <w:endnoteReference w:id="1131"/>
      </w:r>
    </w:p>
    <w:p w14:paraId="427421E0" w14:textId="77777777" w:rsidR="00E52CBE" w:rsidRDefault="00E52CBE" w:rsidP="00D8365A">
      <w:pPr>
        <w:spacing w:line="220" w:lineRule="exact"/>
        <w:ind w:left="360"/>
        <w:jc w:val="both"/>
        <w:rPr>
          <w:szCs w:val="26"/>
        </w:rPr>
      </w:pPr>
    </w:p>
    <w:p w14:paraId="3C5F67ED" w14:textId="55DBB1DB" w:rsidR="00681BA7" w:rsidRDefault="00681BA7" w:rsidP="00322085">
      <w:pPr>
        <w:pStyle w:val="Heading3"/>
      </w:pPr>
      <w:bookmarkStart w:id="635" w:name="_Toc159851695"/>
      <w:r>
        <w:t>6.</w:t>
      </w:r>
      <w:r>
        <w:tab/>
        <w:t>Security matters</w:t>
      </w:r>
      <w:bookmarkEnd w:id="635"/>
    </w:p>
    <w:p w14:paraId="3322C09F" w14:textId="77777777" w:rsidR="00681BA7" w:rsidRDefault="00681BA7">
      <w:pPr>
        <w:spacing w:line="220" w:lineRule="exact"/>
        <w:ind w:left="360"/>
        <w:jc w:val="both"/>
        <w:rPr>
          <w:szCs w:val="26"/>
        </w:rPr>
      </w:pPr>
      <w:r>
        <w:rPr>
          <w:szCs w:val="26"/>
        </w:rPr>
        <w:t>A public body may adjourn into executive session to discuss details of security arrangements and emergency response protocols for a public body or public office if disclosure of the matters discussed could reasonably be expected to jeopardize the security of the public body or public office.</w:t>
      </w:r>
      <w:r>
        <w:rPr>
          <w:rStyle w:val="EndnoteReference"/>
        </w:rPr>
        <w:endnoteReference w:id="1132"/>
      </w:r>
    </w:p>
    <w:p w14:paraId="7ADEDA18" w14:textId="77777777" w:rsidR="00E52CBE" w:rsidRDefault="00E52CBE">
      <w:pPr>
        <w:spacing w:line="220" w:lineRule="exact"/>
        <w:ind w:left="360"/>
        <w:jc w:val="both"/>
        <w:rPr>
          <w:szCs w:val="26"/>
        </w:rPr>
      </w:pPr>
    </w:p>
    <w:p w14:paraId="3E126B80" w14:textId="77777777" w:rsidR="00E52CBE" w:rsidRDefault="00E52CBE">
      <w:pPr>
        <w:spacing w:line="220" w:lineRule="exact"/>
        <w:ind w:left="360"/>
        <w:jc w:val="both"/>
        <w:rPr>
          <w:szCs w:val="26"/>
        </w:rPr>
      </w:pPr>
    </w:p>
    <w:p w14:paraId="57445F37" w14:textId="75FFF8BC" w:rsidR="00681BA7" w:rsidRDefault="00681BA7" w:rsidP="00322085">
      <w:pPr>
        <w:pStyle w:val="Heading3"/>
      </w:pPr>
      <w:bookmarkStart w:id="636" w:name="_Toc159851696"/>
      <w:r>
        <w:lastRenderedPageBreak/>
        <w:t>7.</w:t>
      </w:r>
      <w:r>
        <w:tab/>
        <w:t>Hospital trade secrets</w:t>
      </w:r>
      <w:bookmarkEnd w:id="636"/>
    </w:p>
    <w:p w14:paraId="75059772" w14:textId="1E6B4318" w:rsidR="00681BA7" w:rsidRDefault="00681BA7">
      <w:pPr>
        <w:spacing w:line="220" w:lineRule="exact"/>
        <w:ind w:left="360"/>
        <w:jc w:val="both"/>
        <w:rPr>
          <w:szCs w:val="26"/>
        </w:rPr>
      </w:pPr>
      <w:r>
        <w:rPr>
          <w:szCs w:val="26"/>
        </w:rPr>
        <w:t>Certain hospital public bodies established by counties, joint townships, or municipalities may adjourn into executive session to discuss trade secrets as defined by R.C. 1333.61.</w:t>
      </w:r>
      <w:r>
        <w:rPr>
          <w:rStyle w:val="EndnoteReference"/>
        </w:rPr>
        <w:endnoteReference w:id="1133"/>
      </w:r>
    </w:p>
    <w:p w14:paraId="13F9A1EC" w14:textId="77777777" w:rsidR="004B5C85" w:rsidRDefault="004B5C85">
      <w:pPr>
        <w:spacing w:line="220" w:lineRule="exact"/>
        <w:ind w:left="360"/>
        <w:jc w:val="both"/>
        <w:rPr>
          <w:szCs w:val="26"/>
        </w:rPr>
      </w:pPr>
    </w:p>
    <w:p w14:paraId="728FE1C7" w14:textId="7287DD1B" w:rsidR="00681BA7" w:rsidRDefault="00681BA7" w:rsidP="00322085">
      <w:pPr>
        <w:pStyle w:val="Heading3"/>
      </w:pPr>
      <w:bookmarkStart w:id="637" w:name="_Toc159851697"/>
      <w:r w:rsidRPr="00257DA2">
        <w:t>8.</w:t>
      </w:r>
      <w:r w:rsidRPr="00257DA2">
        <w:tab/>
        <w:t xml:space="preserve">Confidential business information of an applicant for economic </w:t>
      </w:r>
      <w:r w:rsidR="00E52CBE">
        <w:tab/>
      </w:r>
      <w:r w:rsidR="00E52CBE">
        <w:tab/>
      </w:r>
      <w:r w:rsidR="00E52CBE">
        <w:tab/>
      </w:r>
      <w:r w:rsidRPr="00257DA2">
        <w:t>development assistance</w:t>
      </w:r>
      <w:bookmarkEnd w:id="637"/>
    </w:p>
    <w:p w14:paraId="14D588C1" w14:textId="77777777" w:rsidR="00681BA7" w:rsidRDefault="00681BA7">
      <w:pPr>
        <w:spacing w:line="220" w:lineRule="exact"/>
        <w:ind w:left="360"/>
        <w:jc w:val="both"/>
        <w:rPr>
          <w:szCs w:val="26"/>
        </w:rPr>
      </w:pPr>
      <w:r>
        <w:rPr>
          <w:szCs w:val="26"/>
        </w:rPr>
        <w:t>This topic requires that the information to be discussed in executive session be directly related to economic development assistance of specified types listed in the statute.</w:t>
      </w:r>
      <w:r>
        <w:rPr>
          <w:rStyle w:val="EndnoteReference"/>
        </w:rPr>
        <w:endnoteReference w:id="1134"/>
      </w:r>
      <w:r>
        <w:rPr>
          <w:szCs w:val="26"/>
        </w:rPr>
        <w:t xml:space="preserve">  “A unanimous quorum of the public body [must determine], by a roll call vote, that the executive session is necessary to protect the interests of the applicant or the possible investment or expenditure of public funds to be made in connection with the economic development project.”</w:t>
      </w:r>
      <w:r>
        <w:rPr>
          <w:rStyle w:val="EndnoteReference"/>
        </w:rPr>
        <w:endnoteReference w:id="1135"/>
      </w:r>
    </w:p>
    <w:p w14:paraId="2DAAF526" w14:textId="77777777" w:rsidR="006806E9" w:rsidRDefault="006806E9">
      <w:pPr>
        <w:spacing w:line="220" w:lineRule="exact"/>
        <w:ind w:left="360"/>
        <w:jc w:val="both"/>
        <w:rPr>
          <w:szCs w:val="26"/>
        </w:rPr>
      </w:pPr>
    </w:p>
    <w:p w14:paraId="5EEC1885" w14:textId="3A2C463A" w:rsidR="00681BA7" w:rsidRDefault="00681BA7" w:rsidP="00322085">
      <w:pPr>
        <w:pStyle w:val="Heading3"/>
      </w:pPr>
      <w:bookmarkStart w:id="638" w:name="_Toc159851698"/>
      <w:r>
        <w:t>9.</w:t>
      </w:r>
      <w:r>
        <w:tab/>
        <w:t xml:space="preserve">Veterans Service Commission </w:t>
      </w:r>
      <w:r w:rsidR="00882395">
        <w:t>a</w:t>
      </w:r>
      <w:r>
        <w:t>pplications</w:t>
      </w:r>
      <w:bookmarkEnd w:id="638"/>
    </w:p>
    <w:p w14:paraId="2275A04D" w14:textId="2E955E85" w:rsidR="00681BA7" w:rsidRDefault="00681BA7">
      <w:pPr>
        <w:spacing w:line="220" w:lineRule="exact"/>
        <w:ind w:left="360"/>
        <w:jc w:val="both"/>
        <w:rPr>
          <w:szCs w:val="26"/>
        </w:rPr>
      </w:pPr>
      <w:r>
        <w:rPr>
          <w:szCs w:val="26"/>
        </w:rPr>
        <w:t>A Veterans Service Commission must hold an executive session when considering an applicant’s request for financial assistance unless the applicant requests a public hearing.</w:t>
      </w:r>
      <w:r>
        <w:rPr>
          <w:rStyle w:val="EndnoteReference"/>
        </w:rPr>
        <w:endnoteReference w:id="1136"/>
      </w:r>
      <w:r>
        <w:rPr>
          <w:szCs w:val="26"/>
        </w:rPr>
        <w:t xml:space="preserve">  Note that, unlike the </w:t>
      </w:r>
      <w:r w:rsidR="00F758E7">
        <w:rPr>
          <w:szCs w:val="26"/>
        </w:rPr>
        <w:t>other</w:t>
      </w:r>
      <w:r>
        <w:rPr>
          <w:szCs w:val="26"/>
        </w:rPr>
        <w:t xml:space="preserve"> discussion topics, discussion of Veterans Service Commission applications in executive session is mandatory.</w:t>
      </w:r>
    </w:p>
    <w:p w14:paraId="159378BA" w14:textId="048F0EFC" w:rsidR="00681BA7" w:rsidRPr="00345637" w:rsidRDefault="00681BA7" w:rsidP="00322085">
      <w:pPr>
        <w:pStyle w:val="Heading2"/>
      </w:pPr>
      <w:bookmarkStart w:id="639" w:name="_Toc159851699"/>
      <w:r w:rsidRPr="00345637">
        <w:t>C.</w:t>
      </w:r>
      <w:r w:rsidRPr="00345637">
        <w:tab/>
        <w:t>Proper Procedures for Executive Session</w:t>
      </w:r>
      <w:bookmarkEnd w:id="639"/>
    </w:p>
    <w:p w14:paraId="558B2760" w14:textId="77777777" w:rsidR="00681BA7" w:rsidRDefault="00681BA7" w:rsidP="00F758E7">
      <w:pPr>
        <w:spacing w:line="220" w:lineRule="exact"/>
        <w:ind w:left="360"/>
        <w:jc w:val="both"/>
        <w:rPr>
          <w:szCs w:val="26"/>
        </w:rPr>
      </w:pPr>
      <w:r>
        <w:rPr>
          <w:szCs w:val="26"/>
        </w:rPr>
        <w:t>A public body may only hold an executive session at a regular or special meeting, and a meeting that includes an executive session must always begin and end in an open session.</w:t>
      </w:r>
      <w:r>
        <w:rPr>
          <w:rStyle w:val="EndnoteReference"/>
        </w:rPr>
        <w:endnoteReference w:id="1137"/>
      </w:r>
      <w:r>
        <w:rPr>
          <w:szCs w:val="26"/>
        </w:rPr>
        <w:t xml:space="preserve">  In order to begin an executive session, there must be a proper motion approved by a majority</w:t>
      </w:r>
      <w:r>
        <w:rPr>
          <w:rStyle w:val="EndnoteReference"/>
        </w:rPr>
        <w:endnoteReference w:id="1138"/>
      </w:r>
      <w:r>
        <w:rPr>
          <w:szCs w:val="26"/>
        </w:rPr>
        <w:t xml:space="preserve"> of a quorum of the public body, using a roll call vote.</w:t>
      </w:r>
      <w:r>
        <w:rPr>
          <w:rStyle w:val="EndnoteReference"/>
        </w:rPr>
        <w:endnoteReference w:id="1139"/>
      </w:r>
    </w:p>
    <w:p w14:paraId="09EAFDCE" w14:textId="77777777" w:rsidR="006806E9" w:rsidRDefault="006806E9" w:rsidP="00F758E7">
      <w:pPr>
        <w:spacing w:line="220" w:lineRule="exact"/>
        <w:ind w:left="360"/>
        <w:jc w:val="both"/>
        <w:rPr>
          <w:szCs w:val="26"/>
        </w:rPr>
      </w:pPr>
    </w:p>
    <w:p w14:paraId="5672635E" w14:textId="4C0EC980" w:rsidR="00681BA7" w:rsidRDefault="00681BA7" w:rsidP="00322085">
      <w:pPr>
        <w:pStyle w:val="Heading3"/>
      </w:pPr>
      <w:bookmarkStart w:id="641" w:name="_Toc159851700"/>
      <w:r>
        <w:t>1.</w:t>
      </w:r>
      <w:r>
        <w:tab/>
        <w:t>The motion</w:t>
      </w:r>
      <w:bookmarkEnd w:id="641"/>
    </w:p>
    <w:p w14:paraId="7D5AF0A6" w14:textId="52557CA8" w:rsidR="00681BA7" w:rsidRDefault="00681BA7">
      <w:pPr>
        <w:spacing w:line="220" w:lineRule="exact"/>
        <w:ind w:left="360"/>
        <w:jc w:val="both"/>
        <w:rPr>
          <w:szCs w:val="26"/>
        </w:rPr>
      </w:pPr>
      <w:r>
        <w:rPr>
          <w:szCs w:val="26"/>
        </w:rPr>
        <w:t xml:space="preserve">A motion for executive session must specifically identify “which one or more of the approved matters listed </w:t>
      </w:r>
      <w:r>
        <w:rPr>
          <w:szCs w:val="26"/>
        </w:rPr>
        <w:sym w:font="Symbol" w:char="F0BC"/>
      </w:r>
      <w:r>
        <w:rPr>
          <w:szCs w:val="26"/>
        </w:rPr>
        <w:t xml:space="preserve"> are to be considered at the executive session.”</w:t>
      </w:r>
      <w:r>
        <w:rPr>
          <w:rStyle w:val="EndnoteReference"/>
        </w:rPr>
        <w:endnoteReference w:id="1140"/>
      </w:r>
      <w:r>
        <w:rPr>
          <w:szCs w:val="26"/>
        </w:rPr>
        <w:t xml:space="preserve">  Thus, if the public body intends to discuss one of the matters included in the personnel exemption in executive session, the motion must specify which of those specific matters it will discuss (e.g., “I move to go into executive session to consider the promotion or compensation of a public employee.”).</w:t>
      </w:r>
      <w:r>
        <w:rPr>
          <w:rStyle w:val="EndnoteReference"/>
        </w:rPr>
        <w:endnoteReference w:id="1141"/>
      </w:r>
      <w:r>
        <w:rPr>
          <w:szCs w:val="26"/>
        </w:rPr>
        <w:t xml:space="preserve">  It is not sufficient to simply state “personnel” as a reason for executive session.</w:t>
      </w:r>
      <w:r>
        <w:rPr>
          <w:rStyle w:val="EndnoteReference"/>
        </w:rPr>
        <w:endnoteReference w:id="1142"/>
      </w:r>
      <w:r>
        <w:rPr>
          <w:szCs w:val="26"/>
        </w:rPr>
        <w:t xml:space="preserve">  The motion does not need to </w:t>
      </w:r>
      <w:r w:rsidR="006D5959">
        <w:rPr>
          <w:szCs w:val="26"/>
        </w:rPr>
        <w:t>ident</w:t>
      </w:r>
      <w:r>
        <w:rPr>
          <w:szCs w:val="26"/>
        </w:rPr>
        <w:t>ify the person whom the public body intends to discuss.</w:t>
      </w:r>
      <w:r>
        <w:rPr>
          <w:rStyle w:val="EndnoteReference"/>
        </w:rPr>
        <w:endnoteReference w:id="1143"/>
      </w:r>
      <w:r>
        <w:rPr>
          <w:szCs w:val="26"/>
        </w:rPr>
        <w:t xml:space="preserve">  Similarly, reiterating “the laundry list of possible matters from R.C. 121.22(G)(1) without specifying which of those purposes [will] be discussed in executive session” is improper.</w:t>
      </w:r>
      <w:r>
        <w:rPr>
          <w:rStyle w:val="EndnoteReference"/>
        </w:rPr>
        <w:endnoteReference w:id="1144"/>
      </w:r>
      <w:r w:rsidR="000D6299">
        <w:rPr>
          <w:szCs w:val="26"/>
        </w:rPr>
        <w:t xml:space="preserve"> Finally, a public body’s motion to enter into executive session should include all the topics it might reasonably discuss during an executive session. </w:t>
      </w:r>
      <w:r w:rsidR="00707B4A">
        <w:rPr>
          <w:szCs w:val="26"/>
        </w:rPr>
        <w:t>But</w:t>
      </w:r>
      <w:r w:rsidR="000D6299">
        <w:rPr>
          <w:szCs w:val="26"/>
        </w:rPr>
        <w:t xml:space="preserve"> the public body is not required to discuss every topic it included in the motion during executive session.</w:t>
      </w:r>
      <w:r w:rsidR="000D6299">
        <w:rPr>
          <w:rStyle w:val="EndnoteReference"/>
          <w:szCs w:val="26"/>
        </w:rPr>
        <w:endnoteReference w:id="1145"/>
      </w:r>
    </w:p>
    <w:p w14:paraId="787C53B7" w14:textId="77777777" w:rsidR="006806E9" w:rsidRDefault="006806E9">
      <w:pPr>
        <w:spacing w:line="220" w:lineRule="exact"/>
        <w:ind w:left="360"/>
        <w:jc w:val="both"/>
        <w:rPr>
          <w:szCs w:val="26"/>
        </w:rPr>
      </w:pPr>
    </w:p>
    <w:p w14:paraId="24CF18E7" w14:textId="38AB51DA" w:rsidR="00681BA7" w:rsidRDefault="00681BA7" w:rsidP="00322085">
      <w:pPr>
        <w:pStyle w:val="Heading3"/>
      </w:pPr>
      <w:bookmarkStart w:id="642" w:name="_Toc159851701"/>
      <w:r>
        <w:t>2.</w:t>
      </w:r>
      <w:r>
        <w:tab/>
        <w:t>The roll call vote</w:t>
      </w:r>
      <w:bookmarkEnd w:id="642"/>
    </w:p>
    <w:p w14:paraId="37FB0E7D" w14:textId="4C855FD6" w:rsidR="00681BA7" w:rsidRDefault="00681BA7">
      <w:pPr>
        <w:spacing w:line="220" w:lineRule="exact"/>
        <w:ind w:left="360"/>
        <w:jc w:val="both"/>
        <w:rPr>
          <w:szCs w:val="26"/>
        </w:rPr>
      </w:pPr>
      <w:r>
        <w:rPr>
          <w:szCs w:val="26"/>
        </w:rPr>
        <w:t>Members of a public body may adjourn into executive session only after a majority of a quorum of the public body approves the motion by a roll call vote.</w:t>
      </w:r>
      <w:r>
        <w:rPr>
          <w:rStyle w:val="EndnoteReference"/>
        </w:rPr>
        <w:endnoteReference w:id="1146"/>
      </w:r>
      <w:r>
        <w:rPr>
          <w:szCs w:val="26"/>
        </w:rPr>
        <w:t xml:space="preserve">  The vote may not be by </w:t>
      </w:r>
      <w:r w:rsidR="0039591C">
        <w:rPr>
          <w:szCs w:val="26"/>
        </w:rPr>
        <w:t>a</w:t>
      </w:r>
      <w:r>
        <w:rPr>
          <w:szCs w:val="26"/>
        </w:rPr>
        <w:t xml:space="preserve"> show of hands, and the public body should record the vote in its minutes.</w:t>
      </w:r>
      <w:r>
        <w:rPr>
          <w:rStyle w:val="EndnoteReference"/>
        </w:rPr>
        <w:endnoteReference w:id="1147"/>
      </w:r>
    </w:p>
    <w:p w14:paraId="3567B092" w14:textId="77777777" w:rsidR="00681BA7" w:rsidRDefault="00681BA7">
      <w:pPr>
        <w:spacing w:line="220" w:lineRule="exact"/>
        <w:ind w:left="360"/>
        <w:jc w:val="both"/>
        <w:rPr>
          <w:szCs w:val="26"/>
        </w:rPr>
      </w:pPr>
    </w:p>
    <w:p w14:paraId="65ED9EBD" w14:textId="25AED7BC" w:rsidR="00681BA7" w:rsidRDefault="00681BA7">
      <w:pPr>
        <w:spacing w:line="220" w:lineRule="exact"/>
        <w:ind w:left="360"/>
        <w:jc w:val="both"/>
        <w:rPr>
          <w:szCs w:val="26"/>
        </w:rPr>
      </w:pPr>
      <w:r>
        <w:rPr>
          <w:szCs w:val="26"/>
        </w:rPr>
        <w:t xml:space="preserve">Although a proper motion is required before entering executive session, a motion to end the executive session and return to public session is not necessary because the closed-door discussion is “off the record.”  Similarly, a public body does not </w:t>
      </w:r>
      <w:r w:rsidR="006D5959">
        <w:rPr>
          <w:szCs w:val="26"/>
        </w:rPr>
        <w:t xml:space="preserve">have to </w:t>
      </w:r>
      <w:r>
        <w:rPr>
          <w:szCs w:val="26"/>
        </w:rPr>
        <w:t>take minutes during executive session.  Note that any minutes taken during executive session may be subject to the Public Records Act.  The minutes of the meeting need only document a motion to go into executive session that properly identifies the permissible topic or topics that the public body will discuss, as well as the return to open session (e.g., “We are now back on the record.”).</w:t>
      </w:r>
    </w:p>
    <w:p w14:paraId="67EFA05C" w14:textId="77777777" w:rsidR="00681BA7" w:rsidRDefault="002F3806" w:rsidP="002F3806">
      <w:pPr>
        <w:spacing w:line="220" w:lineRule="exact"/>
        <w:jc w:val="both"/>
        <w:rPr>
          <w:szCs w:val="26"/>
        </w:rPr>
      </w:pPr>
      <w:r>
        <w:rPr>
          <w:szCs w:val="26"/>
        </w:rPr>
        <w:br w:type="page"/>
      </w:r>
      <w:r w:rsidR="00AA189A">
        <w:rPr>
          <w:szCs w:val="26"/>
        </w:rPr>
        <w:lastRenderedPageBreak/>
        <w:t>N</w:t>
      </w:r>
      <w:r>
        <w:rPr>
          <w:szCs w:val="26"/>
        </w:rPr>
        <w:t>otes:</w:t>
      </w:r>
    </w:p>
    <w:p w14:paraId="6EE7D23E" w14:textId="77777777" w:rsidR="00681BA7" w:rsidRDefault="00681BA7">
      <w:pPr>
        <w:spacing w:line="220" w:lineRule="exact"/>
        <w:ind w:left="360"/>
        <w:jc w:val="both"/>
        <w:rPr>
          <w:szCs w:val="26"/>
        </w:rPr>
        <w:sectPr w:rsidR="00681BA7" w:rsidSect="00AF6868">
          <w:headerReference w:type="default" r:id="rId69"/>
          <w:footerReference w:type="default" r:id="rId70"/>
          <w:endnotePr>
            <w:numFmt w:val="decimal"/>
          </w:endnotePr>
          <w:pgSz w:w="12240" w:h="15840"/>
          <w:pgMar w:top="1440" w:right="1440" w:bottom="1440" w:left="1440" w:header="720" w:footer="210" w:gutter="0"/>
          <w:cols w:space="720"/>
          <w:docGrid w:linePitch="360"/>
        </w:sectPr>
      </w:pPr>
    </w:p>
    <w:p w14:paraId="4E799925" w14:textId="68A76176" w:rsidR="00681BA7" w:rsidRPr="009C0AD5" w:rsidRDefault="00681BA7" w:rsidP="0085553E">
      <w:pPr>
        <w:pStyle w:val="Heading1"/>
      </w:pPr>
      <w:bookmarkStart w:id="643" w:name="_Toc159851702"/>
      <w:r w:rsidRPr="009C0AD5">
        <w:lastRenderedPageBreak/>
        <w:t>X</w:t>
      </w:r>
      <w:r w:rsidR="00322085">
        <w:t>I</w:t>
      </w:r>
      <w:r w:rsidRPr="009C0AD5">
        <w:t>.</w:t>
      </w:r>
      <w:r w:rsidRPr="009C0AD5">
        <w:tab/>
        <w:t xml:space="preserve">Chapter </w:t>
      </w:r>
      <w:r w:rsidR="00322085">
        <w:t>Eleven</w:t>
      </w:r>
      <w:r w:rsidRPr="009C0AD5">
        <w:t>:  Enforcement and Remedies</w:t>
      </w:r>
      <w:bookmarkEnd w:id="643"/>
    </w:p>
    <w:p w14:paraId="29F50DC3" w14:textId="06664889" w:rsidR="00681BA7" w:rsidRDefault="00EF2324">
      <w:pPr>
        <w:spacing w:line="220" w:lineRule="exact"/>
        <w:jc w:val="both"/>
        <w:rPr>
          <w:szCs w:val="26"/>
        </w:rPr>
      </w:pPr>
      <w:r>
        <w:rPr>
          <w:szCs w:val="26"/>
        </w:rPr>
        <w:t>The Open Meetings Act is a “self-help” statute. This means that</w:t>
      </w:r>
      <w:r w:rsidR="00681BA7">
        <w:rPr>
          <w:szCs w:val="26"/>
        </w:rPr>
        <w:t xml:space="preserve"> if any person believes a public body has violated or intends to violate the Open Meetings Act, that person may file suit in a common pleas court to enforce the law’s provisions.</w:t>
      </w:r>
      <w:r w:rsidR="00681BA7">
        <w:rPr>
          <w:rStyle w:val="EndnoteReference"/>
        </w:rPr>
        <w:endnoteReference w:id="1148"/>
      </w:r>
      <w:r>
        <w:rPr>
          <w:szCs w:val="26"/>
        </w:rPr>
        <w:t xml:space="preserve"> A person does not need to ask a public official (such as the Ohio Attorney General) to initiate legal action on their behalf, and no state or local government official has the authority to enforce the Act.</w:t>
      </w:r>
    </w:p>
    <w:p w14:paraId="391DCC34" w14:textId="77777777" w:rsidR="00681BA7" w:rsidRDefault="00681BA7">
      <w:pPr>
        <w:spacing w:line="220" w:lineRule="exact"/>
        <w:jc w:val="both"/>
        <w:rPr>
          <w:szCs w:val="26"/>
        </w:rPr>
      </w:pPr>
    </w:p>
    <w:p w14:paraId="472FC2FA" w14:textId="77777777" w:rsidR="00681BA7" w:rsidRDefault="00681BA7">
      <w:pPr>
        <w:spacing w:line="220" w:lineRule="exact"/>
        <w:jc w:val="both"/>
        <w:rPr>
          <w:szCs w:val="26"/>
        </w:rPr>
      </w:pPr>
      <w:r>
        <w:rPr>
          <w:szCs w:val="26"/>
        </w:rPr>
        <w:t>The Open Meetings Act states that its provisions “shall be liberally construed to require public officials to take official action and to conduct all deliberations upon official business only in open meetings unless the subject matter is specifically excepted by law.”</w:t>
      </w:r>
      <w:r>
        <w:rPr>
          <w:rStyle w:val="EndnoteReference"/>
        </w:rPr>
        <w:endnoteReference w:id="1149"/>
      </w:r>
      <w:r>
        <w:rPr>
          <w:szCs w:val="26"/>
        </w:rPr>
        <w:t xml:space="preserve">  The executive session exemptions contained in R.C. 121.22(G) are to be strictly construed.</w:t>
      </w:r>
      <w:r>
        <w:rPr>
          <w:rStyle w:val="EndnoteReference"/>
        </w:rPr>
        <w:endnoteReference w:id="1150"/>
      </w:r>
    </w:p>
    <w:p w14:paraId="0E57D3BB" w14:textId="59B890EC" w:rsidR="00681BA7" w:rsidRPr="00345637" w:rsidRDefault="00681BA7" w:rsidP="00322085">
      <w:pPr>
        <w:pStyle w:val="Heading2"/>
      </w:pPr>
      <w:bookmarkStart w:id="644" w:name="_Toc159851703"/>
      <w:r w:rsidRPr="00345637">
        <w:t>A.</w:t>
      </w:r>
      <w:r w:rsidRPr="00345637">
        <w:tab/>
        <w:t>Enforcement</w:t>
      </w:r>
      <w:bookmarkEnd w:id="644"/>
    </w:p>
    <w:p w14:paraId="5A62576B" w14:textId="459BBE0A" w:rsidR="00681BA7" w:rsidRDefault="00681BA7" w:rsidP="00322085">
      <w:pPr>
        <w:pStyle w:val="Heading3"/>
      </w:pPr>
      <w:bookmarkStart w:id="645" w:name="_Toc159851704"/>
      <w:r>
        <w:t>1.</w:t>
      </w:r>
      <w:r>
        <w:tab/>
        <w:t>Injunction</w:t>
      </w:r>
      <w:bookmarkEnd w:id="645"/>
    </w:p>
    <w:p w14:paraId="09C07D57" w14:textId="484549CA" w:rsidR="00681BA7" w:rsidRDefault="00681BA7">
      <w:pPr>
        <w:spacing w:line="220" w:lineRule="exact"/>
        <w:ind w:left="360"/>
        <w:jc w:val="both"/>
        <w:rPr>
          <w:szCs w:val="26"/>
        </w:rPr>
      </w:pPr>
      <w:r>
        <w:rPr>
          <w:szCs w:val="26"/>
        </w:rPr>
        <w:t>Any person may file a court action for an injunction to address an alleged or threatened violation of the Open Meetings Act.  This action must be “brought within two years after the date of the alleged violation or threatened violation.”</w:t>
      </w:r>
      <w:r>
        <w:rPr>
          <w:rStyle w:val="EndnoteReference"/>
        </w:rPr>
        <w:endnoteReference w:id="1151"/>
      </w:r>
      <w:r>
        <w:rPr>
          <w:szCs w:val="26"/>
        </w:rPr>
        <w:t xml:space="preserve">  There must still be an actual, genuine controversy at the time the action is filed, or the claim may be dismissed as moot.</w:t>
      </w:r>
      <w:r>
        <w:rPr>
          <w:rStyle w:val="EndnoteReference"/>
        </w:rPr>
        <w:endnoteReference w:id="1152"/>
      </w:r>
      <w:r>
        <w:rPr>
          <w:szCs w:val="26"/>
        </w:rPr>
        <w:t xml:space="preserve">  If granted by a court, an injunction compels the members of the public body to comply with the law by either refraining from the prohibited behavior or by lawfully conducting their meetings when they previously failed to do so.</w:t>
      </w:r>
      <w:r w:rsidR="00BA6174">
        <w:rPr>
          <w:szCs w:val="26"/>
        </w:rPr>
        <w:t xml:space="preserve"> </w:t>
      </w:r>
      <w:r w:rsidR="000D29DA">
        <w:rPr>
          <w:szCs w:val="26"/>
        </w:rPr>
        <w:t>If the court finds</w:t>
      </w:r>
      <w:r w:rsidR="00BA6174">
        <w:rPr>
          <w:szCs w:val="26"/>
        </w:rPr>
        <w:t xml:space="preserve"> multiple violations of the Open Meetings Act through the same conduct, the court may issue a single injunction for the multiple violations.</w:t>
      </w:r>
      <w:r w:rsidR="00BA6174">
        <w:rPr>
          <w:rStyle w:val="EndnoteReference"/>
          <w:szCs w:val="26"/>
        </w:rPr>
        <w:endnoteReference w:id="1153"/>
      </w:r>
    </w:p>
    <w:p w14:paraId="1EAFC066" w14:textId="77777777" w:rsidR="006806E9" w:rsidRDefault="006806E9">
      <w:pPr>
        <w:spacing w:line="220" w:lineRule="exact"/>
        <w:ind w:left="360"/>
        <w:jc w:val="both"/>
        <w:rPr>
          <w:szCs w:val="26"/>
        </w:rPr>
      </w:pPr>
    </w:p>
    <w:p w14:paraId="38952170" w14:textId="3BAA5063" w:rsidR="00681BA7" w:rsidRDefault="00681BA7" w:rsidP="00BD2AE1">
      <w:pPr>
        <w:pStyle w:val="Heading4"/>
      </w:pPr>
      <w:bookmarkStart w:id="646" w:name="_Toc159851705"/>
      <w:r>
        <w:t>a.</w:t>
      </w:r>
      <w:r w:rsidR="005A29C8">
        <w:tab/>
      </w:r>
      <w:r>
        <w:tab/>
        <w:t>Who may file and against whom</w:t>
      </w:r>
      <w:bookmarkEnd w:id="646"/>
    </w:p>
    <w:p w14:paraId="4C308D52" w14:textId="77777777" w:rsidR="00681BA7" w:rsidRDefault="00681BA7">
      <w:pPr>
        <w:spacing w:line="220" w:lineRule="exact"/>
        <w:ind w:left="360"/>
        <w:jc w:val="both"/>
        <w:rPr>
          <w:szCs w:val="26"/>
        </w:rPr>
      </w:pPr>
      <w:r>
        <w:rPr>
          <w:szCs w:val="26"/>
        </w:rPr>
        <w:t>“Any person” has standing to file for an injunction to enforce the Open Meetings Act.</w:t>
      </w:r>
      <w:r>
        <w:rPr>
          <w:rStyle w:val="EndnoteReference"/>
        </w:rPr>
        <w:endnoteReference w:id="1154"/>
      </w:r>
      <w:r>
        <w:rPr>
          <w:szCs w:val="26"/>
        </w:rPr>
        <w:t xml:space="preserve">  The person need not demonstrate a personal stake in the outcome of the lawsuit.</w:t>
      </w:r>
      <w:r>
        <w:rPr>
          <w:rStyle w:val="EndnoteReference"/>
        </w:rPr>
        <w:endnoteReference w:id="1155"/>
      </w:r>
    </w:p>
    <w:p w14:paraId="7DAA4F23" w14:textId="77777777" w:rsidR="00681BA7" w:rsidRDefault="00681BA7">
      <w:pPr>
        <w:spacing w:line="220" w:lineRule="exact"/>
        <w:ind w:left="720"/>
        <w:jc w:val="both"/>
        <w:rPr>
          <w:szCs w:val="26"/>
        </w:rPr>
      </w:pPr>
    </w:p>
    <w:p w14:paraId="09AAF571" w14:textId="27DC05FD" w:rsidR="00681BA7" w:rsidRDefault="00681BA7">
      <w:pPr>
        <w:spacing w:line="220" w:lineRule="exact"/>
        <w:ind w:left="360"/>
        <w:jc w:val="both"/>
        <w:rPr>
          <w:szCs w:val="26"/>
        </w:rPr>
      </w:pPr>
      <w:r>
        <w:rPr>
          <w:szCs w:val="26"/>
        </w:rPr>
        <w:t xml:space="preserve">Open Meetings Act injunction actions sometimes include the public body as the defendant, or individual members of the public body, or both.  No reported cases dispute that individual members of a public body are proper defendants, but some courts have </w:t>
      </w:r>
      <w:r w:rsidR="00895DF5">
        <w:rPr>
          <w:szCs w:val="26"/>
        </w:rPr>
        <w:t>hel</w:t>
      </w:r>
      <w:r>
        <w:rPr>
          <w:szCs w:val="26"/>
        </w:rPr>
        <w:t>d that the public body itself is not “sui juris” (capable of being sued) for violations of the Act.</w:t>
      </w:r>
      <w:r>
        <w:rPr>
          <w:rStyle w:val="EndnoteReference"/>
        </w:rPr>
        <w:endnoteReference w:id="1156"/>
      </w:r>
      <w:r>
        <w:rPr>
          <w:szCs w:val="26"/>
        </w:rPr>
        <w:t xml:space="preserve">  Other courts find that public bodies are “sui juris” for purposes of suits alleging violations of the Act.</w:t>
      </w:r>
      <w:r>
        <w:rPr>
          <w:rStyle w:val="EndnoteReference"/>
        </w:rPr>
        <w:endnoteReference w:id="1157"/>
      </w:r>
      <w:r>
        <w:rPr>
          <w:szCs w:val="26"/>
        </w:rPr>
        <w:t xml:space="preserve">  Persons filing an enforcement action should consult case law applicable to their appellate district.</w:t>
      </w:r>
    </w:p>
    <w:p w14:paraId="467698CE" w14:textId="77777777" w:rsidR="006806E9" w:rsidRDefault="006806E9">
      <w:pPr>
        <w:spacing w:line="220" w:lineRule="exact"/>
        <w:ind w:left="360"/>
        <w:jc w:val="both"/>
        <w:rPr>
          <w:szCs w:val="26"/>
        </w:rPr>
      </w:pPr>
    </w:p>
    <w:p w14:paraId="7E96B01C" w14:textId="55576A2F" w:rsidR="00681BA7" w:rsidRDefault="00681BA7" w:rsidP="00BD2AE1">
      <w:pPr>
        <w:pStyle w:val="Heading4"/>
      </w:pPr>
      <w:bookmarkStart w:id="647" w:name="_Toc159851706"/>
      <w:r>
        <w:t>b.</w:t>
      </w:r>
      <w:r>
        <w:tab/>
      </w:r>
      <w:r w:rsidR="005A29C8">
        <w:tab/>
      </w:r>
      <w:r>
        <w:t>Where to file</w:t>
      </w:r>
      <w:bookmarkEnd w:id="647"/>
    </w:p>
    <w:p w14:paraId="75EF2DFC" w14:textId="77777777" w:rsidR="00681BA7" w:rsidRDefault="00681BA7">
      <w:pPr>
        <w:spacing w:line="220" w:lineRule="exact"/>
        <w:ind w:left="360"/>
        <w:jc w:val="both"/>
        <w:rPr>
          <w:szCs w:val="26"/>
        </w:rPr>
      </w:pPr>
      <w:r>
        <w:rPr>
          <w:szCs w:val="26"/>
        </w:rPr>
        <w:t>The Open Meetings Act requires that an action for injunction be filed in the court of common pleas in the county where the alleged violation took place.</w:t>
      </w:r>
      <w:r>
        <w:rPr>
          <w:rStyle w:val="EndnoteReference"/>
        </w:rPr>
        <w:endnoteReference w:id="1158"/>
      </w:r>
    </w:p>
    <w:p w14:paraId="73C41AA6" w14:textId="77777777" w:rsidR="00681BA7" w:rsidRDefault="00681BA7">
      <w:pPr>
        <w:spacing w:line="220" w:lineRule="exact"/>
        <w:ind w:left="360"/>
        <w:jc w:val="both"/>
        <w:rPr>
          <w:szCs w:val="26"/>
        </w:rPr>
      </w:pPr>
    </w:p>
    <w:p w14:paraId="453F471E" w14:textId="6F0A6664" w:rsidR="00681BA7" w:rsidRDefault="000D29DA">
      <w:pPr>
        <w:spacing w:line="220" w:lineRule="exact"/>
        <w:ind w:left="360"/>
        <w:jc w:val="both"/>
        <w:rPr>
          <w:szCs w:val="26"/>
        </w:rPr>
      </w:pPr>
      <w:r>
        <w:rPr>
          <w:szCs w:val="26"/>
        </w:rPr>
        <w:t xml:space="preserve">Appellate courts disagree on whether an injunction action must be filed as a separate original action or whether it may be brought with a </w:t>
      </w:r>
      <w:r w:rsidR="00493509">
        <w:rPr>
          <w:szCs w:val="26"/>
        </w:rPr>
        <w:t>related lawsuit</w:t>
      </w:r>
      <w:r>
        <w:rPr>
          <w:szCs w:val="26"/>
        </w:rPr>
        <w:t xml:space="preserve">. </w:t>
      </w:r>
      <w:r w:rsidR="00681BA7">
        <w:rPr>
          <w:szCs w:val="26"/>
        </w:rPr>
        <w:t>One court found that a party may not assert an alleged violation of the Open Meetings Act in a related action before a county board of elections.</w:t>
      </w:r>
      <w:r w:rsidR="00681BA7">
        <w:rPr>
          <w:rStyle w:val="EndnoteReference"/>
        </w:rPr>
        <w:endnoteReference w:id="1159"/>
      </w:r>
      <w:r w:rsidR="00681BA7">
        <w:rPr>
          <w:szCs w:val="26"/>
        </w:rPr>
        <w:t xml:space="preserve">  Courts have reached different conclusions as to whether a court may consider an alleged violation of the Act as a claim made within an administrative appeal.</w:t>
      </w:r>
      <w:r w:rsidR="00681BA7">
        <w:rPr>
          <w:rStyle w:val="EndnoteReference"/>
        </w:rPr>
        <w:endnoteReference w:id="1160"/>
      </w:r>
      <w:r w:rsidR="00681BA7">
        <w:rPr>
          <w:szCs w:val="26"/>
        </w:rPr>
        <w:t xml:space="preserve">  Those cases finding no jurisdiction have reasoned that the exclusive method to enforce the Act is as a separate original action f</w:t>
      </w:r>
      <w:r w:rsidR="002F3806">
        <w:rPr>
          <w:szCs w:val="26"/>
        </w:rPr>
        <w:t>iled in the common pleas court.</w:t>
      </w:r>
    </w:p>
    <w:p w14:paraId="7598F945" w14:textId="77777777" w:rsidR="006806E9" w:rsidRDefault="006806E9">
      <w:pPr>
        <w:spacing w:line="220" w:lineRule="exact"/>
        <w:ind w:left="360"/>
        <w:jc w:val="both"/>
        <w:rPr>
          <w:szCs w:val="26"/>
        </w:rPr>
      </w:pPr>
    </w:p>
    <w:p w14:paraId="27982AA2" w14:textId="050C3D5C" w:rsidR="00681BA7" w:rsidRDefault="00681BA7" w:rsidP="00BD2AE1">
      <w:pPr>
        <w:pStyle w:val="Heading4"/>
      </w:pPr>
      <w:bookmarkStart w:id="648" w:name="_Toc159851707"/>
      <w:r>
        <w:t>c.</w:t>
      </w:r>
      <w:r>
        <w:tab/>
      </w:r>
      <w:r w:rsidR="005A29C8">
        <w:tab/>
      </w:r>
      <w:r>
        <w:t>Proving a violation</w:t>
      </w:r>
      <w:bookmarkEnd w:id="648"/>
    </w:p>
    <w:p w14:paraId="3D707739" w14:textId="0D7B5DD3" w:rsidR="000A6320" w:rsidRDefault="00681BA7" w:rsidP="003B01AC">
      <w:pPr>
        <w:spacing w:line="220" w:lineRule="exact"/>
        <w:ind w:left="360"/>
        <w:jc w:val="both"/>
        <w:rPr>
          <w:szCs w:val="26"/>
        </w:rPr>
      </w:pPr>
      <w:r>
        <w:rPr>
          <w:szCs w:val="26"/>
        </w:rPr>
        <w:t>The person filing an action under the Open Meetings Act generally has the burden of proving the alleged violation</w:t>
      </w:r>
      <w:r w:rsidR="001A7715">
        <w:rPr>
          <w:szCs w:val="26"/>
        </w:rPr>
        <w:t>, even if the alleged violation occurred during an executive session</w:t>
      </w:r>
      <w:r>
        <w:rPr>
          <w:szCs w:val="26"/>
        </w:rPr>
        <w:t>.</w:t>
      </w:r>
      <w:r>
        <w:rPr>
          <w:rStyle w:val="EndnoteReference"/>
        </w:rPr>
        <w:endnoteReference w:id="1161"/>
      </w:r>
      <w:r>
        <w:rPr>
          <w:szCs w:val="26"/>
        </w:rPr>
        <w:t xml:space="preserve"> </w:t>
      </w:r>
      <w:r w:rsidR="000D29DA">
        <w:rPr>
          <w:szCs w:val="26"/>
        </w:rPr>
        <w:t xml:space="preserve">Absent </w:t>
      </w:r>
      <w:r w:rsidR="000D29DA">
        <w:rPr>
          <w:szCs w:val="26"/>
        </w:rPr>
        <w:lastRenderedPageBreak/>
        <w:t>evidence to the contrary, courts will presume that public officers properly performed their duties and acted lawfully.</w:t>
      </w:r>
      <w:r w:rsidR="000D29DA">
        <w:rPr>
          <w:rStyle w:val="EndnoteReference"/>
          <w:szCs w:val="26"/>
        </w:rPr>
        <w:endnoteReference w:id="1162"/>
      </w:r>
      <w:r w:rsidR="000D29DA">
        <w:rPr>
          <w:szCs w:val="26"/>
        </w:rPr>
        <w:t xml:space="preserve"> Thus, </w:t>
      </w:r>
      <w:r w:rsidR="001A7715">
        <w:rPr>
          <w:szCs w:val="26"/>
        </w:rPr>
        <w:t>courts should presume that a public body in executive session discussed the topics stated in its motion to enter executive session</w:t>
      </w:r>
      <w:r>
        <w:rPr>
          <w:szCs w:val="26"/>
        </w:rPr>
        <w:t>.</w:t>
      </w:r>
      <w:r>
        <w:rPr>
          <w:rStyle w:val="EndnoteReference"/>
        </w:rPr>
        <w:endnoteReference w:id="1163"/>
      </w:r>
      <w:r>
        <w:rPr>
          <w:szCs w:val="26"/>
        </w:rPr>
        <w:t xml:space="preserve">  </w:t>
      </w:r>
      <w:r w:rsidR="001A7715">
        <w:rPr>
          <w:szCs w:val="26"/>
        </w:rPr>
        <w:t>However, c</w:t>
      </w:r>
      <w:r>
        <w:rPr>
          <w:szCs w:val="26"/>
        </w:rPr>
        <w:t>ourts do not necessarily accept a public body’s stated purpose for an executive session if other evidence demonstrates that the public body improperly deliberated during the executive session.</w:t>
      </w:r>
      <w:r>
        <w:rPr>
          <w:rStyle w:val="EndnoteReference"/>
        </w:rPr>
        <w:endnoteReference w:id="1164"/>
      </w:r>
      <w:r>
        <w:rPr>
          <w:szCs w:val="26"/>
        </w:rPr>
        <w:t xml:space="preserve">  Upon proof of a violation or threatened violation of the Act, the court will conclusively and irrebuttably presume harm and prejudice to the person who brought the suit</w:t>
      </w:r>
      <w:r>
        <w:rPr>
          <w:rStyle w:val="EndnoteReference"/>
        </w:rPr>
        <w:endnoteReference w:id="1165"/>
      </w:r>
      <w:r>
        <w:rPr>
          <w:szCs w:val="26"/>
        </w:rPr>
        <w:t xml:space="preserve"> and will issue an injunction.</w:t>
      </w:r>
      <w:r>
        <w:rPr>
          <w:rStyle w:val="EndnoteReference"/>
        </w:rPr>
        <w:endnoteReference w:id="1166"/>
      </w:r>
    </w:p>
    <w:p w14:paraId="627E22BE" w14:textId="77777777" w:rsidR="006806E9" w:rsidRDefault="006806E9" w:rsidP="003B01AC">
      <w:pPr>
        <w:spacing w:line="220" w:lineRule="exact"/>
        <w:ind w:left="360"/>
        <w:jc w:val="both"/>
        <w:rPr>
          <w:szCs w:val="26"/>
        </w:rPr>
      </w:pPr>
    </w:p>
    <w:p w14:paraId="3AFC3336" w14:textId="06A23E59" w:rsidR="00681BA7" w:rsidRDefault="005A29C8" w:rsidP="005A29C8">
      <w:pPr>
        <w:pStyle w:val="Heading4"/>
        <w:numPr>
          <w:ilvl w:val="0"/>
          <w:numId w:val="80"/>
        </w:numPr>
      </w:pPr>
      <w:r>
        <w:tab/>
      </w:r>
      <w:bookmarkStart w:id="649" w:name="_Toc159851708"/>
      <w:r w:rsidR="00681BA7">
        <w:t>Curing a violation</w:t>
      </w:r>
      <w:bookmarkEnd w:id="649"/>
    </w:p>
    <w:p w14:paraId="784568F1" w14:textId="488D6EF3" w:rsidR="00681BA7" w:rsidRDefault="00681BA7">
      <w:pPr>
        <w:spacing w:line="220" w:lineRule="exact"/>
        <w:ind w:left="360"/>
        <w:jc w:val="both"/>
        <w:rPr>
          <w:szCs w:val="26"/>
        </w:rPr>
      </w:pPr>
      <w:r>
        <w:rPr>
          <w:szCs w:val="26"/>
        </w:rPr>
        <w:t>Once a violation is proven, the court must grant the injunction, regardless of the public body’s subsequent attempts to cure the violation.</w:t>
      </w:r>
      <w:r>
        <w:rPr>
          <w:rStyle w:val="EndnoteReference"/>
        </w:rPr>
        <w:endnoteReference w:id="1167"/>
      </w:r>
      <w:r>
        <w:rPr>
          <w:szCs w:val="26"/>
        </w:rPr>
        <w:t xml:space="preserve">  Courts have different views as to whether and how a public body can then cure the violation, for instance with new, compliant discussions followed by compliant formal action.</w:t>
      </w:r>
      <w:r>
        <w:rPr>
          <w:rStyle w:val="EndnoteReference"/>
        </w:rPr>
        <w:endnoteReference w:id="1168"/>
      </w:r>
      <w:r>
        <w:rPr>
          <w:szCs w:val="26"/>
        </w:rPr>
        <w:t xml:space="preserve">  One court explained that after a violation a public body must “start its decision-making process over with regard to what was illegally deliberated or decided in a closed meeting.”</w:t>
      </w:r>
      <w:r>
        <w:rPr>
          <w:rStyle w:val="EndnoteReference"/>
        </w:rPr>
        <w:endnoteReference w:id="1169"/>
      </w:r>
      <w:r>
        <w:rPr>
          <w:szCs w:val="26"/>
        </w:rPr>
        <w:t xml:space="preserve">  The Supreme Court </w:t>
      </w:r>
      <w:r w:rsidR="0040318D">
        <w:rPr>
          <w:szCs w:val="26"/>
        </w:rPr>
        <w:t>of Ohio</w:t>
      </w:r>
      <w:r>
        <w:rPr>
          <w:szCs w:val="26"/>
        </w:rPr>
        <w:t xml:space="preserve"> held that a city’s failure to have public deliberation regarding the adoption of a charter amendment was cured when the amendment was placed on the ballot and adopted by the electorate.</w:t>
      </w:r>
      <w:r>
        <w:rPr>
          <w:rStyle w:val="EndnoteReference"/>
        </w:rPr>
        <w:endnoteReference w:id="1170"/>
      </w:r>
    </w:p>
    <w:p w14:paraId="25727245" w14:textId="77777777" w:rsidR="006806E9" w:rsidRDefault="006806E9">
      <w:pPr>
        <w:spacing w:line="220" w:lineRule="exact"/>
        <w:ind w:left="360"/>
        <w:jc w:val="both"/>
        <w:rPr>
          <w:szCs w:val="26"/>
        </w:rPr>
      </w:pPr>
    </w:p>
    <w:p w14:paraId="19D7ECF3" w14:textId="5E59A247" w:rsidR="00681BA7" w:rsidRDefault="00681BA7" w:rsidP="00322085">
      <w:pPr>
        <w:pStyle w:val="Heading3"/>
      </w:pPr>
      <w:bookmarkStart w:id="650" w:name="_Toc159851709"/>
      <w:r>
        <w:t>2.</w:t>
      </w:r>
      <w:r>
        <w:tab/>
        <w:t>Mandamus</w:t>
      </w:r>
      <w:bookmarkEnd w:id="650"/>
    </w:p>
    <w:p w14:paraId="0BA9E273" w14:textId="77777777" w:rsidR="00681BA7" w:rsidRDefault="00681BA7">
      <w:pPr>
        <w:spacing w:line="220" w:lineRule="exact"/>
        <w:ind w:left="360"/>
        <w:jc w:val="both"/>
        <w:rPr>
          <w:szCs w:val="26"/>
        </w:rPr>
      </w:pPr>
      <w:r>
        <w:rPr>
          <w:szCs w:val="26"/>
        </w:rPr>
        <w:t>When a person seeks access to the public body’s minutes, that person may also file a mandamus action under the Public Records Act to compel the creation of or access to meeting minutes.</w:t>
      </w:r>
      <w:r>
        <w:rPr>
          <w:rStyle w:val="EndnoteReference"/>
        </w:rPr>
        <w:endnoteReference w:id="1171"/>
      </w:r>
      <w:r>
        <w:rPr>
          <w:szCs w:val="26"/>
        </w:rPr>
        <w:t xml:space="preserve">  Mandamus is also the appropriate action to order a public body to give notice of meetings to the person filing the action.</w:t>
      </w:r>
      <w:r>
        <w:rPr>
          <w:rStyle w:val="EndnoteReference"/>
        </w:rPr>
        <w:endnoteReference w:id="1172"/>
      </w:r>
    </w:p>
    <w:p w14:paraId="4CD1463E" w14:textId="77777777" w:rsidR="006806E9" w:rsidRDefault="006806E9">
      <w:pPr>
        <w:spacing w:line="220" w:lineRule="exact"/>
        <w:ind w:left="360"/>
        <w:jc w:val="both"/>
        <w:rPr>
          <w:szCs w:val="26"/>
        </w:rPr>
      </w:pPr>
    </w:p>
    <w:p w14:paraId="0F6103C9" w14:textId="53B29CBE" w:rsidR="00681BA7" w:rsidRDefault="00681BA7" w:rsidP="00322085">
      <w:pPr>
        <w:pStyle w:val="Heading3"/>
      </w:pPr>
      <w:bookmarkStart w:id="651" w:name="_Toc159851710"/>
      <w:r>
        <w:t>3.</w:t>
      </w:r>
      <w:r>
        <w:tab/>
        <w:t>Quo warranto</w:t>
      </w:r>
      <w:bookmarkEnd w:id="651"/>
    </w:p>
    <w:p w14:paraId="17DAFDBB" w14:textId="77777777" w:rsidR="00681BA7" w:rsidRDefault="00681BA7">
      <w:pPr>
        <w:spacing w:line="220" w:lineRule="exact"/>
        <w:ind w:left="360"/>
        <w:jc w:val="both"/>
        <w:rPr>
          <w:szCs w:val="26"/>
        </w:rPr>
      </w:pPr>
      <w:r>
        <w:rPr>
          <w:szCs w:val="26"/>
        </w:rPr>
        <w:t xml:space="preserve">Once a court issues an injunction finding a violation of the Open Meetings Act, members of the public body who later commit a “knowing” violation of the injunction may be removed from office through a </w:t>
      </w:r>
      <w:r>
        <w:rPr>
          <w:i/>
          <w:szCs w:val="26"/>
        </w:rPr>
        <w:t>quo warranto</w:t>
      </w:r>
      <w:r>
        <w:rPr>
          <w:szCs w:val="26"/>
        </w:rPr>
        <w:t xml:space="preserve"> action, which may only be brought by the county prosecutor or the Ohio Attorney General.</w:t>
      </w:r>
      <w:r>
        <w:rPr>
          <w:rStyle w:val="EndnoteReference"/>
        </w:rPr>
        <w:endnoteReference w:id="1173"/>
      </w:r>
    </w:p>
    <w:p w14:paraId="47449BE4" w14:textId="05217FF6" w:rsidR="00681BA7" w:rsidRPr="00345637" w:rsidRDefault="00681BA7" w:rsidP="00322085">
      <w:pPr>
        <w:pStyle w:val="Heading2"/>
      </w:pPr>
      <w:bookmarkStart w:id="652" w:name="_Toc159851711"/>
      <w:r w:rsidRPr="00345637">
        <w:t>B.</w:t>
      </w:r>
      <w:r w:rsidRPr="00345637">
        <w:tab/>
        <w:t>Remedies</w:t>
      </w:r>
      <w:bookmarkEnd w:id="652"/>
    </w:p>
    <w:p w14:paraId="2E1D5312" w14:textId="1CDF87CD" w:rsidR="00681BA7" w:rsidRDefault="00681BA7" w:rsidP="00322085">
      <w:pPr>
        <w:pStyle w:val="Heading3"/>
      </w:pPr>
      <w:bookmarkStart w:id="653" w:name="_Toc159851712"/>
      <w:r>
        <w:t>1.</w:t>
      </w:r>
      <w:r>
        <w:tab/>
        <w:t>Invalidity</w:t>
      </w:r>
      <w:bookmarkEnd w:id="653"/>
    </w:p>
    <w:p w14:paraId="360899D4" w14:textId="77777777" w:rsidR="00681BA7" w:rsidRDefault="00681BA7">
      <w:pPr>
        <w:spacing w:line="220" w:lineRule="exact"/>
        <w:ind w:left="360"/>
        <w:jc w:val="both"/>
        <w:rPr>
          <w:szCs w:val="26"/>
        </w:rPr>
      </w:pPr>
      <w:r>
        <w:rPr>
          <w:szCs w:val="26"/>
        </w:rPr>
        <w:t>A resolution, rule, or formal action of any kind is invalid unless a public body adopts it in an open meeting.</w:t>
      </w:r>
      <w:r>
        <w:rPr>
          <w:rStyle w:val="EndnoteReference"/>
        </w:rPr>
        <w:endnoteReference w:id="1174"/>
      </w:r>
      <w:r>
        <w:rPr>
          <w:szCs w:val="26"/>
        </w:rPr>
        <w:t xml:space="preserve">  However, courts have refused to allow public bodies to benefit from their own violations of the Open Meetings Act.</w:t>
      </w:r>
      <w:r>
        <w:rPr>
          <w:rStyle w:val="EndnoteReference"/>
        </w:rPr>
        <w:endnoteReference w:id="1175"/>
      </w:r>
      <w:r>
        <w:rPr>
          <w:szCs w:val="26"/>
        </w:rPr>
        <w:t xml:space="preserve">  For instance, a public body may not attempt to avoid a contractual obligation by arguing that approval of the contract is invalid because of a violation of the Act.</w:t>
      </w:r>
      <w:r>
        <w:rPr>
          <w:rStyle w:val="EndnoteReference"/>
        </w:rPr>
        <w:endnoteReference w:id="1176"/>
      </w:r>
    </w:p>
    <w:p w14:paraId="42C802EA" w14:textId="77777777" w:rsidR="00FD0EBD" w:rsidRDefault="00FD0EBD">
      <w:pPr>
        <w:spacing w:line="220" w:lineRule="exact"/>
        <w:ind w:left="360"/>
        <w:jc w:val="both"/>
        <w:rPr>
          <w:szCs w:val="26"/>
        </w:rPr>
      </w:pPr>
    </w:p>
    <w:p w14:paraId="03022E04" w14:textId="0F95D015" w:rsidR="00681BA7" w:rsidRDefault="00681BA7" w:rsidP="00BD2AE1">
      <w:pPr>
        <w:pStyle w:val="Heading4"/>
      </w:pPr>
      <w:bookmarkStart w:id="654" w:name="_Toc159851713"/>
      <w:r>
        <w:t>a.</w:t>
      </w:r>
      <w:r>
        <w:tab/>
      </w:r>
      <w:r w:rsidR="005A29C8">
        <w:tab/>
      </w:r>
      <w:r>
        <w:t>Failure to take formal action in public</w:t>
      </w:r>
      <w:bookmarkEnd w:id="654"/>
    </w:p>
    <w:p w14:paraId="05ABF452" w14:textId="77777777" w:rsidR="00681BA7" w:rsidRDefault="00681BA7">
      <w:pPr>
        <w:spacing w:line="220" w:lineRule="exact"/>
        <w:ind w:left="360"/>
        <w:jc w:val="both"/>
        <w:rPr>
          <w:szCs w:val="26"/>
        </w:rPr>
      </w:pPr>
      <w:r>
        <w:rPr>
          <w:szCs w:val="26"/>
        </w:rPr>
        <w:t>The Open Meetings Act requires a public body to take all “official” or “formal” action in open session.</w:t>
      </w:r>
      <w:r>
        <w:rPr>
          <w:rStyle w:val="EndnoteReference"/>
        </w:rPr>
        <w:endnoteReference w:id="1177"/>
      </w:r>
      <w:r>
        <w:rPr>
          <w:szCs w:val="26"/>
        </w:rPr>
        <w:t xml:space="preserve">  Even without taking a vote or a poll, members of a public body may inadvertently take “formal action” in an executive session when they indicate how they intend to vote about a matter pending before them, making the later vote in open session invalid.</w:t>
      </w:r>
      <w:r>
        <w:rPr>
          <w:rStyle w:val="EndnoteReference"/>
        </w:rPr>
        <w:endnoteReference w:id="1178"/>
      </w:r>
      <w:r>
        <w:rPr>
          <w:szCs w:val="26"/>
        </w:rPr>
        <w:t xml:space="preserve">  A formal action taken in an open session also may be invalid if it results from deliberations that improperly occurred outside of an open meeting, e.g., at an informal, private meeting or in an improper executive session.</w:t>
      </w:r>
      <w:r>
        <w:rPr>
          <w:rStyle w:val="EndnoteReference"/>
        </w:rPr>
        <w:endnoteReference w:id="1179"/>
      </w:r>
      <w:r>
        <w:rPr>
          <w:szCs w:val="26"/>
        </w:rPr>
        <w:t xml:space="preserve">  Even a decision in executive session not to take action (on a request made to the public body) has been held to be “formal action” that should have been made in open session, and thus, was deemed invalid.</w:t>
      </w:r>
      <w:r>
        <w:rPr>
          <w:rStyle w:val="EndnoteReference"/>
        </w:rPr>
        <w:endnoteReference w:id="1180"/>
      </w:r>
    </w:p>
    <w:p w14:paraId="2674D798" w14:textId="77777777" w:rsidR="006806E9" w:rsidRDefault="006806E9">
      <w:pPr>
        <w:spacing w:line="220" w:lineRule="exact"/>
        <w:ind w:left="360"/>
        <w:jc w:val="both"/>
        <w:rPr>
          <w:szCs w:val="26"/>
        </w:rPr>
      </w:pPr>
    </w:p>
    <w:p w14:paraId="739927CD" w14:textId="77777777" w:rsidR="006806E9" w:rsidRDefault="006806E9">
      <w:pPr>
        <w:spacing w:line="220" w:lineRule="exact"/>
        <w:ind w:left="360"/>
        <w:jc w:val="both"/>
        <w:rPr>
          <w:szCs w:val="26"/>
        </w:rPr>
      </w:pPr>
    </w:p>
    <w:p w14:paraId="4C91C810" w14:textId="77777777" w:rsidR="006806E9" w:rsidRDefault="006806E9">
      <w:pPr>
        <w:spacing w:line="220" w:lineRule="exact"/>
        <w:ind w:left="360"/>
        <w:jc w:val="both"/>
        <w:rPr>
          <w:szCs w:val="26"/>
        </w:rPr>
      </w:pPr>
    </w:p>
    <w:p w14:paraId="30C8AF5B" w14:textId="18DAB47C" w:rsidR="00681BA7" w:rsidRDefault="00681BA7" w:rsidP="00BD2AE1">
      <w:pPr>
        <w:pStyle w:val="Heading4"/>
      </w:pPr>
      <w:bookmarkStart w:id="655" w:name="_Toc159851714"/>
      <w:r>
        <w:t>b.</w:t>
      </w:r>
      <w:r>
        <w:tab/>
      </w:r>
      <w:r w:rsidR="00FD0EBD">
        <w:tab/>
      </w:r>
      <w:r>
        <w:t>Improper notice</w:t>
      </w:r>
      <w:bookmarkEnd w:id="655"/>
    </w:p>
    <w:p w14:paraId="56F238DE" w14:textId="011FD88B" w:rsidR="00AD4597" w:rsidRDefault="00681BA7" w:rsidP="001B5B66">
      <w:pPr>
        <w:spacing w:line="220" w:lineRule="exact"/>
        <w:ind w:left="360"/>
        <w:jc w:val="both"/>
        <w:rPr>
          <w:szCs w:val="26"/>
        </w:rPr>
      </w:pPr>
      <w:r>
        <w:rPr>
          <w:szCs w:val="26"/>
        </w:rPr>
        <w:t>When a public body takes formal action in a meeting for which it did not properly give notice, the action is invalid.</w:t>
      </w:r>
      <w:r>
        <w:rPr>
          <w:rStyle w:val="EndnoteReference"/>
        </w:rPr>
        <w:endnoteReference w:id="1181"/>
      </w:r>
    </w:p>
    <w:p w14:paraId="6D412806" w14:textId="77777777" w:rsidR="001B5B66" w:rsidRDefault="001B5B66" w:rsidP="001B5B66">
      <w:pPr>
        <w:spacing w:line="220" w:lineRule="exact"/>
        <w:ind w:left="360"/>
        <w:jc w:val="both"/>
        <w:rPr>
          <w:szCs w:val="26"/>
        </w:rPr>
      </w:pPr>
    </w:p>
    <w:p w14:paraId="674E3F08" w14:textId="63A9413E" w:rsidR="00681BA7" w:rsidRDefault="00681BA7" w:rsidP="00BD2AE1">
      <w:pPr>
        <w:pStyle w:val="Heading4"/>
      </w:pPr>
      <w:bookmarkStart w:id="656" w:name="_Toc159851715"/>
      <w:r>
        <w:t>c.</w:t>
      </w:r>
      <w:r>
        <w:tab/>
      </w:r>
      <w:r w:rsidR="00FD0EBD">
        <w:tab/>
      </w:r>
      <w:r>
        <w:t>Minutes</w:t>
      </w:r>
      <w:bookmarkEnd w:id="656"/>
    </w:p>
    <w:p w14:paraId="3FD4F33B" w14:textId="1CF963EC" w:rsidR="00681BA7" w:rsidRDefault="00681BA7">
      <w:pPr>
        <w:spacing w:line="220" w:lineRule="exact"/>
        <w:ind w:left="360"/>
        <w:jc w:val="both"/>
        <w:rPr>
          <w:szCs w:val="26"/>
        </w:rPr>
      </w:pPr>
      <w:r>
        <w:rPr>
          <w:szCs w:val="26"/>
        </w:rPr>
        <w:t>At least one court has found that minutes are merely the record of actions; they are not actions in and of themselves.</w:t>
      </w:r>
      <w:r w:rsidR="00EF2324">
        <w:rPr>
          <w:rStyle w:val="EndnoteReference"/>
          <w:szCs w:val="26"/>
        </w:rPr>
        <w:endnoteReference w:id="1182"/>
      </w:r>
      <w:r>
        <w:rPr>
          <w:szCs w:val="26"/>
        </w:rPr>
        <w:t xml:space="preserve">  Thus, failure to properly approve minutes does not invalidate the actions taken during the meeting.</w:t>
      </w:r>
      <w:r>
        <w:rPr>
          <w:rStyle w:val="EndnoteReference"/>
        </w:rPr>
        <w:endnoteReference w:id="1183"/>
      </w:r>
    </w:p>
    <w:p w14:paraId="7D869DC1" w14:textId="77777777" w:rsidR="001B5B66" w:rsidRDefault="001B5B66">
      <w:pPr>
        <w:spacing w:line="220" w:lineRule="exact"/>
        <w:ind w:left="360"/>
        <w:jc w:val="both"/>
        <w:rPr>
          <w:szCs w:val="26"/>
        </w:rPr>
      </w:pPr>
    </w:p>
    <w:p w14:paraId="6783EE01" w14:textId="72AA54B4" w:rsidR="00681BA7" w:rsidRDefault="00681BA7" w:rsidP="00322085">
      <w:pPr>
        <w:pStyle w:val="Heading3"/>
      </w:pPr>
      <w:bookmarkStart w:id="657" w:name="_Toc159851716"/>
      <w:r>
        <w:t>2.</w:t>
      </w:r>
      <w:r>
        <w:tab/>
        <w:t>Mandatory civil forfeiture</w:t>
      </w:r>
      <w:bookmarkEnd w:id="657"/>
    </w:p>
    <w:p w14:paraId="4B4E98D2" w14:textId="1C80D356" w:rsidR="00681BA7" w:rsidRDefault="00681BA7">
      <w:pPr>
        <w:spacing w:line="220" w:lineRule="exact"/>
        <w:ind w:left="360"/>
        <w:jc w:val="both"/>
        <w:rPr>
          <w:szCs w:val="26"/>
        </w:rPr>
      </w:pPr>
      <w:r>
        <w:rPr>
          <w:szCs w:val="26"/>
        </w:rPr>
        <w:t>If the court issues an injunction, the court will order the public body to pay a civil forfeiture of $500 to the person who filed the action.</w:t>
      </w:r>
      <w:r>
        <w:rPr>
          <w:rStyle w:val="EndnoteReference"/>
        </w:rPr>
        <w:endnoteReference w:id="1184"/>
      </w:r>
      <w:r>
        <w:rPr>
          <w:szCs w:val="26"/>
        </w:rPr>
        <w:t xml:space="preserve">  Courts that find that a public body has violated the law on repeated occasions have awarded a $500 civil forfeiture for each violation.</w:t>
      </w:r>
      <w:r>
        <w:rPr>
          <w:rStyle w:val="EndnoteReference"/>
        </w:rPr>
        <w:endnoteReference w:id="1185"/>
      </w:r>
      <w:r w:rsidR="001A7715">
        <w:rPr>
          <w:szCs w:val="26"/>
        </w:rPr>
        <w:t xml:space="preserve"> However, if multiple violations through the same conduct are found, the court may issue a single injunction, and order the public body to pay a single $500 civil forfeiture penalty as to all offenses.</w:t>
      </w:r>
      <w:r w:rsidR="001A7715">
        <w:rPr>
          <w:rStyle w:val="EndnoteReference"/>
          <w:szCs w:val="26"/>
        </w:rPr>
        <w:endnoteReference w:id="1186"/>
      </w:r>
    </w:p>
    <w:p w14:paraId="7C55C827" w14:textId="77777777" w:rsidR="006806E9" w:rsidRDefault="006806E9">
      <w:pPr>
        <w:spacing w:line="220" w:lineRule="exact"/>
        <w:ind w:left="360"/>
        <w:jc w:val="both"/>
        <w:rPr>
          <w:szCs w:val="26"/>
        </w:rPr>
      </w:pPr>
    </w:p>
    <w:p w14:paraId="21497ED1" w14:textId="77777777" w:rsidR="00681BA7" w:rsidRDefault="00681BA7" w:rsidP="00322085">
      <w:pPr>
        <w:pStyle w:val="Heading3"/>
      </w:pPr>
      <w:bookmarkStart w:id="658" w:name="_Toc159851717"/>
      <w:r>
        <w:t>3.</w:t>
      </w:r>
      <w:r>
        <w:tab/>
        <w:t>Court costs and attorney fees</w:t>
      </w:r>
      <w:bookmarkEnd w:id="658"/>
    </w:p>
    <w:p w14:paraId="1B92D931" w14:textId="77777777" w:rsidR="00681BA7" w:rsidRDefault="00681BA7">
      <w:pPr>
        <w:spacing w:line="220" w:lineRule="exact"/>
        <w:ind w:left="360"/>
        <w:jc w:val="both"/>
        <w:rPr>
          <w:szCs w:val="26"/>
        </w:rPr>
      </w:pPr>
      <w:r>
        <w:rPr>
          <w:szCs w:val="26"/>
        </w:rPr>
        <w:t>If the court issues an injunction, it will order the public body to pay all court costs</w:t>
      </w:r>
      <w:r>
        <w:rPr>
          <w:rStyle w:val="EndnoteReference"/>
        </w:rPr>
        <w:endnoteReference w:id="1187"/>
      </w:r>
      <w:r>
        <w:rPr>
          <w:szCs w:val="26"/>
        </w:rPr>
        <w:t xml:space="preserve"> and the reasonable attorney fees of the person who filed the action.</w:t>
      </w:r>
      <w:r>
        <w:rPr>
          <w:rStyle w:val="EndnoteReference"/>
        </w:rPr>
        <w:endnoteReference w:id="1188"/>
      </w:r>
      <w:r>
        <w:rPr>
          <w:szCs w:val="26"/>
        </w:rPr>
        <w:t xml:space="preserve">  Courts have discretion to reduce or completely eliminate attorney fees, however, if they find that, (1) based on the state of the law when the violation occurred, a well-informed public body could have reasonably believed it was not violating the law; and (2) it was reasonable for the public body to believe its actions served public policy.</w:t>
      </w:r>
      <w:r>
        <w:rPr>
          <w:rStyle w:val="EndnoteReference"/>
        </w:rPr>
        <w:endnoteReference w:id="1189"/>
      </w:r>
    </w:p>
    <w:p w14:paraId="6BA2E84B" w14:textId="77777777" w:rsidR="00681BA7" w:rsidRDefault="00681BA7">
      <w:pPr>
        <w:spacing w:line="220" w:lineRule="exact"/>
        <w:ind w:left="360"/>
        <w:jc w:val="both"/>
        <w:rPr>
          <w:szCs w:val="26"/>
        </w:rPr>
      </w:pPr>
    </w:p>
    <w:p w14:paraId="63B667A0" w14:textId="7F127065" w:rsidR="00FF43A0" w:rsidRDefault="00681BA7">
      <w:pPr>
        <w:spacing w:line="220" w:lineRule="exact"/>
        <w:ind w:left="360"/>
        <w:jc w:val="both"/>
        <w:rPr>
          <w:szCs w:val="26"/>
        </w:rPr>
      </w:pPr>
      <w:r>
        <w:rPr>
          <w:szCs w:val="26"/>
        </w:rPr>
        <w:t>If the court does not issue an injunction and decides the lawsuit was frivolous, the court will order the person who filed the suit to pay all the public body’s court costs and reasonable attorney fees as determined by the court.</w:t>
      </w:r>
      <w:r>
        <w:rPr>
          <w:rStyle w:val="EndnoteReference"/>
        </w:rPr>
        <w:endnoteReference w:id="1190"/>
      </w:r>
      <w:r>
        <w:rPr>
          <w:szCs w:val="26"/>
        </w:rPr>
        <w:t xml:space="preserve">  A public body is entitled to attorney fees even when those fees are paid by its insurance company.</w:t>
      </w:r>
      <w:r>
        <w:rPr>
          <w:rStyle w:val="EndnoteReference"/>
        </w:rPr>
        <w:endnoteReference w:id="1191"/>
      </w:r>
    </w:p>
    <w:p w14:paraId="0423606D" w14:textId="77777777" w:rsidR="004F0297" w:rsidRDefault="004F0297" w:rsidP="00FF43A0">
      <w:pPr>
        <w:spacing w:line="220" w:lineRule="exact"/>
        <w:jc w:val="both"/>
        <w:rPr>
          <w:szCs w:val="26"/>
        </w:rPr>
      </w:pPr>
    </w:p>
    <w:p w14:paraId="69A54BA3" w14:textId="77777777" w:rsidR="004F0297" w:rsidRDefault="004F0297" w:rsidP="00FF43A0">
      <w:pPr>
        <w:spacing w:line="220" w:lineRule="exact"/>
        <w:jc w:val="both"/>
        <w:rPr>
          <w:szCs w:val="26"/>
        </w:rPr>
      </w:pPr>
      <w:r>
        <w:rPr>
          <w:szCs w:val="26"/>
        </w:rPr>
        <w:br w:type="page"/>
      </w:r>
    </w:p>
    <w:p w14:paraId="5CD488D9" w14:textId="46DEA297" w:rsidR="004F0297" w:rsidRDefault="004F0297" w:rsidP="00FF43A0">
      <w:pPr>
        <w:spacing w:line="220" w:lineRule="exact"/>
        <w:jc w:val="both"/>
        <w:rPr>
          <w:szCs w:val="26"/>
        </w:rPr>
        <w:sectPr w:rsidR="004F0297" w:rsidSect="00AF6868">
          <w:headerReference w:type="default" r:id="rId71"/>
          <w:footerReference w:type="default" r:id="rId72"/>
          <w:endnotePr>
            <w:numFmt w:val="decimal"/>
          </w:endnotePr>
          <w:pgSz w:w="12240" w:h="15840"/>
          <w:pgMar w:top="1440" w:right="1440" w:bottom="1440" w:left="1440" w:header="720" w:footer="210" w:gutter="0"/>
          <w:cols w:space="720"/>
          <w:docGrid w:linePitch="360"/>
        </w:sectPr>
      </w:pPr>
      <w:r>
        <w:rPr>
          <w:szCs w:val="26"/>
        </w:rPr>
        <w:lastRenderedPageBreak/>
        <w:t>Notes</w:t>
      </w:r>
    </w:p>
    <w:bookmarkEnd w:id="582"/>
    <w:p w14:paraId="67B251FE" w14:textId="65D5A592" w:rsidR="00681BA7" w:rsidRDefault="00A31A4E" w:rsidP="004F0297">
      <w:pPr>
        <w:spacing w:line="220" w:lineRule="exact"/>
        <w:jc w:val="both"/>
        <w:rPr>
          <w:szCs w:val="26"/>
        </w:rPr>
      </w:pPr>
      <w:r>
        <w:rPr>
          <w:noProof/>
          <w:szCs w:val="26"/>
        </w:rPr>
        <w:lastRenderedPageBreak/>
        <w:drawing>
          <wp:anchor distT="0" distB="0" distL="114300" distR="114300" simplePos="0" relativeHeight="251662336" behindDoc="1" locked="0" layoutInCell="1" allowOverlap="1" wp14:anchorId="503DB608" wp14:editId="5793DFB1">
            <wp:simplePos x="0" y="0"/>
            <wp:positionH relativeFrom="column">
              <wp:posOffset>-888153</wp:posOffset>
            </wp:positionH>
            <wp:positionV relativeFrom="page">
              <wp:posOffset>92710</wp:posOffset>
            </wp:positionV>
            <wp:extent cx="7721600" cy="9992360"/>
            <wp:effectExtent l="0" t="0" r="0" b="2540"/>
            <wp:wrapTight wrapText="bothSides">
              <wp:wrapPolygon edited="0">
                <wp:start x="0" y="0"/>
                <wp:lineTo x="0" y="21578"/>
                <wp:lineTo x="21564" y="21578"/>
                <wp:lineTo x="21564" y="0"/>
                <wp:lineTo x="0" y="0"/>
              </wp:wrapPolygon>
            </wp:wrapTight>
            <wp:docPr id="949522896" name="Picture 2" descr="A person in a suit and tie on a yellow and black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2896" name="Picture 2" descr="A person in a suit and tie on a yellow and black striped background&#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7721600" cy="9992360"/>
                    </a:xfrm>
                    <a:prstGeom prst="rect">
                      <a:avLst/>
                    </a:prstGeom>
                  </pic:spPr>
                </pic:pic>
              </a:graphicData>
            </a:graphic>
            <wp14:sizeRelH relativeFrom="page">
              <wp14:pctWidth>0</wp14:pctWidth>
            </wp14:sizeRelH>
            <wp14:sizeRelV relativeFrom="page">
              <wp14:pctHeight>0</wp14:pctHeight>
            </wp14:sizeRelV>
          </wp:anchor>
        </w:drawing>
      </w:r>
    </w:p>
    <w:sectPr w:rsidR="00681BA7">
      <w:headerReference w:type="default" r:id="rId74"/>
      <w:footerReference w:type="default" r:id="rId75"/>
      <w:endnotePr>
        <w:numFmt w:val="decimal"/>
      </w:endnotePr>
      <w:pgSz w:w="12240" w:h="15840"/>
      <w:pgMar w:top="1440" w:right="1440" w:bottom="1440" w:left="144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C087" w14:textId="77777777" w:rsidR="00AF6868" w:rsidRDefault="00AF6868">
      <w:r>
        <w:separator/>
      </w:r>
    </w:p>
  </w:endnote>
  <w:endnote w:type="continuationSeparator" w:id="0">
    <w:p w14:paraId="3FA0E9BE" w14:textId="77777777" w:rsidR="00AF6868" w:rsidRDefault="00AF6868">
      <w:r>
        <w:continuationSeparator/>
      </w:r>
    </w:p>
  </w:endnote>
  <w:endnote w:id="1">
    <w:p w14:paraId="44AE28AD" w14:textId="7137B82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Ohio’s state and local government offices follow Ohio’s Public Records Act, </w:t>
      </w:r>
      <w:hyperlink r:id="rId1" w:history="1">
        <w:r w:rsidR="002E05E8" w:rsidRPr="002E05E8">
          <w:rPr>
            <w:rStyle w:val="Hyperlink"/>
            <w:rFonts w:asciiTheme="minorHAnsi" w:hAnsiTheme="minorHAnsi" w:cstheme="minorHAnsi"/>
            <w:sz w:val="16"/>
            <w:szCs w:val="16"/>
          </w:rPr>
          <w:t>R.C. 149.43</w:t>
        </w:r>
      </w:hyperlink>
      <w:r w:rsidRPr="00C3377D">
        <w:rPr>
          <w:rFonts w:asciiTheme="minorHAnsi" w:hAnsiTheme="minorHAnsi" w:cstheme="minorHAnsi"/>
          <w:sz w:val="16"/>
          <w:szCs w:val="16"/>
        </w:rPr>
        <w:t xml:space="preserve">.  The federal Freedom of Information Act, 5 U.S.C. § 552, does not apply to state and local offices.  </w:t>
      </w:r>
      <w:r w:rsidRPr="00C3377D">
        <w:rPr>
          <w:rFonts w:asciiTheme="minorHAnsi" w:hAnsiTheme="minorHAnsi" w:cstheme="minorHAnsi"/>
          <w:i/>
          <w:sz w:val="16"/>
          <w:szCs w:val="16"/>
        </w:rPr>
        <w:t xml:space="preserve">See </w:t>
      </w:r>
      <w:hyperlink r:id="rId2" w:history="1">
        <w:r w:rsidRPr="00C3377D">
          <w:rPr>
            <w:rStyle w:val="Hyperlink"/>
            <w:rFonts w:asciiTheme="minorHAnsi" w:hAnsiTheme="minorHAnsi" w:cstheme="minorHAnsi"/>
            <w:i/>
            <w:sz w:val="16"/>
            <w:szCs w:val="16"/>
          </w:rPr>
          <w:t>State ex rel. O’Shea &amp; Assocs. Co., L.P.A. v. Cuyahoga Metro. Hous. Auth.</w:t>
        </w:r>
      </w:hyperlink>
      <w:r w:rsidRPr="00C3377D">
        <w:rPr>
          <w:rFonts w:asciiTheme="minorHAnsi" w:hAnsiTheme="minorHAnsi" w:cstheme="minorHAnsi"/>
          <w:sz w:val="16"/>
          <w:szCs w:val="16"/>
        </w:rPr>
        <w:t>, 131 Ohio St.3d 149, 2012-Ohio-115, ¶ 38.</w:t>
      </w:r>
    </w:p>
  </w:endnote>
  <w:endnote w:id="2">
    <w:p w14:paraId="685B5727" w14:textId="50FFB08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 w:history="1">
        <w:r w:rsidRPr="00C3377D">
          <w:rPr>
            <w:rStyle w:val="Hyperlink"/>
            <w:rFonts w:asciiTheme="minorHAnsi" w:hAnsiTheme="minorHAnsi" w:cstheme="minorHAnsi"/>
            <w:sz w:val="16"/>
            <w:szCs w:val="16"/>
          </w:rPr>
          <w:t xml:space="preserve"> </w:t>
        </w:r>
        <w:bookmarkStart w:id="5" w:name="_Hlk159595252"/>
        <w:r w:rsidRPr="00C3377D">
          <w:rPr>
            <w:rStyle w:val="Hyperlink"/>
            <w:rFonts w:asciiTheme="minorHAnsi" w:hAnsiTheme="minorHAnsi" w:cstheme="minorHAnsi"/>
            <w:sz w:val="16"/>
            <w:szCs w:val="16"/>
          </w:rPr>
          <w:t>R.C. 149.43(A)(1).</w:t>
        </w:r>
        <w:bookmarkEnd w:id="5"/>
      </w:hyperlink>
    </w:p>
  </w:endnote>
  <w:endnote w:id="3">
    <w:p w14:paraId="0410786C" w14:textId="0DF451B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 w:history="1">
        <w:r w:rsidRPr="00C3377D">
          <w:rPr>
            <w:rStyle w:val="Hyperlink"/>
            <w:rFonts w:asciiTheme="minorHAnsi" w:hAnsiTheme="minorHAnsi" w:cstheme="minorHAnsi"/>
            <w:i/>
            <w:sz w:val="16"/>
            <w:szCs w:val="16"/>
          </w:rPr>
          <w:t xml:space="preserve">State ex rel. Data Trace Information Servs., L.L.C. v. Cuyahoga </w:t>
        </w:r>
        <w:r w:rsidRPr="00C3377D">
          <w:rPr>
            <w:rStyle w:val="Hyperlink"/>
            <w:rFonts w:asciiTheme="minorHAnsi" w:hAnsiTheme="minorHAnsi" w:cstheme="minorHAnsi"/>
            <w:i/>
            <w:sz w:val="16"/>
            <w:szCs w:val="16"/>
          </w:rPr>
          <w:t>Cty. Fiscal Officer</w:t>
        </w:r>
      </w:hyperlink>
      <w:r w:rsidRPr="00C3377D">
        <w:rPr>
          <w:rFonts w:asciiTheme="minorHAnsi" w:hAnsiTheme="minorHAnsi" w:cstheme="minorHAnsi"/>
          <w:sz w:val="16"/>
          <w:szCs w:val="16"/>
        </w:rPr>
        <w:t>, 131 Ohio St.3d 255, 2012-Ohio-753, ¶ 28-41 (detailing application of the definition of “records” to the electronic records of one public office).</w:t>
      </w:r>
    </w:p>
  </w:endnote>
  <w:endnote w:id="4">
    <w:p w14:paraId="06E87BB0" w14:textId="1F42E290"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xml:space="preserve">, 119 Ohio St.3d 391, 2008-Ohio-4788, ¶ 21 (finding email messages constitute electronic records under R.C. 1306.01(G)); </w:t>
      </w:r>
      <w:hyperlink r:id="rId6" w:history="1">
        <w:r w:rsidRPr="00C3377D">
          <w:rPr>
            <w:rStyle w:val="Hyperlink"/>
            <w:rFonts w:asciiTheme="minorHAnsi" w:eastAsiaTheme="minorHAnsi" w:hAnsiTheme="minorHAnsi" w:cstheme="minorHAnsi"/>
            <w:i/>
            <w:sz w:val="16"/>
            <w:szCs w:val="16"/>
          </w:rPr>
          <w:t>Sinclair Media III, Inc. v. City of Cincinnati</w:t>
        </w:r>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xml:space="preserve"> Ct. of Cl. No. 2018-01357PQ, 2019-Ohio-2623, ¶ 14 (“</w:t>
      </w:r>
      <w:r w:rsidRPr="00C3377D">
        <w:rPr>
          <w:rFonts w:asciiTheme="minorHAnsi" w:eastAsiaTheme="minorHAnsi" w:hAnsiTheme="minorHAnsi" w:cstheme="minorHAnsi"/>
          <w:sz w:val="16"/>
          <w:szCs w:val="16"/>
        </w:rPr>
        <w:t>Ohio courts routinely treat text messages and emails sent by public officials and employees in the same manner as any other records, regardless of whether messages and emails are on publicly-issued or privately-owned devices”)</w:t>
      </w:r>
      <w:r w:rsidRPr="00C3377D">
        <w:rPr>
          <w:rFonts w:asciiTheme="minorHAnsi" w:hAnsiTheme="minorHAnsi" w:cstheme="minorHAnsi"/>
          <w:sz w:val="16"/>
          <w:szCs w:val="16"/>
        </w:rPr>
        <w:t>.</w:t>
      </w:r>
    </w:p>
  </w:endnote>
  <w:endnote w:id="5">
    <w:p w14:paraId="1FDDC81C" w14:textId="14D23BC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Harmon v. Bender</w:t>
      </w:r>
      <w:r w:rsidRPr="00C3377D">
        <w:rPr>
          <w:rFonts w:asciiTheme="minorHAnsi" w:hAnsiTheme="minorHAnsi" w:cstheme="minorHAnsi"/>
          <w:sz w:val="16"/>
          <w:szCs w:val="16"/>
        </w:rPr>
        <w:t>, 25 Ohio St.3d 15, 17 (1986).</w:t>
      </w:r>
    </w:p>
  </w:endnote>
  <w:endnote w:id="6">
    <w:p w14:paraId="1A52A45A" w14:textId="7AFD9C7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 w:history="1">
        <w:r w:rsidRPr="00C3377D">
          <w:rPr>
            <w:rStyle w:val="Hyperlink"/>
            <w:rFonts w:asciiTheme="minorHAnsi" w:hAnsiTheme="minorHAnsi" w:cstheme="minorHAnsi"/>
            <w:i/>
            <w:sz w:val="16"/>
            <w:szCs w:val="16"/>
          </w:rPr>
          <w:t>Sinclair Media III, Inc.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2018-01357PQ, 2019-Ohio-2623, ¶ 14 (“Ohio courts routinely treat text messages and emails sent by public officials and employees in the same manner as any other records, regardless of whether messages and emails are on publicly-issued or privately-owned devices”);</w:t>
      </w:r>
      <w:hyperlink r:id="rId8"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Cincinnati Enquirer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2018-01339PQ, 2019-Ohio-1613.</w:t>
      </w:r>
    </w:p>
  </w:endnote>
  <w:endnote w:id="7">
    <w:p w14:paraId="6F77E3CA" w14:textId="3057C61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 w:history="1">
        <w:r w:rsidRPr="00C3377D">
          <w:rPr>
            <w:rStyle w:val="Hyperlink"/>
            <w:rFonts w:asciiTheme="minorHAnsi" w:hAnsiTheme="minorHAnsi" w:cstheme="minorHAnsi"/>
            <w:i/>
            <w:sz w:val="16"/>
            <w:szCs w:val="16"/>
          </w:rPr>
          <w:t>State ex rel. Kerner v. State Teachers Retirement Bd.</w:t>
        </w:r>
      </w:hyperlink>
      <w:r w:rsidRPr="00C3377D">
        <w:rPr>
          <w:rFonts w:asciiTheme="minorHAnsi" w:hAnsiTheme="minorHAnsi" w:cstheme="minorHAnsi"/>
          <w:sz w:val="16"/>
          <w:szCs w:val="16"/>
        </w:rPr>
        <w:t>, 82 Ohio St.3d 273</w:t>
      </w:r>
      <w:r w:rsidR="002B1FE4" w:rsidRPr="00C3377D">
        <w:rPr>
          <w:rFonts w:asciiTheme="minorHAnsi" w:hAnsiTheme="minorHAnsi" w:cstheme="minorHAnsi"/>
          <w:sz w:val="16"/>
          <w:szCs w:val="16"/>
        </w:rPr>
        <w:t xml:space="preserve"> (1998)</w:t>
      </w:r>
      <w:r w:rsidRPr="00C3377D">
        <w:rPr>
          <w:rFonts w:asciiTheme="minorHAnsi" w:hAnsiTheme="minorHAnsi" w:cstheme="minorHAnsi"/>
          <w:sz w:val="16"/>
          <w:szCs w:val="16"/>
        </w:rPr>
        <w:t xml:space="preserve"> (finding that names and documents of a class of persons who were enrolled in the State Teachers Retirement System did not exist in record form); </w:t>
      </w:r>
      <w:hyperlink r:id="rId10" w:history="1">
        <w:r w:rsidRPr="00C3377D">
          <w:rPr>
            <w:rStyle w:val="Hyperlink"/>
            <w:rFonts w:asciiTheme="minorHAnsi" w:hAnsiTheme="minorHAnsi" w:cstheme="minorHAnsi"/>
            <w:i/>
            <w:sz w:val="16"/>
            <w:szCs w:val="16"/>
          </w:rPr>
          <w:t>State ex rel. Lanham v. Ohio Adult Parole Auth.</w:t>
        </w:r>
      </w:hyperlink>
      <w:r w:rsidRPr="00C3377D">
        <w:rPr>
          <w:rFonts w:asciiTheme="minorHAnsi" w:hAnsiTheme="minorHAnsi" w:cstheme="minorHAnsi"/>
          <w:sz w:val="16"/>
          <w:szCs w:val="16"/>
        </w:rPr>
        <w:t>, 80 Ohio St.3d 425, 427</w:t>
      </w:r>
      <w:r w:rsidR="002B1FE4" w:rsidRPr="00C3377D">
        <w:rPr>
          <w:rFonts w:asciiTheme="minorHAnsi" w:hAnsiTheme="minorHAnsi" w:cstheme="minorHAnsi"/>
          <w:sz w:val="16"/>
          <w:szCs w:val="16"/>
        </w:rPr>
        <w:t xml:space="preserve"> (1997)</w:t>
      </w:r>
      <w:r w:rsidRPr="00C3377D">
        <w:rPr>
          <w:rFonts w:asciiTheme="minorHAnsi" w:hAnsiTheme="minorHAnsi" w:cstheme="minorHAnsi"/>
          <w:sz w:val="16"/>
          <w:szCs w:val="16"/>
        </w:rPr>
        <w:t xml:space="preserve"> (inmate’s request for “qualifications of APA members” was a request for information </w:t>
      </w:r>
      <w:r w:rsidR="002E05E8">
        <w:rPr>
          <w:rFonts w:asciiTheme="minorHAnsi" w:hAnsiTheme="minorHAnsi" w:cstheme="minorHAnsi"/>
          <w:sz w:val="16"/>
          <w:szCs w:val="16"/>
        </w:rPr>
        <w:t>not</w:t>
      </w:r>
      <w:r w:rsidRPr="00C3377D">
        <w:rPr>
          <w:rFonts w:asciiTheme="minorHAnsi" w:hAnsiTheme="minorHAnsi" w:cstheme="minorHAnsi"/>
          <w:sz w:val="16"/>
          <w:szCs w:val="16"/>
        </w:rPr>
        <w:t xml:space="preserve"> for specific records); </w:t>
      </w:r>
      <w:hyperlink r:id="rId11" w:history="1">
        <w:r w:rsidRPr="00C3377D">
          <w:rPr>
            <w:rStyle w:val="Hyperlink"/>
            <w:rFonts w:asciiTheme="minorHAnsi" w:hAnsiTheme="minorHAnsi" w:cstheme="minorHAnsi"/>
            <w:i/>
            <w:sz w:val="16"/>
            <w:szCs w:val="16"/>
          </w:rPr>
          <w:t>Wilhelm v. Jerusalem Twp. Zoning</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2020-008342PQ, 2020-Ohio-5283, ¶ 11</w:t>
      </w:r>
      <w:r w:rsidR="004C021E" w:rsidRPr="00C3377D">
        <w:rPr>
          <w:rFonts w:asciiTheme="minorHAnsi" w:hAnsiTheme="minorHAnsi" w:cstheme="minorHAnsi"/>
          <w:sz w:val="16"/>
          <w:szCs w:val="16"/>
        </w:rPr>
        <w:t xml:space="preserve">, </w:t>
      </w:r>
      <w:r w:rsidR="004C021E" w:rsidRPr="00C23D28">
        <w:rPr>
          <w:rFonts w:asciiTheme="minorHAnsi" w:hAnsiTheme="minorHAnsi" w:cstheme="minorHAnsi"/>
          <w:i/>
          <w:iCs/>
          <w:sz w:val="16"/>
          <w:szCs w:val="16"/>
        </w:rPr>
        <w:t>adopted by</w:t>
      </w:r>
      <w:r w:rsidR="004C021E" w:rsidRPr="00C3377D">
        <w:rPr>
          <w:rFonts w:asciiTheme="minorHAnsi" w:hAnsiTheme="minorHAnsi" w:cstheme="minorHAnsi"/>
          <w:sz w:val="16"/>
          <w:szCs w:val="16"/>
        </w:rPr>
        <w:t xml:space="preserve"> Ct. of Cl. No. 2020-00342PQ, 2020-Ohio-5282</w:t>
      </w:r>
      <w:r w:rsidRPr="00C3377D">
        <w:rPr>
          <w:rFonts w:asciiTheme="minorHAnsi" w:hAnsiTheme="minorHAnsi" w:cstheme="minorHAnsi"/>
          <w:sz w:val="16"/>
          <w:szCs w:val="16"/>
        </w:rPr>
        <w:t xml:space="preserve"> (requester’s questions about a township’s records did not identify any specific records); </w:t>
      </w:r>
      <w:hyperlink r:id="rId12" w:history="1">
        <w:r w:rsidRPr="00C3377D">
          <w:rPr>
            <w:rStyle w:val="Hyperlink"/>
            <w:rFonts w:asciiTheme="minorHAnsi" w:hAnsiTheme="minorHAnsi" w:cstheme="minorHAnsi"/>
            <w:i/>
            <w:sz w:val="16"/>
            <w:szCs w:val="16"/>
          </w:rPr>
          <w:t xml:space="preserve">State ex rel. Griffin v. </w:t>
        </w:r>
        <w:r w:rsidRPr="00C3377D">
          <w:rPr>
            <w:rStyle w:val="Hyperlink"/>
            <w:rFonts w:asciiTheme="minorHAnsi" w:hAnsiTheme="minorHAnsi" w:cstheme="minorHAnsi"/>
            <w:i/>
            <w:sz w:val="16"/>
            <w:szCs w:val="16"/>
          </w:rPr>
          <w:t>Sehlmeyer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167 Ohio St.3d 566, 2022-Ohio-2189, ¶ 11 (inmate’s request for “documented records” showing COVID-19 funding </w:t>
      </w:r>
      <w:r w:rsidR="002E05E8">
        <w:rPr>
          <w:rFonts w:asciiTheme="minorHAnsi" w:hAnsiTheme="minorHAnsi" w:cstheme="minorHAnsi"/>
          <w:sz w:val="16"/>
          <w:szCs w:val="16"/>
        </w:rPr>
        <w:t>was</w:t>
      </w:r>
      <w:r w:rsidRPr="00C3377D">
        <w:rPr>
          <w:rFonts w:asciiTheme="minorHAnsi" w:hAnsiTheme="minorHAnsi" w:cstheme="minorHAnsi"/>
          <w:sz w:val="16"/>
          <w:szCs w:val="16"/>
        </w:rPr>
        <w:t xml:space="preserve"> a request for information</w:t>
      </w:r>
      <w:r w:rsidR="002E05E8">
        <w:rPr>
          <w:rFonts w:asciiTheme="minorHAnsi" w:hAnsiTheme="minorHAnsi" w:cstheme="minorHAnsi"/>
          <w:sz w:val="16"/>
          <w:szCs w:val="16"/>
        </w:rPr>
        <w:t>;</w:t>
      </w:r>
      <w:r w:rsidRPr="00C3377D">
        <w:rPr>
          <w:rFonts w:asciiTheme="minorHAnsi" w:hAnsiTheme="minorHAnsi" w:cstheme="minorHAnsi"/>
          <w:sz w:val="16"/>
          <w:szCs w:val="16"/>
        </w:rPr>
        <w:t xml:space="preserve"> </w:t>
      </w:r>
      <w:r w:rsidR="002E05E8">
        <w:rPr>
          <w:rFonts w:asciiTheme="minorHAnsi" w:hAnsiTheme="minorHAnsi" w:cstheme="minorHAnsi"/>
          <w:sz w:val="16"/>
          <w:szCs w:val="16"/>
        </w:rPr>
        <w:t xml:space="preserve">requester was specifying </w:t>
      </w:r>
      <w:r w:rsidRPr="00C3377D">
        <w:rPr>
          <w:rFonts w:asciiTheme="minorHAnsi" w:hAnsiTheme="minorHAnsi" w:cstheme="minorHAnsi"/>
          <w:sz w:val="16"/>
          <w:szCs w:val="16"/>
        </w:rPr>
        <w:t>the type of information sought</w:t>
      </w:r>
      <w:r w:rsidR="002E05E8">
        <w:rPr>
          <w:rFonts w:asciiTheme="minorHAnsi" w:hAnsiTheme="minorHAnsi" w:cstheme="minorHAnsi"/>
          <w:sz w:val="16"/>
          <w:szCs w:val="16"/>
        </w:rPr>
        <w:t xml:space="preserve"> not the records he wanted to </w:t>
      </w:r>
      <w:r w:rsidRPr="00C3377D">
        <w:rPr>
          <w:rFonts w:asciiTheme="minorHAnsi" w:hAnsiTheme="minorHAnsi" w:cstheme="minorHAnsi"/>
          <w:sz w:val="16"/>
          <w:szCs w:val="16"/>
        </w:rPr>
        <w:t>review).</w:t>
      </w:r>
    </w:p>
  </w:endnote>
  <w:endnote w:id="8">
    <w:p w14:paraId="656AA714" w14:textId="65DB778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 w:history="1">
        <w:r w:rsidRPr="00C3377D">
          <w:rPr>
            <w:rStyle w:val="Hyperlink"/>
            <w:rFonts w:asciiTheme="minorHAnsi" w:hAnsiTheme="minorHAnsi" w:cstheme="minorHAnsi"/>
            <w:i/>
            <w:sz w:val="16"/>
            <w:szCs w:val="16"/>
          </w:rPr>
          <w:t>State ex rel. White v. Goldsberry</w:t>
        </w:r>
      </w:hyperlink>
      <w:r w:rsidRPr="00C3377D">
        <w:rPr>
          <w:rFonts w:asciiTheme="minorHAnsi" w:hAnsiTheme="minorHAnsi" w:cstheme="minorHAnsi"/>
          <w:sz w:val="16"/>
          <w:szCs w:val="16"/>
        </w:rPr>
        <w:t xml:space="preserve">, 85 Ohio St.3d 153, 154 </w:t>
      </w:r>
      <w:r w:rsidR="002B1FE4" w:rsidRPr="00C3377D">
        <w:rPr>
          <w:rFonts w:asciiTheme="minorHAnsi" w:hAnsiTheme="minorHAnsi" w:cstheme="minorHAnsi"/>
          <w:sz w:val="16"/>
          <w:szCs w:val="16"/>
        </w:rPr>
        <w:t>(1999)</w:t>
      </w:r>
      <w:r w:rsidRPr="00C3377D">
        <w:rPr>
          <w:rFonts w:asciiTheme="minorHAnsi" w:hAnsiTheme="minorHAnsi" w:cstheme="minorHAnsi"/>
          <w:sz w:val="16"/>
          <w:szCs w:val="16"/>
        </w:rPr>
        <w:t xml:space="preserve">(a public office has “no duty under R.C. 149.43 to create new records by searching for and compiling information from existing records”; when requested records of peremptory strikes during relator’s trial did not exist, the court had no obligation to create responsive records); </w:t>
      </w:r>
      <w:r w:rsidRPr="00C3377D">
        <w:rPr>
          <w:rFonts w:asciiTheme="minorHAnsi" w:hAnsiTheme="minorHAnsi" w:cstheme="minorHAnsi"/>
          <w:i/>
          <w:sz w:val="16"/>
          <w:szCs w:val="16"/>
        </w:rPr>
        <w:t>Capers v. White</w:t>
      </w:r>
      <w:r w:rsidRPr="00C3377D">
        <w:rPr>
          <w:rFonts w:asciiTheme="minorHAnsi" w:hAnsiTheme="minorHAnsi" w:cstheme="minorHAnsi"/>
          <w:sz w:val="16"/>
          <w:szCs w:val="16"/>
        </w:rPr>
        <w:t>, 8th Dist. Cuyahoga No. 80713, 200</w:t>
      </w:r>
      <w:r w:rsidR="00AE431C" w:rsidRPr="00C3377D">
        <w:rPr>
          <w:rFonts w:asciiTheme="minorHAnsi" w:hAnsiTheme="minorHAnsi" w:cstheme="minorHAnsi"/>
          <w:sz w:val="16"/>
          <w:szCs w:val="16"/>
        </w:rPr>
        <w:t>2</w:t>
      </w:r>
      <w:r w:rsidRPr="00C3377D">
        <w:rPr>
          <w:rFonts w:asciiTheme="minorHAnsi" w:hAnsiTheme="minorHAnsi" w:cstheme="minorHAnsi"/>
          <w:sz w:val="16"/>
          <w:szCs w:val="16"/>
        </w:rPr>
        <w:t xml:space="preserve"> Ohio App. LEXIS 1962 (Apr. 17, 2002) (requests for information are not enforceable in a public records mandamus action).</w:t>
      </w:r>
    </w:p>
  </w:endnote>
  <w:endnote w:id="9">
    <w:p w14:paraId="47989D48" w14:textId="03AAA55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Recodat Co. v. Buchanan</w:t>
      </w:r>
      <w:r w:rsidRPr="00C3377D">
        <w:rPr>
          <w:rFonts w:asciiTheme="minorHAnsi" w:hAnsiTheme="minorHAnsi" w:cstheme="minorHAnsi"/>
          <w:sz w:val="16"/>
          <w:szCs w:val="16"/>
        </w:rPr>
        <w:t xml:space="preserve">, 46 Ohio St.3d 163, 164 (1989); </w:t>
      </w:r>
      <w:hyperlink r:id="rId14" w:history="1">
        <w:r w:rsidRPr="00C3377D">
          <w:rPr>
            <w:rStyle w:val="Hyperlink"/>
            <w:rFonts w:asciiTheme="minorHAnsi" w:hAnsiTheme="minorHAnsi" w:cstheme="minorHAnsi"/>
            <w:i/>
            <w:sz w:val="16"/>
            <w:szCs w:val="16"/>
          </w:rPr>
          <w:t>State ex rel. Bardwell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126 Ohio St.3d 195, 2010-Ohio-3267, ¶ 4; </w:t>
      </w:r>
      <w:hyperlink r:id="rId15" w:history="1">
        <w:r w:rsidRPr="00C3377D">
          <w:rPr>
            <w:rStyle w:val="Hyperlink"/>
            <w:rFonts w:asciiTheme="minorHAnsi" w:hAnsiTheme="minorHAnsi" w:cstheme="minorHAnsi"/>
            <w:i/>
            <w:sz w:val="16"/>
            <w:szCs w:val="16"/>
          </w:rPr>
          <w:t>State ex rel. Mitchell v. Byrd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8th Dist. Cuyahoga No. 111205, 2022-Ohio-2700, ¶ 14 (requiring a county clerk of court to provide information and to create new records by searching for and compiling information from existing record</w:t>
      </w:r>
      <w:r w:rsidR="00622AEB">
        <w:rPr>
          <w:rFonts w:asciiTheme="minorHAnsi" w:hAnsiTheme="minorHAnsi" w:cstheme="minorHAnsi"/>
          <w:sz w:val="16"/>
          <w:szCs w:val="16"/>
        </w:rPr>
        <w:t xml:space="preserve">s is </w:t>
      </w:r>
      <w:r w:rsidRPr="00C3377D">
        <w:rPr>
          <w:rFonts w:asciiTheme="minorHAnsi" w:hAnsiTheme="minorHAnsi" w:cstheme="minorHAnsi"/>
          <w:sz w:val="16"/>
          <w:szCs w:val="16"/>
        </w:rPr>
        <w:t>not enforceable in a public records mandamus action).</w:t>
      </w:r>
    </w:p>
  </w:endnote>
  <w:endnote w:id="10">
    <w:p w14:paraId="44D6A607" w14:textId="3ED70FE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 w:history="1">
        <w:r w:rsidRPr="00C3377D">
          <w:rPr>
            <w:rStyle w:val="Hyperlink"/>
            <w:rFonts w:asciiTheme="minorHAnsi" w:hAnsiTheme="minorHAnsi" w:cstheme="minorHAnsi"/>
            <w:i/>
            <w:sz w:val="16"/>
            <w:szCs w:val="16"/>
          </w:rPr>
          <w:t xml:space="preserve">State ex rel. Cincinnati Enquirer v. </w:t>
        </w:r>
        <w:r w:rsidRPr="00C3377D">
          <w:rPr>
            <w:rStyle w:val="Hyperlink"/>
            <w:rFonts w:asciiTheme="minorHAnsi" w:hAnsiTheme="minorHAnsi" w:cstheme="minorHAnsi"/>
            <w:i/>
            <w:sz w:val="16"/>
            <w:szCs w:val="16"/>
          </w:rPr>
          <w:t>Krings</w:t>
        </w:r>
      </w:hyperlink>
      <w:r w:rsidRPr="00C3377D">
        <w:rPr>
          <w:rFonts w:asciiTheme="minorHAnsi" w:hAnsiTheme="minorHAnsi" w:cstheme="minorHAnsi"/>
          <w:sz w:val="16"/>
          <w:szCs w:val="16"/>
        </w:rPr>
        <w:t>, 93 Ohio St.3d 654, 660</w:t>
      </w:r>
      <w:r w:rsidR="002B1FE4" w:rsidRPr="00C3377D">
        <w:rPr>
          <w:rFonts w:asciiTheme="minorHAnsi" w:hAnsiTheme="minorHAnsi" w:cstheme="minorHAnsi"/>
          <w:sz w:val="16"/>
          <w:szCs w:val="16"/>
        </w:rPr>
        <w:t xml:space="preserve"> (2001)</w:t>
      </w:r>
      <w:r w:rsidRPr="00C3377D">
        <w:rPr>
          <w:rFonts w:asciiTheme="minorHAnsi" w:hAnsiTheme="minorHAnsi" w:cstheme="minorHAnsi"/>
          <w:sz w:val="16"/>
          <w:szCs w:val="16"/>
        </w:rPr>
        <w:t xml:space="preserve"> (</w:t>
      </w:r>
      <w:r w:rsidR="00EA3091" w:rsidRPr="00C3377D">
        <w:rPr>
          <w:rFonts w:asciiTheme="minorHAnsi" w:hAnsiTheme="minorHAnsi" w:cstheme="minorHAnsi"/>
          <w:sz w:val="16"/>
          <w:szCs w:val="16"/>
        </w:rPr>
        <w:t>records of costs to build stadium</w:t>
      </w:r>
      <w:r w:rsidRPr="00C3377D">
        <w:rPr>
          <w:rFonts w:asciiTheme="minorHAnsi" w:hAnsiTheme="minorHAnsi" w:cstheme="minorHAnsi"/>
          <w:sz w:val="16"/>
          <w:szCs w:val="16"/>
        </w:rPr>
        <w:t xml:space="preserve"> were within jurisdiction of county board and </w:t>
      </w:r>
      <w:r w:rsidR="00EA3091" w:rsidRPr="00C3377D">
        <w:rPr>
          <w:rFonts w:asciiTheme="minorHAnsi" w:hAnsiTheme="minorHAnsi" w:cstheme="minorHAnsi"/>
          <w:sz w:val="16"/>
          <w:szCs w:val="16"/>
        </w:rPr>
        <w:t xml:space="preserve">thus </w:t>
      </w:r>
      <w:r w:rsidRPr="00C3377D">
        <w:rPr>
          <w:rFonts w:asciiTheme="minorHAnsi" w:hAnsiTheme="minorHAnsi" w:cstheme="minorHAnsi"/>
          <w:sz w:val="16"/>
          <w:szCs w:val="16"/>
        </w:rPr>
        <w:t xml:space="preserve">public records </w:t>
      </w:r>
      <w:r w:rsidR="00EA3091" w:rsidRPr="00C3377D">
        <w:rPr>
          <w:rFonts w:asciiTheme="minorHAnsi" w:hAnsiTheme="minorHAnsi" w:cstheme="minorHAnsi"/>
          <w:sz w:val="16"/>
          <w:szCs w:val="16"/>
        </w:rPr>
        <w:t>even if</w:t>
      </w:r>
      <w:r w:rsidRPr="00C3377D">
        <w:rPr>
          <w:rFonts w:asciiTheme="minorHAnsi" w:hAnsiTheme="minorHAnsi" w:cstheme="minorHAnsi"/>
          <w:sz w:val="16"/>
          <w:szCs w:val="16"/>
        </w:rPr>
        <w:t xml:space="preserve"> in the possession of the county or the construction companies).</w:t>
      </w:r>
    </w:p>
  </w:endnote>
  <w:endnote w:id="11">
    <w:p w14:paraId="79AC3055" w14:textId="51CCCAB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 w:history="1">
        <w:r w:rsidRPr="00C3377D">
          <w:rPr>
            <w:rStyle w:val="Hyperlink"/>
            <w:rFonts w:asciiTheme="minorHAnsi" w:hAnsiTheme="minorHAnsi" w:cstheme="minorHAnsi"/>
            <w:i/>
            <w:sz w:val="16"/>
            <w:szCs w:val="16"/>
          </w:rPr>
          <w:t xml:space="preserve">State ex rel. Cincinnati Enquirer v. </w:t>
        </w:r>
        <w:r w:rsidRPr="00C3377D">
          <w:rPr>
            <w:rStyle w:val="Hyperlink"/>
            <w:rFonts w:asciiTheme="minorHAnsi" w:hAnsiTheme="minorHAnsi" w:cstheme="minorHAnsi"/>
            <w:i/>
            <w:sz w:val="16"/>
            <w:szCs w:val="16"/>
          </w:rPr>
          <w:t>Krings</w:t>
        </w:r>
      </w:hyperlink>
      <w:r w:rsidRPr="00C3377D">
        <w:rPr>
          <w:rFonts w:asciiTheme="minorHAnsi" w:hAnsiTheme="minorHAnsi" w:cstheme="minorHAnsi"/>
          <w:sz w:val="16"/>
          <w:szCs w:val="16"/>
        </w:rPr>
        <w:t>, 93 Ohio St.3d 654</w:t>
      </w:r>
      <w:r w:rsidR="002B1FE4" w:rsidRPr="00C3377D">
        <w:rPr>
          <w:rFonts w:asciiTheme="minorHAnsi" w:hAnsiTheme="minorHAnsi" w:cstheme="minorHAnsi"/>
          <w:sz w:val="16"/>
          <w:szCs w:val="16"/>
        </w:rPr>
        <w:t xml:space="preserve"> (2001)</w:t>
      </w:r>
      <w:r w:rsidR="00C433AF">
        <w:rPr>
          <w:rFonts w:asciiTheme="minorHAnsi" w:hAnsiTheme="minorHAnsi" w:cstheme="minorHAnsi"/>
          <w:sz w:val="16"/>
          <w:szCs w:val="16"/>
        </w:rPr>
        <w:t>.</w:t>
      </w:r>
    </w:p>
  </w:endnote>
  <w:endnote w:id="12">
    <w:p w14:paraId="5DC72C41" w14:textId="2E9E9C5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 w:history="1">
        <w:r w:rsidRPr="00C3377D">
          <w:rPr>
            <w:rStyle w:val="Hyperlink"/>
            <w:rFonts w:asciiTheme="minorHAnsi" w:hAnsiTheme="minorHAnsi" w:cstheme="minorHAnsi"/>
            <w:i/>
            <w:sz w:val="16"/>
            <w:szCs w:val="16"/>
          </w:rPr>
          <w:t>State ex rel. Dispatch Printing Co. v. Johnson</w:t>
        </w:r>
      </w:hyperlink>
      <w:r w:rsidRPr="00C3377D">
        <w:rPr>
          <w:rFonts w:asciiTheme="minorHAnsi" w:hAnsiTheme="minorHAnsi" w:cstheme="minorHAnsi"/>
          <w:sz w:val="16"/>
          <w:szCs w:val="16"/>
        </w:rPr>
        <w:t xml:space="preserve">, 106 Ohio St.3d 160, 2005-Ohio-4384, ¶ 29 (quotation omitted); </w:t>
      </w:r>
      <w:hyperlink r:id="rId19"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Fant v. Enright</w:t>
        </w:r>
      </w:hyperlink>
      <w:r w:rsidRPr="00C3377D">
        <w:rPr>
          <w:rFonts w:asciiTheme="minorHAnsi" w:hAnsiTheme="minorHAnsi" w:cstheme="minorHAnsi"/>
          <w:sz w:val="16"/>
          <w:szCs w:val="16"/>
        </w:rPr>
        <w:t xml:space="preserve">, 66 Ohio St.3d 186, 188 (1993) (“To the extent that any item … is not a ‘record,’ </w:t>
      </w:r>
      <w:r w:rsidRPr="00C3377D">
        <w:rPr>
          <w:rFonts w:asciiTheme="minorHAnsi" w:hAnsiTheme="minorHAnsi" w:cstheme="minorHAnsi"/>
          <w:i/>
          <w:sz w:val="16"/>
          <w:szCs w:val="16"/>
        </w:rPr>
        <w:t>i.e.</w:t>
      </w:r>
      <w:r w:rsidRPr="00C3377D">
        <w:rPr>
          <w:rFonts w:asciiTheme="minorHAnsi" w:hAnsiTheme="minorHAnsi" w:cstheme="minorHAnsi"/>
          <w:sz w:val="16"/>
          <w:szCs w:val="16"/>
        </w:rPr>
        <w:t>, does not serve to document the organization, etc., of the public office, it is not a public record and need not be disclosed.”).</w:t>
      </w:r>
    </w:p>
  </w:endnote>
  <w:endnote w:id="13">
    <w:p w14:paraId="3CF9B1B9" w14:textId="3221510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Margolius v. City of Cleveland</w:t>
      </w:r>
      <w:r w:rsidRPr="00C3377D">
        <w:rPr>
          <w:rFonts w:asciiTheme="minorHAnsi" w:hAnsiTheme="minorHAnsi" w:cstheme="minorHAnsi"/>
          <w:sz w:val="16"/>
          <w:szCs w:val="16"/>
        </w:rPr>
        <w:t xml:space="preserve">, 62 Ohio St.3d 456, 461 (1992); </w:t>
      </w:r>
      <w:hyperlink r:id="rId20" w:history="1">
        <w:r w:rsidRPr="00C3377D">
          <w:rPr>
            <w:rStyle w:val="Hyperlink"/>
            <w:rFonts w:asciiTheme="minorHAnsi" w:hAnsiTheme="minorHAnsi" w:cstheme="minorHAnsi"/>
            <w:i/>
            <w:sz w:val="16"/>
            <w:szCs w:val="16"/>
          </w:rPr>
          <w:t>Sinclair Media III, Inc.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2018-01357PQ, 2019-Ohio-2623, ¶ 14 (“Ohio courts routinely treat text messages and emails sent by public officials and employees in the same manner as any other records, regardless of whether messages and emails are on publicly-issued or privately-owned devices”). </w:t>
      </w:r>
    </w:p>
  </w:endnote>
  <w:endnote w:id="14">
    <w:p w14:paraId="5223E690" w14:textId="3B6235F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 w:history="1">
        <w:r w:rsidRPr="00C3377D">
          <w:rPr>
            <w:rStyle w:val="Hyperlink"/>
            <w:rFonts w:asciiTheme="minorHAnsi" w:hAnsiTheme="minorHAnsi" w:cstheme="minorHAnsi"/>
            <w:i/>
            <w:sz w:val="16"/>
            <w:szCs w:val="16"/>
          </w:rPr>
          <w:t>State ex rel. Dispatch Printing Co. v. Johnson</w:t>
        </w:r>
      </w:hyperlink>
      <w:r w:rsidRPr="00C3377D">
        <w:rPr>
          <w:rFonts w:asciiTheme="minorHAnsi" w:hAnsiTheme="minorHAnsi" w:cstheme="minorHAnsi"/>
          <w:sz w:val="16"/>
          <w:szCs w:val="16"/>
        </w:rPr>
        <w:t xml:space="preserve">, 106 Ohio St.3d 160, 2005-Ohio-4384, ¶ 27, citing </w:t>
      </w:r>
      <w:hyperlink r:id="rId22"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88 Ohio St.3d 365, 369, 2000-Ohio-345 (names, addresses, and other personal information kept by city recreation and parks department regarding children who used city’s recreational facilities are not public records).</w:t>
      </w:r>
    </w:p>
  </w:endnote>
  <w:endnote w:id="15">
    <w:p w14:paraId="465112C8" w14:textId="139A047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 w:history="1">
        <w:r w:rsidRPr="00C3377D">
          <w:rPr>
            <w:rStyle w:val="Hyperlink"/>
            <w:rFonts w:asciiTheme="minorHAnsi" w:hAnsiTheme="minorHAnsi" w:cstheme="minorHAnsi"/>
            <w:i/>
            <w:sz w:val="16"/>
            <w:szCs w:val="16"/>
          </w:rPr>
          <w:t>State ex rel.</w:t>
        </w:r>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Dispatch Printing Co. v. Johnson</w:t>
        </w:r>
      </w:hyperlink>
      <w:r w:rsidRPr="00C3377D">
        <w:rPr>
          <w:rFonts w:asciiTheme="minorHAnsi" w:hAnsiTheme="minorHAnsi" w:cstheme="minorHAnsi"/>
          <w:sz w:val="16"/>
          <w:szCs w:val="16"/>
        </w:rPr>
        <w:t xml:space="preserve">, 106 Ohio St.3d 160, 2005-Ohio-4384 (home addresses of employees generally do not document activities of the </w:t>
      </w:r>
      <w:r w:rsidR="00B825D7" w:rsidRPr="00C3377D">
        <w:rPr>
          <w:rFonts w:asciiTheme="minorHAnsi" w:hAnsiTheme="minorHAnsi" w:cstheme="minorHAnsi"/>
          <w:sz w:val="16"/>
          <w:szCs w:val="16"/>
        </w:rPr>
        <w:t>office but</w:t>
      </w:r>
      <w:r w:rsidRPr="00C3377D">
        <w:rPr>
          <w:rFonts w:asciiTheme="minorHAnsi" w:hAnsiTheme="minorHAnsi" w:cstheme="minorHAnsi"/>
          <w:sz w:val="16"/>
          <w:szCs w:val="16"/>
        </w:rPr>
        <w:t xml:space="preserve"> may in certain circumstances).</w:t>
      </w:r>
    </w:p>
  </w:endnote>
  <w:endnote w:id="16">
    <w:p w14:paraId="2F4A4EC9" w14:textId="600F81C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 w:history="1">
        <w:r w:rsidRPr="00C3377D">
          <w:rPr>
            <w:rStyle w:val="Hyperlink"/>
            <w:rFonts w:asciiTheme="minorHAnsi" w:hAnsiTheme="minorHAnsi" w:cstheme="minorHAnsi"/>
            <w:i/>
            <w:sz w:val="16"/>
            <w:szCs w:val="16"/>
          </w:rPr>
          <w:t xml:space="preserve">State ex rel. DeGroot v. </w:t>
        </w:r>
        <w:r w:rsidRPr="00C3377D">
          <w:rPr>
            <w:rStyle w:val="Hyperlink"/>
            <w:rFonts w:asciiTheme="minorHAnsi" w:hAnsiTheme="minorHAnsi" w:cstheme="minorHAnsi"/>
            <w:i/>
            <w:sz w:val="16"/>
            <w:szCs w:val="16"/>
          </w:rPr>
          <w:t>Tilsley</w:t>
        </w:r>
      </w:hyperlink>
      <w:r w:rsidRPr="00C3377D">
        <w:rPr>
          <w:rFonts w:asciiTheme="minorHAnsi" w:hAnsiTheme="minorHAnsi" w:cstheme="minorHAnsi"/>
          <w:sz w:val="16"/>
          <w:szCs w:val="16"/>
        </w:rPr>
        <w:t>, 128 Ohio St.3d 311, 2011-Ohio-231, ¶ 6-8.</w:t>
      </w:r>
    </w:p>
  </w:endnote>
  <w:endnote w:id="17">
    <w:p w14:paraId="7EFDDD2C" w14:textId="775833F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 w:history="1">
        <w:r w:rsidRPr="00C3377D">
          <w:rPr>
            <w:rStyle w:val="Hyperlink"/>
            <w:rFonts w:asciiTheme="minorHAnsi" w:hAnsiTheme="minorHAnsi" w:cstheme="minorHAnsi"/>
            <w:i/>
            <w:sz w:val="16"/>
            <w:szCs w:val="16"/>
          </w:rPr>
          <w:t>State ex rel. Taxpayers Coalition v. City of Lakewood</w:t>
        </w:r>
      </w:hyperlink>
      <w:r w:rsidRPr="00C3377D">
        <w:rPr>
          <w:rFonts w:asciiTheme="minorHAnsi" w:hAnsiTheme="minorHAnsi" w:cstheme="minorHAnsi"/>
          <w:sz w:val="16"/>
          <w:szCs w:val="16"/>
        </w:rPr>
        <w:t>, 86 Ohio St.3d 385, 1999-Ohio-114 (city was not required to create mailing list it did not regularly keep in its existing records)</w:t>
      </w:r>
      <w:r w:rsidR="003B114A" w:rsidRPr="00C3377D">
        <w:rPr>
          <w:rFonts w:asciiTheme="minorHAnsi" w:hAnsiTheme="minorHAnsi" w:cstheme="minorHAnsi"/>
          <w:sz w:val="16"/>
          <w:szCs w:val="16"/>
        </w:rPr>
        <w:t xml:space="preserve">; </w:t>
      </w:r>
      <w:hyperlink r:id="rId26" w:history="1">
        <w:r w:rsidR="003B114A" w:rsidRPr="00C3377D">
          <w:rPr>
            <w:rStyle w:val="Hyperlink"/>
            <w:rFonts w:asciiTheme="minorHAnsi" w:hAnsiTheme="minorHAnsi" w:cstheme="minorHAnsi"/>
            <w:i/>
            <w:iCs/>
            <w:sz w:val="16"/>
            <w:szCs w:val="16"/>
          </w:rPr>
          <w:t>Hicks v. Union Twp.</w:t>
        </w:r>
      </w:hyperlink>
      <w:r w:rsidR="003B114A" w:rsidRPr="00C3377D">
        <w:rPr>
          <w:rFonts w:asciiTheme="minorHAnsi" w:hAnsiTheme="minorHAnsi" w:cstheme="minorHAnsi"/>
          <w:sz w:val="16"/>
          <w:szCs w:val="16"/>
        </w:rPr>
        <w:t>, 12th Dist. Clermont No. CA2022-10-057, 2023-Ohio-874</w:t>
      </w:r>
      <w:r w:rsidR="004C021E" w:rsidRPr="00C3377D">
        <w:rPr>
          <w:rFonts w:asciiTheme="minorHAnsi" w:hAnsiTheme="minorHAnsi" w:cstheme="minorHAnsi"/>
          <w:sz w:val="16"/>
          <w:szCs w:val="16"/>
        </w:rPr>
        <w:t>,</w:t>
      </w:r>
      <w:r w:rsidR="003B114A" w:rsidRPr="00C3377D">
        <w:rPr>
          <w:rFonts w:asciiTheme="minorHAnsi" w:hAnsiTheme="minorHAnsi" w:cstheme="minorHAnsi"/>
          <w:sz w:val="16"/>
          <w:szCs w:val="16"/>
        </w:rPr>
        <w:t xml:space="preserve"> ¶ 41 (newsletter </w:t>
      </w:r>
      <w:r w:rsidR="004C021E" w:rsidRPr="00C3377D">
        <w:rPr>
          <w:rFonts w:asciiTheme="minorHAnsi" w:hAnsiTheme="minorHAnsi" w:cstheme="minorHAnsi"/>
          <w:sz w:val="16"/>
          <w:szCs w:val="16"/>
        </w:rPr>
        <w:t>mailing distribution list</w:t>
      </w:r>
      <w:r w:rsidR="003B114A" w:rsidRPr="00C3377D">
        <w:rPr>
          <w:rFonts w:asciiTheme="minorHAnsi" w:hAnsiTheme="minorHAnsi" w:cstheme="minorHAnsi"/>
          <w:sz w:val="16"/>
          <w:szCs w:val="16"/>
        </w:rPr>
        <w:t xml:space="preserve"> not a public record because it is comprised of “information used as a matter of convenience in distributing the newsl</w:t>
      </w:r>
      <w:r w:rsidR="004C021E" w:rsidRPr="00C3377D">
        <w:rPr>
          <w:rFonts w:asciiTheme="minorHAnsi" w:hAnsiTheme="minorHAnsi" w:cstheme="minorHAnsi"/>
          <w:sz w:val="16"/>
          <w:szCs w:val="16"/>
        </w:rPr>
        <w:t>e</w:t>
      </w:r>
      <w:r w:rsidR="003B114A" w:rsidRPr="00C3377D">
        <w:rPr>
          <w:rFonts w:asciiTheme="minorHAnsi" w:hAnsiTheme="minorHAnsi" w:cstheme="minorHAnsi"/>
          <w:sz w:val="16"/>
          <w:szCs w:val="16"/>
        </w:rPr>
        <w:t>tters”)</w:t>
      </w:r>
      <w:r w:rsidR="00622AEB">
        <w:rPr>
          <w:rFonts w:asciiTheme="minorHAnsi" w:hAnsiTheme="minorHAnsi" w:cstheme="minorHAnsi"/>
          <w:sz w:val="16"/>
          <w:szCs w:val="16"/>
        </w:rPr>
        <w:t>.</w:t>
      </w:r>
    </w:p>
  </w:endnote>
  <w:endnote w:id="18">
    <w:p w14:paraId="06EC3D9A" w14:textId="7D35A3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Internatl. Union, United Auto., Aerospace &amp; Agricultural Implement Workers v. Voinovich</w:t>
      </w:r>
      <w:r w:rsidRPr="00C3377D">
        <w:rPr>
          <w:rFonts w:asciiTheme="minorHAnsi" w:hAnsiTheme="minorHAnsi" w:cstheme="minorHAnsi"/>
          <w:sz w:val="16"/>
          <w:szCs w:val="16"/>
        </w:rPr>
        <w:t xml:space="preserve">, 100 Ohio App.3d 372, 378 (10th Dist. 1995). However, </w:t>
      </w:r>
      <w:r w:rsidRPr="00B825D7">
        <w:rPr>
          <w:rFonts w:asciiTheme="minorHAnsi" w:hAnsiTheme="minorHAnsi" w:cstheme="minorHAnsi"/>
          <w:sz w:val="16"/>
          <w:szCs w:val="16"/>
        </w:rPr>
        <w:t>work-related</w:t>
      </w:r>
      <w:r w:rsidRPr="00C3377D">
        <w:rPr>
          <w:rFonts w:asciiTheme="minorHAnsi" w:hAnsiTheme="minorHAnsi" w:cstheme="minorHAnsi"/>
          <w:sz w:val="16"/>
          <w:szCs w:val="16"/>
        </w:rPr>
        <w:t xml:space="preserve"> calendar entries are manifestly items created by a public office that document the functions, operations, or other activities of the office, and are records.  </w:t>
      </w:r>
      <w:hyperlink r:id="rId27" w:history="1">
        <w:r w:rsidRPr="00C3377D">
          <w:rPr>
            <w:rStyle w:val="Hyperlink"/>
            <w:rFonts w:asciiTheme="minorHAnsi" w:hAnsiTheme="minorHAnsi" w:cstheme="minorHAnsi"/>
            <w:i/>
            <w:sz w:val="16"/>
            <w:szCs w:val="16"/>
          </w:rPr>
          <w:t>State ex rel. McCaffrey v. Mahoning Cty. Prosecutor’s Office</w:t>
        </w:r>
      </w:hyperlink>
      <w:r w:rsidRPr="00C3377D">
        <w:rPr>
          <w:rFonts w:asciiTheme="minorHAnsi" w:hAnsiTheme="minorHAnsi" w:cstheme="minorHAnsi"/>
          <w:sz w:val="16"/>
          <w:szCs w:val="16"/>
        </w:rPr>
        <w:t>, 133 Ohio St.3d 139, 2012-Ohio-4246, ¶ 33.</w:t>
      </w:r>
    </w:p>
  </w:endnote>
  <w:endnote w:id="19">
    <w:p w14:paraId="3003ECFA" w14:textId="0222738B"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 w:history="1">
        <w:r w:rsidRPr="00C3377D">
          <w:rPr>
            <w:rStyle w:val="Hyperlink"/>
            <w:rFonts w:asciiTheme="minorHAnsi" w:hAnsiTheme="minorHAnsi" w:cstheme="minorHAnsi"/>
            <w:i/>
            <w:sz w:val="16"/>
            <w:szCs w:val="16"/>
          </w:rPr>
          <w:t>State ex rel. Beacon Journal Publishing Co. v. Bond</w:t>
        </w:r>
      </w:hyperlink>
      <w:r w:rsidRPr="00C3377D">
        <w:rPr>
          <w:rFonts w:asciiTheme="minorHAnsi" w:hAnsiTheme="minorHAnsi" w:cstheme="minorHAnsi"/>
          <w:sz w:val="16"/>
          <w:szCs w:val="16"/>
        </w:rPr>
        <w:t xml:space="preserve">, 98 Ohio St.3d 146, 2002-Ohio-7117, ¶ 51; </w:t>
      </w:r>
      <w:r w:rsidRPr="00C3377D">
        <w:rPr>
          <w:rFonts w:asciiTheme="minorHAnsi" w:hAnsiTheme="minorHAnsi" w:cstheme="minorHAnsi"/>
          <w:i/>
          <w:sz w:val="16"/>
          <w:szCs w:val="16"/>
        </w:rPr>
        <w:t xml:space="preserve">State v. </w:t>
      </w:r>
      <w:r w:rsidRPr="00C3377D">
        <w:rPr>
          <w:rFonts w:asciiTheme="minorHAnsi" w:hAnsiTheme="minorHAnsi" w:cstheme="minorHAnsi"/>
          <w:i/>
          <w:sz w:val="16"/>
          <w:szCs w:val="16"/>
        </w:rPr>
        <w:t xml:space="preserve">Carr, </w:t>
      </w:r>
      <w:r w:rsidRPr="00C3377D">
        <w:rPr>
          <w:rFonts w:asciiTheme="minorHAnsi" w:hAnsiTheme="minorHAnsi" w:cstheme="minorHAnsi"/>
          <w:sz w:val="16"/>
          <w:szCs w:val="16"/>
        </w:rPr>
        <w:t xml:space="preserve">2d Dist. Montgomery No. 28193, 2019-Ohio-3802, ¶ 22 (jury verdict forms that contain names of jurors are not public records). </w:t>
      </w:r>
    </w:p>
  </w:endnote>
  <w:endnote w:id="20">
    <w:p w14:paraId="21A6F6DB" w14:textId="29F22E7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xml:space="preserve">, </w:t>
      </w:r>
      <w:r w:rsidR="00EB2D47" w:rsidRPr="00C3377D">
        <w:rPr>
          <w:rFonts w:asciiTheme="minorHAnsi" w:hAnsiTheme="minorHAnsi" w:cstheme="minorHAnsi"/>
          <w:sz w:val="16"/>
          <w:szCs w:val="16"/>
        </w:rPr>
        <w:t xml:space="preserve">88 Ohio St.3d 365, 369, 2000-Ohio-345 </w:t>
      </w:r>
      <w:r w:rsidR="003B114A" w:rsidRPr="00C3377D">
        <w:rPr>
          <w:rFonts w:asciiTheme="minorHAnsi" w:hAnsiTheme="minorHAnsi" w:cstheme="minorHAnsi"/>
          <w:sz w:val="16"/>
          <w:szCs w:val="16"/>
        </w:rPr>
        <w:t>(2000)</w:t>
      </w:r>
      <w:r w:rsidRPr="00C3377D">
        <w:rPr>
          <w:rFonts w:asciiTheme="minorHAnsi" w:hAnsiTheme="minorHAnsi" w:cstheme="minorHAnsi"/>
          <w:sz w:val="16"/>
          <w:szCs w:val="16"/>
        </w:rPr>
        <w:t xml:space="preserve">; </w:t>
      </w:r>
      <w:hyperlink r:id="rId30" w:history="1">
        <w:r w:rsidRPr="00C3377D">
          <w:rPr>
            <w:rStyle w:val="Hyperlink"/>
            <w:rFonts w:asciiTheme="minorHAnsi" w:hAnsiTheme="minorHAnsi" w:cstheme="minorHAnsi"/>
            <w:sz w:val="16"/>
            <w:szCs w:val="16"/>
          </w:rPr>
          <w:t>R.C. 149.43(A)(1)(r)</w:t>
        </w:r>
      </w:hyperlink>
      <w:r w:rsidRPr="00C3377D">
        <w:rPr>
          <w:rFonts w:asciiTheme="minorHAnsi" w:hAnsiTheme="minorHAnsi" w:cstheme="minorHAnsi"/>
          <w:sz w:val="16"/>
          <w:szCs w:val="16"/>
        </w:rPr>
        <w:t>.</w:t>
      </w:r>
    </w:p>
  </w:endnote>
  <w:endnote w:id="21">
    <w:p w14:paraId="1D5906B4" w14:textId="6EF9DD6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 w:history="1">
        <w:r w:rsidRPr="00C3377D">
          <w:rPr>
            <w:rStyle w:val="Hyperlink"/>
            <w:rFonts w:asciiTheme="minorHAnsi" w:hAnsiTheme="minorHAnsi" w:cstheme="minorHAnsi"/>
            <w:i/>
            <w:sz w:val="16"/>
            <w:szCs w:val="16"/>
          </w:rPr>
          <w:t xml:space="preserve">State ex rel. O’Shea &amp; Assocs. Co., L.P.A. v. Cuyahoga Metro. </w:t>
        </w:r>
        <w:r w:rsidRPr="00C3377D">
          <w:rPr>
            <w:rStyle w:val="Hyperlink"/>
            <w:rFonts w:asciiTheme="minorHAnsi" w:hAnsiTheme="minorHAnsi" w:cstheme="minorHAnsi"/>
            <w:i/>
            <w:sz w:val="16"/>
            <w:szCs w:val="16"/>
          </w:rPr>
          <w:t>Hous. Auth.</w:t>
        </w:r>
      </w:hyperlink>
      <w:r w:rsidRPr="00C3377D">
        <w:rPr>
          <w:rFonts w:asciiTheme="minorHAnsi" w:hAnsiTheme="minorHAnsi" w:cstheme="minorHAnsi"/>
          <w:sz w:val="16"/>
          <w:szCs w:val="16"/>
        </w:rPr>
        <w:t>, 131 Ohio St.3d 149, 2012-Ohio-115, ¶ 36 (personal identifying information in lead-poisoning documents, such as the names of parents and guardians; social security and telephone numbers; children’s names and dates of birth; names, addresses, and telephone numbers of other caregivers; and the names and places of employment of occupants, did not serve to document the CMHA’s functions or other activities).</w:t>
      </w:r>
    </w:p>
  </w:endnote>
  <w:endnote w:id="22">
    <w:p w14:paraId="7B62E461" w14:textId="6B39D68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Fant v. Enright</w:t>
        </w:r>
      </w:hyperlink>
      <w:r w:rsidRPr="00C3377D">
        <w:rPr>
          <w:rFonts w:asciiTheme="minorHAnsi" w:hAnsiTheme="minorHAnsi" w:cstheme="minorHAnsi"/>
          <w:sz w:val="16"/>
          <w:szCs w:val="16"/>
        </w:rPr>
        <w:t xml:space="preserve">, 66 Ohio St.3d 186, 188 (1993); </w:t>
      </w:r>
      <w:hyperlink r:id="rId33" w:history="1">
        <w:r w:rsidRPr="00C3377D">
          <w:rPr>
            <w:rStyle w:val="Hyperlink"/>
            <w:rFonts w:asciiTheme="minorHAnsi" w:hAnsiTheme="minorHAnsi" w:cstheme="minorHAnsi"/>
            <w:i/>
            <w:sz w:val="16"/>
            <w:szCs w:val="16"/>
          </w:rPr>
          <w:t>State ex rel. Louisville Edn. Assn v. Louisville City School Dist. Bd. of Edn.</w:t>
        </w:r>
      </w:hyperlink>
      <w:r w:rsidRPr="00C3377D">
        <w:rPr>
          <w:rFonts w:asciiTheme="minorHAnsi" w:hAnsiTheme="minorHAnsi" w:cstheme="minorHAnsi"/>
          <w:sz w:val="16"/>
          <w:szCs w:val="16"/>
        </w:rPr>
        <w:t xml:space="preserve">, 5th Dist. Stark No. 2016CA00159, 2017-Ohio-5564, ¶ 4-9 (tax records showing “deductions for tax sheltered accounts, charitable contributions, and the amount of taxes withheld” does not document the organization or function of the agency and is not public information subject to disclosure); </w:t>
      </w:r>
      <w:hyperlink r:id="rId34" w:history="1">
        <w:r w:rsidRPr="00C3377D">
          <w:rPr>
            <w:rStyle w:val="Hyperlink"/>
            <w:rFonts w:asciiTheme="minorHAnsi" w:hAnsiTheme="minorHAnsi" w:cstheme="minorHAnsi"/>
            <w:i/>
            <w:sz w:val="16"/>
            <w:szCs w:val="16"/>
          </w:rPr>
          <w:t>State ex rel. Community Press v. City of Blue Ash</w:t>
        </w:r>
      </w:hyperlink>
      <w:r w:rsidRPr="00C3377D">
        <w:rPr>
          <w:rFonts w:asciiTheme="minorHAnsi" w:hAnsiTheme="minorHAnsi" w:cstheme="minorHAnsi"/>
          <w:sz w:val="16"/>
          <w:szCs w:val="16"/>
        </w:rPr>
        <w:t xml:space="preserve">, 2018-Ohio-2506, ¶ 2, 12 (1st Dist.) (requested peer assessments of managers were only used for “individual development” and not “used” by public office to carry out its duties and responsibilities and accordingly non-records); </w:t>
      </w:r>
      <w:hyperlink r:id="rId35" w:history="1">
        <w:r w:rsidRPr="00C3377D">
          <w:rPr>
            <w:rStyle w:val="Hyperlink"/>
            <w:rFonts w:asciiTheme="minorHAnsi" w:hAnsiTheme="minorHAnsi" w:cstheme="minorHAnsi"/>
            <w:i/>
            <w:sz w:val="16"/>
            <w:szCs w:val="16"/>
          </w:rPr>
          <w:t>Mohr v. Colerain Twp.</w:t>
        </w:r>
      </w:hyperlink>
      <w:r w:rsidRPr="00C3377D">
        <w:rPr>
          <w:rFonts w:asciiTheme="minorHAnsi" w:hAnsiTheme="minorHAnsi" w:cstheme="minorHAnsi"/>
          <w:sz w:val="16"/>
          <w:szCs w:val="16"/>
        </w:rPr>
        <w:t>, Ct. of Cl. No. 2018-01032PQ, 2018-Ohio-5015, ¶ 11 (requested records documented optional health insurance choices made by employees and reveal little about the agency’s activities).</w:t>
      </w:r>
    </w:p>
  </w:endnote>
  <w:endnote w:id="23">
    <w:p w14:paraId="1BE057E6" w14:textId="414A52C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 w:history="1">
        <w:r w:rsidRPr="00C3377D">
          <w:rPr>
            <w:rStyle w:val="Hyperlink"/>
            <w:rFonts w:asciiTheme="minorHAnsi" w:hAnsiTheme="minorHAnsi" w:cstheme="minorHAnsi"/>
            <w:i/>
            <w:sz w:val="16"/>
            <w:szCs w:val="16"/>
          </w:rPr>
          <w:t>State ex rel. Cincinnati Enquirer v. Jones-Kelly</w:t>
        </w:r>
      </w:hyperlink>
      <w:r w:rsidRPr="00C3377D">
        <w:rPr>
          <w:rFonts w:asciiTheme="minorHAnsi" w:hAnsiTheme="minorHAnsi" w:cstheme="minorHAnsi"/>
          <w:sz w:val="16"/>
          <w:szCs w:val="16"/>
        </w:rPr>
        <w:t>, 118 Ohio St.3d 81, 2008-Ohio-1770, ¶ 7 (requiring release of names and addresses of persons certified as foster caregivers); exemption for this information later created by</w:t>
      </w:r>
      <w:r w:rsidRPr="00C3377D">
        <w:rPr>
          <w:rFonts w:asciiTheme="minorHAnsi" w:hAnsiTheme="minorHAnsi" w:cstheme="minorHAnsi"/>
          <w:i/>
          <w:sz w:val="16"/>
          <w:szCs w:val="16"/>
        </w:rPr>
        <w:t xml:space="preserve"> </w:t>
      </w:r>
      <w:hyperlink r:id="rId37" w:history="1">
        <w:r w:rsidRPr="00622AEB">
          <w:rPr>
            <w:rStyle w:val="Hyperlink"/>
            <w:rFonts w:asciiTheme="minorHAnsi" w:hAnsiTheme="minorHAnsi" w:cstheme="minorHAnsi"/>
            <w:sz w:val="16"/>
            <w:szCs w:val="16"/>
          </w:rPr>
          <w:t>R.C. 5101.29(D)</w:t>
        </w:r>
      </w:hyperlink>
      <w:r w:rsidRPr="00C3377D">
        <w:rPr>
          <w:rFonts w:asciiTheme="minorHAnsi" w:hAnsiTheme="minorHAnsi" w:cstheme="minorHAnsi"/>
          <w:sz w:val="16"/>
          <w:szCs w:val="16"/>
        </w:rPr>
        <w:t xml:space="preserve">, </w:t>
      </w:r>
      <w:hyperlink r:id="rId38" w:history="1">
        <w:r w:rsidRPr="00622AEB">
          <w:rPr>
            <w:rStyle w:val="Hyperlink"/>
            <w:rFonts w:asciiTheme="minorHAnsi" w:hAnsiTheme="minorHAnsi" w:cstheme="minorHAnsi"/>
            <w:sz w:val="16"/>
            <w:szCs w:val="16"/>
          </w:rPr>
          <w:t>R.C. 149.43(A)(1)(y)</w:t>
        </w:r>
      </w:hyperlink>
      <w:r w:rsidRPr="00C3377D">
        <w:rPr>
          <w:rFonts w:asciiTheme="minorHAnsi" w:hAnsiTheme="minorHAnsi" w:cstheme="minorHAnsi"/>
          <w:sz w:val="16"/>
          <w:szCs w:val="16"/>
        </w:rPr>
        <w:t>.</w:t>
      </w:r>
    </w:p>
  </w:endnote>
  <w:endnote w:id="24">
    <w:p w14:paraId="0898D35F" w14:textId="3D694B7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Carr v. City of</w:t>
        </w:r>
      </w:hyperlink>
      <w:r w:rsidRPr="00C3377D">
        <w:rPr>
          <w:rStyle w:val="Hyperlink"/>
          <w:rFonts w:asciiTheme="minorHAnsi" w:hAnsiTheme="minorHAnsi" w:cstheme="minorHAnsi"/>
          <w:i/>
          <w:sz w:val="16"/>
          <w:szCs w:val="16"/>
        </w:rPr>
        <w:t xml:space="preserve"> Akron</w:t>
      </w:r>
      <w:r w:rsidRPr="00C3377D">
        <w:rPr>
          <w:rFonts w:asciiTheme="minorHAnsi" w:hAnsiTheme="minorHAnsi" w:cstheme="minorHAnsi"/>
          <w:sz w:val="16"/>
          <w:szCs w:val="16"/>
        </w:rPr>
        <w:t>, 112 Ohio St.3d 351, 2006-Ohio-6714, ¶ 41-43 (names of fire</w:t>
      </w:r>
      <w:r w:rsidR="000C0F8A" w:rsidRPr="00C3377D">
        <w:rPr>
          <w:rFonts w:asciiTheme="minorHAnsi" w:hAnsiTheme="minorHAnsi" w:cstheme="minorHAnsi"/>
          <w:sz w:val="16"/>
          <w:szCs w:val="16"/>
        </w:rPr>
        <w:t xml:space="preserve"> </w:t>
      </w:r>
      <w:r w:rsidRPr="00C3377D">
        <w:rPr>
          <w:rFonts w:asciiTheme="minorHAnsi" w:hAnsiTheme="minorHAnsi" w:cstheme="minorHAnsi"/>
          <w:sz w:val="16"/>
          <w:szCs w:val="16"/>
        </w:rPr>
        <w:t>captain promotional candidates; names, ranks, addresses, and telephone numbers of firefighter assessors; and all documentation on subject-matter experts were records, although a [since-repealed] statutory exemption applied).</w:t>
      </w:r>
    </w:p>
  </w:endnote>
  <w:endnote w:id="25">
    <w:p w14:paraId="69F19B8E" w14:textId="0AD825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 w:history="1">
        <w:r w:rsidRPr="00C3377D">
          <w:rPr>
            <w:rStyle w:val="Hyperlink"/>
            <w:rFonts w:asciiTheme="minorHAnsi" w:hAnsiTheme="minorHAnsi" w:cstheme="minorHAnsi"/>
            <w:i/>
            <w:sz w:val="16"/>
            <w:szCs w:val="16"/>
          </w:rPr>
          <w:t>State ex rel. Harper v. Muskingum Watershed Conservancy Dist.</w:t>
        </w:r>
      </w:hyperlink>
      <w:r w:rsidRPr="00C3377D">
        <w:rPr>
          <w:rFonts w:asciiTheme="minorHAnsi" w:hAnsiTheme="minorHAnsi" w:cstheme="minorHAnsi"/>
          <w:sz w:val="16"/>
          <w:szCs w:val="16"/>
        </w:rPr>
        <w:t>, 5th Dist. Tuscarawas No. 2013 AP 06 0024, 2014-Ohio-1222, ¶ 4 (relating to names and addresses of persons leasing property from the Watershed District for any purpose).</w:t>
      </w:r>
    </w:p>
  </w:endnote>
  <w:endnote w:id="26">
    <w:p w14:paraId="74E991B1" w14:textId="021ED6B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 w:history="1">
        <w:r w:rsidRPr="00C3377D">
          <w:rPr>
            <w:rStyle w:val="Hyperlink"/>
            <w:rFonts w:asciiTheme="minorHAnsi" w:hAnsiTheme="minorHAnsi" w:cstheme="minorHAnsi"/>
            <w:sz w:val="16"/>
            <w:szCs w:val="16"/>
          </w:rPr>
          <w:t xml:space="preserve">2002 Ohio </w:t>
        </w:r>
        <w:r w:rsidRPr="00C3377D">
          <w:rPr>
            <w:rStyle w:val="Hyperlink"/>
            <w:rFonts w:asciiTheme="minorHAnsi" w:hAnsiTheme="minorHAnsi" w:cstheme="minorHAnsi"/>
            <w:sz w:val="16"/>
            <w:szCs w:val="16"/>
          </w:rPr>
          <w:t>Atty</w:t>
        </w:r>
        <w:r w:rsidR="00622AE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Gen.</w:t>
        </w:r>
        <w:r w:rsidR="00622AEB">
          <w:rPr>
            <w:rStyle w:val="Hyperlink"/>
            <w:rFonts w:asciiTheme="minorHAnsi" w:hAnsiTheme="minorHAnsi" w:cstheme="minorHAnsi"/>
            <w:sz w:val="16"/>
            <w:szCs w:val="16"/>
          </w:rPr>
          <w:t>Ops.</w:t>
        </w:r>
        <w:r w:rsidRPr="00C3377D">
          <w:rPr>
            <w:rStyle w:val="Hyperlink"/>
            <w:rFonts w:asciiTheme="minorHAnsi" w:hAnsiTheme="minorHAnsi" w:cstheme="minorHAnsi"/>
            <w:sz w:val="16"/>
            <w:szCs w:val="16"/>
          </w:rPr>
          <w:t xml:space="preserve"> No. 030,</w:t>
        </w:r>
      </w:hyperlink>
      <w:r w:rsidRPr="00C3377D">
        <w:rPr>
          <w:rFonts w:asciiTheme="minorHAnsi" w:hAnsiTheme="minorHAnsi" w:cstheme="minorHAnsi"/>
          <w:sz w:val="16"/>
          <w:szCs w:val="16"/>
        </w:rPr>
        <w:t xml:space="preserve"> pp. 9-10 (relating to names and address of a county sewer district’s customers); partial exemption later created by</w:t>
      </w:r>
      <w:r w:rsidRPr="00C3377D">
        <w:rPr>
          <w:rFonts w:asciiTheme="minorHAnsi" w:hAnsiTheme="minorHAnsi" w:cstheme="minorHAnsi"/>
          <w:i/>
          <w:sz w:val="16"/>
          <w:szCs w:val="16"/>
        </w:rPr>
        <w:t xml:space="preserve"> </w:t>
      </w:r>
      <w:hyperlink r:id="rId42" w:history="1">
        <w:r w:rsidRPr="00622AEB">
          <w:rPr>
            <w:rStyle w:val="Hyperlink"/>
            <w:rFonts w:asciiTheme="minorHAnsi" w:hAnsiTheme="minorHAnsi" w:cstheme="minorHAnsi"/>
            <w:sz w:val="16"/>
            <w:szCs w:val="16"/>
          </w:rPr>
          <w:t>R.C. 149.43(A)(1)(aa)</w:t>
        </w:r>
      </w:hyperlink>
      <w:r w:rsidRPr="00C3377D">
        <w:rPr>
          <w:rFonts w:asciiTheme="minorHAnsi" w:hAnsiTheme="minorHAnsi" w:cstheme="minorHAnsi"/>
          <w:sz w:val="16"/>
          <w:szCs w:val="16"/>
        </w:rPr>
        <w:t xml:space="preserve"> (for “[u]sage information including names and addresses of specific residential and commercial customers of a municipally owned or operated public utility”).</w:t>
      </w:r>
    </w:p>
  </w:endnote>
  <w:endnote w:id="27">
    <w:p w14:paraId="3F871DD9" w14:textId="28D45C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 w:history="1">
        <w:r w:rsidRPr="00C3377D">
          <w:rPr>
            <w:rStyle w:val="Hyperlink"/>
            <w:rFonts w:asciiTheme="minorHAnsi" w:hAnsiTheme="minorHAnsi" w:cstheme="minorHAnsi"/>
            <w:i/>
            <w:sz w:val="16"/>
            <w:szCs w:val="16"/>
          </w:rPr>
          <w:t>State ex rel. Cincinnati Enquirer v. Daniels</w:t>
        </w:r>
      </w:hyperlink>
      <w:r w:rsidRPr="00C3377D">
        <w:rPr>
          <w:rFonts w:asciiTheme="minorHAnsi" w:hAnsiTheme="minorHAnsi" w:cstheme="minorHAnsi"/>
          <w:sz w:val="16"/>
          <w:szCs w:val="16"/>
        </w:rPr>
        <w:t>, 108 Ohio St.3d 518, 2006-Ohio-1215, ¶ 14-17 (relating to notices to owners of property as residence of a child [with no information identifying the child] whose blood test indicates an elevated lead level)</w:t>
      </w:r>
      <w:r w:rsidR="003B114A" w:rsidRPr="00C3377D">
        <w:rPr>
          <w:rFonts w:asciiTheme="minorHAnsi" w:hAnsiTheme="minorHAnsi" w:cstheme="minorHAnsi"/>
          <w:sz w:val="16"/>
          <w:szCs w:val="16"/>
        </w:rPr>
        <w:t>;</w:t>
      </w:r>
      <w:r w:rsidRPr="00C3377D">
        <w:rPr>
          <w:rFonts w:asciiTheme="minorHAnsi" w:hAnsiTheme="minorHAnsi" w:cstheme="minorHAnsi"/>
          <w:sz w:val="16"/>
          <w:szCs w:val="16"/>
        </w:rPr>
        <w:t xml:space="preserve"> </w:t>
      </w:r>
      <w:hyperlink r:id="rId44" w:history="1">
        <w:r w:rsidRPr="00C3377D">
          <w:rPr>
            <w:rStyle w:val="Hyperlink"/>
            <w:rFonts w:asciiTheme="minorHAnsi" w:hAnsiTheme="minorHAnsi" w:cstheme="minorHAnsi"/>
            <w:i/>
            <w:sz w:val="16"/>
            <w:szCs w:val="16"/>
          </w:rPr>
          <w:t>Brown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2018-01426PQ, 2019-Ohio-2627, ¶ 8-10 (home addresses of attendees who were invited to a city councilmember’s meeting </w:t>
      </w:r>
      <w:r w:rsidR="00622AEB">
        <w:rPr>
          <w:rFonts w:asciiTheme="minorHAnsi" w:hAnsiTheme="minorHAnsi" w:cstheme="minorHAnsi"/>
          <w:sz w:val="16"/>
          <w:szCs w:val="16"/>
        </w:rPr>
        <w:t>were public</w:t>
      </w:r>
      <w:r w:rsidRPr="00C3377D">
        <w:rPr>
          <w:rFonts w:asciiTheme="minorHAnsi" w:hAnsiTheme="minorHAnsi" w:cstheme="minorHAnsi"/>
          <w:sz w:val="16"/>
          <w:szCs w:val="16"/>
        </w:rPr>
        <w:t xml:space="preserve"> because only residents of particular streets were invited to attend the meeting and vote; residents’ phone numbers and email addresses were not public records because they were only used for administrative purposes). </w:t>
      </w:r>
    </w:p>
  </w:endnote>
  <w:endnote w:id="28">
    <w:p w14:paraId="3D90F310" w14:textId="3CB7794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Recodat Co. v. Buchanan</w:t>
      </w:r>
      <w:r w:rsidRPr="00C3377D">
        <w:rPr>
          <w:rFonts w:asciiTheme="minorHAnsi" w:hAnsiTheme="minorHAnsi" w:cstheme="minorHAnsi"/>
          <w:sz w:val="16"/>
          <w:szCs w:val="16"/>
        </w:rPr>
        <w:t xml:space="preserve">, 46 Ohio St.3d 163, 165 (1989); </w:t>
      </w:r>
      <w:r w:rsidRPr="00C3377D">
        <w:rPr>
          <w:rFonts w:asciiTheme="minorHAnsi" w:hAnsiTheme="minorHAnsi" w:cstheme="minorHAnsi"/>
          <w:i/>
          <w:sz w:val="16"/>
          <w:szCs w:val="16"/>
        </w:rPr>
        <w:t xml:space="preserve">see </w:t>
      </w:r>
      <w:hyperlink r:id="rId45"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21-25 (data “inextricably intertwined” with exempt proprietary software need not be disclosed).</w:t>
      </w:r>
    </w:p>
  </w:endnote>
  <w:endnote w:id="29">
    <w:p w14:paraId="7CC96F7F" w14:textId="7CF02DB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 w:history="1">
        <w:r w:rsidRPr="00C3377D">
          <w:rPr>
            <w:rStyle w:val="Hyperlink"/>
            <w:rFonts w:asciiTheme="minorHAnsi" w:hAnsiTheme="minorHAnsi" w:cstheme="minorHAnsi"/>
            <w:sz w:val="16"/>
            <w:szCs w:val="16"/>
          </w:rPr>
          <w:t xml:space="preserve">2014 Ohio </w:t>
        </w:r>
        <w:r w:rsidRPr="00C3377D">
          <w:rPr>
            <w:rStyle w:val="Hyperlink"/>
            <w:rFonts w:asciiTheme="minorHAnsi" w:hAnsiTheme="minorHAnsi" w:cstheme="minorHAnsi"/>
            <w:sz w:val="16"/>
            <w:szCs w:val="16"/>
          </w:rPr>
          <w:t>Atty</w:t>
        </w:r>
        <w:r w:rsidR="00622AE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Gen.</w:t>
        </w:r>
        <w:r w:rsidR="00622AEB">
          <w:rPr>
            <w:rStyle w:val="Hyperlink"/>
            <w:rFonts w:asciiTheme="minorHAnsi" w:hAnsiTheme="minorHAnsi" w:cstheme="minorHAnsi"/>
            <w:sz w:val="16"/>
            <w:szCs w:val="16"/>
          </w:rPr>
          <w:t>Ops.</w:t>
        </w:r>
        <w:r w:rsidRPr="00C3377D">
          <w:rPr>
            <w:rStyle w:val="Hyperlink"/>
            <w:rFonts w:asciiTheme="minorHAnsi" w:hAnsiTheme="minorHAnsi" w:cstheme="minorHAnsi"/>
            <w:sz w:val="16"/>
            <w:szCs w:val="16"/>
          </w:rPr>
          <w:t xml:space="preserve"> No. 029</w:t>
        </w:r>
      </w:hyperlink>
      <w:r w:rsidRPr="00C3377D">
        <w:rPr>
          <w:rFonts w:asciiTheme="minorHAnsi" w:hAnsiTheme="minorHAnsi" w:cstheme="minorHAnsi"/>
          <w:sz w:val="16"/>
          <w:szCs w:val="16"/>
        </w:rPr>
        <w:t xml:space="preserve">; </w:t>
      </w:r>
      <w:hyperlink r:id="rId47" w:history="1">
        <w:r w:rsidRPr="00C3377D">
          <w:rPr>
            <w:rStyle w:val="Hyperlink"/>
            <w:rFonts w:asciiTheme="minorHAnsi" w:hAnsiTheme="minorHAnsi" w:cstheme="minorHAnsi"/>
            <w:i/>
            <w:sz w:val="16"/>
            <w:szCs w:val="16"/>
          </w:rPr>
          <w:t>State ex rel. Wilson-Simmons v. Lake Cty. Sheriff’s Dept.</w:t>
        </w:r>
      </w:hyperlink>
      <w:r w:rsidRPr="00C3377D">
        <w:rPr>
          <w:rFonts w:asciiTheme="minorHAnsi" w:hAnsiTheme="minorHAnsi" w:cstheme="minorHAnsi"/>
          <w:sz w:val="16"/>
          <w:szCs w:val="16"/>
        </w:rPr>
        <w:t xml:space="preserve">, 82 Ohio St.3d 37 (1998); </w:t>
      </w:r>
      <w:hyperlink r:id="rId48" w:history="1">
        <w:r w:rsidRPr="00C3377D">
          <w:rPr>
            <w:rStyle w:val="Hyperlink"/>
            <w:rFonts w:asciiTheme="minorHAnsi" w:hAnsiTheme="minorHAnsi" w:cstheme="minorHAnsi"/>
            <w:i/>
            <w:sz w:val="16"/>
            <w:szCs w:val="16"/>
          </w:rPr>
          <w:t>Brown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2018-01426PQ, 2019-Ohio-2627, ¶ 8-10 (home addresses of attendees who were invited to a city councilmember’s meeting </w:t>
      </w:r>
      <w:r w:rsidR="00070250">
        <w:rPr>
          <w:rFonts w:asciiTheme="minorHAnsi" w:hAnsiTheme="minorHAnsi" w:cstheme="minorHAnsi"/>
          <w:sz w:val="16"/>
          <w:szCs w:val="16"/>
        </w:rPr>
        <w:t>were</w:t>
      </w:r>
      <w:r w:rsidRPr="00C3377D">
        <w:rPr>
          <w:rFonts w:asciiTheme="minorHAnsi" w:hAnsiTheme="minorHAnsi" w:cstheme="minorHAnsi"/>
          <w:sz w:val="16"/>
          <w:szCs w:val="16"/>
        </w:rPr>
        <w:t xml:space="preserve"> public because only residents of particular street were invited to attend the meeting and vote; residents’ phone numbers and email addresses were not public records because they were only used for administrative purposes)</w:t>
      </w:r>
      <w:r w:rsidR="00D45CA5" w:rsidRPr="00C3377D">
        <w:rPr>
          <w:rFonts w:asciiTheme="minorHAnsi" w:hAnsiTheme="minorHAnsi" w:cstheme="minorHAnsi"/>
          <w:sz w:val="16"/>
          <w:szCs w:val="16"/>
        </w:rPr>
        <w:t xml:space="preserve">; </w:t>
      </w:r>
      <w:hyperlink r:id="rId49" w:history="1">
        <w:r w:rsidR="00D45CA5" w:rsidRPr="00C3377D">
          <w:rPr>
            <w:rStyle w:val="Hyperlink"/>
            <w:rFonts w:asciiTheme="minorHAnsi" w:hAnsiTheme="minorHAnsi" w:cstheme="minorHAnsi"/>
            <w:i/>
            <w:iCs/>
            <w:sz w:val="16"/>
            <w:szCs w:val="16"/>
          </w:rPr>
          <w:t>Hicks v. Union Twp.</w:t>
        </w:r>
      </w:hyperlink>
      <w:r w:rsidR="00D45CA5" w:rsidRPr="00C3377D">
        <w:rPr>
          <w:rFonts w:asciiTheme="minorHAnsi" w:hAnsiTheme="minorHAnsi" w:cstheme="minorHAnsi"/>
          <w:sz w:val="16"/>
          <w:szCs w:val="16"/>
        </w:rPr>
        <w:t xml:space="preserve">, 12th Dist. Clermont No. CA2022-10-057, 2023-Ohio-874, ¶ 34 (newsletter </w:t>
      </w:r>
      <w:r w:rsidR="000C0F8A" w:rsidRPr="00C3377D">
        <w:rPr>
          <w:rFonts w:asciiTheme="minorHAnsi" w:hAnsiTheme="minorHAnsi" w:cstheme="minorHAnsi"/>
          <w:sz w:val="16"/>
          <w:szCs w:val="16"/>
        </w:rPr>
        <w:t xml:space="preserve">email distribution list </w:t>
      </w:r>
      <w:r w:rsidR="00D45CA5" w:rsidRPr="00C3377D">
        <w:rPr>
          <w:rFonts w:asciiTheme="minorHAnsi" w:hAnsiTheme="minorHAnsi" w:cstheme="minorHAnsi"/>
          <w:sz w:val="16"/>
          <w:szCs w:val="16"/>
        </w:rPr>
        <w:t xml:space="preserve">is not a public record </w:t>
      </w:r>
      <w:r w:rsidR="000C0F8A" w:rsidRPr="00C3377D">
        <w:rPr>
          <w:rFonts w:asciiTheme="minorHAnsi" w:hAnsiTheme="minorHAnsi" w:cstheme="minorHAnsi"/>
          <w:sz w:val="16"/>
          <w:szCs w:val="16"/>
        </w:rPr>
        <w:t xml:space="preserve">with </w:t>
      </w:r>
      <w:r w:rsidR="00D45CA5" w:rsidRPr="00C3377D">
        <w:rPr>
          <w:rFonts w:asciiTheme="minorHAnsi" w:hAnsiTheme="minorHAnsi" w:cstheme="minorHAnsi"/>
          <w:sz w:val="16"/>
          <w:szCs w:val="16"/>
        </w:rPr>
        <w:t xml:space="preserve">no evidence that private citizens’ names and email addresses “document the organization, functions, policies, decisions, procedures, operations, or other activities” of the </w:t>
      </w:r>
      <w:r w:rsidR="000C0F8A" w:rsidRPr="00C3377D">
        <w:rPr>
          <w:rFonts w:asciiTheme="minorHAnsi" w:hAnsiTheme="minorHAnsi" w:cstheme="minorHAnsi"/>
          <w:sz w:val="16"/>
          <w:szCs w:val="16"/>
        </w:rPr>
        <w:t>t</w:t>
      </w:r>
      <w:r w:rsidR="00D45CA5" w:rsidRPr="00C3377D">
        <w:rPr>
          <w:rFonts w:asciiTheme="minorHAnsi" w:hAnsiTheme="minorHAnsi" w:cstheme="minorHAnsi"/>
          <w:sz w:val="16"/>
          <w:szCs w:val="16"/>
        </w:rPr>
        <w:t>ownship).</w:t>
      </w:r>
    </w:p>
  </w:endnote>
  <w:endnote w:id="30">
    <w:p w14:paraId="56C74E4D" w14:textId="58978A2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0" w:history="1">
        <w:r w:rsidRPr="00C3377D">
          <w:rPr>
            <w:rStyle w:val="Hyperlink"/>
            <w:rFonts w:asciiTheme="minorHAnsi" w:hAnsiTheme="minorHAnsi" w:cstheme="minorHAnsi"/>
            <w:sz w:val="16"/>
            <w:szCs w:val="16"/>
          </w:rPr>
          <w:t xml:space="preserve">2007 Ohio </w:t>
        </w:r>
        <w:r w:rsidRPr="00C3377D">
          <w:rPr>
            <w:rStyle w:val="Hyperlink"/>
            <w:rFonts w:asciiTheme="minorHAnsi" w:hAnsiTheme="minorHAnsi" w:cstheme="minorHAnsi"/>
            <w:sz w:val="16"/>
            <w:szCs w:val="16"/>
          </w:rPr>
          <w:t>Atty</w:t>
        </w:r>
        <w:r w:rsidR="00070250">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Gen.</w:t>
        </w:r>
        <w:r w:rsidR="00070250">
          <w:rPr>
            <w:rStyle w:val="Hyperlink"/>
            <w:rFonts w:asciiTheme="minorHAnsi" w:hAnsiTheme="minorHAnsi" w:cstheme="minorHAnsi"/>
            <w:sz w:val="16"/>
            <w:szCs w:val="16"/>
          </w:rPr>
          <w:t>Ops.</w:t>
        </w:r>
        <w:r w:rsidRPr="00C3377D">
          <w:rPr>
            <w:rStyle w:val="Hyperlink"/>
            <w:rFonts w:asciiTheme="minorHAnsi" w:hAnsiTheme="minorHAnsi" w:cstheme="minorHAnsi"/>
            <w:sz w:val="16"/>
            <w:szCs w:val="16"/>
          </w:rPr>
          <w:t xml:space="preserve"> No. 034.</w:t>
        </w:r>
      </w:hyperlink>
    </w:p>
  </w:endnote>
  <w:endnote w:id="31">
    <w:p w14:paraId="3713C0DB" w14:textId="13FECBB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83 Ohio St.3d 61, 63</w:t>
      </w:r>
      <w:r w:rsidR="00D45CA5" w:rsidRPr="00C3377D">
        <w:rPr>
          <w:rFonts w:asciiTheme="minorHAnsi" w:hAnsiTheme="minorHAnsi" w:cstheme="minorHAnsi"/>
          <w:sz w:val="16"/>
          <w:szCs w:val="16"/>
        </w:rPr>
        <w:t xml:space="preserve"> (1998)</w:t>
      </w:r>
      <w:r w:rsidRPr="00C3377D">
        <w:rPr>
          <w:rFonts w:asciiTheme="minorHAnsi" w:hAnsiTheme="minorHAnsi" w:cstheme="minorHAnsi"/>
          <w:sz w:val="16"/>
          <w:szCs w:val="16"/>
        </w:rPr>
        <w:t xml:space="preserve">; </w:t>
      </w:r>
      <w:hyperlink r:id="rId52" w:history="1">
        <w:r w:rsidRPr="00C3377D">
          <w:rPr>
            <w:rStyle w:val="Hyperlink"/>
            <w:rFonts w:asciiTheme="minorHAnsi" w:hAnsiTheme="minorHAnsi" w:cstheme="minorHAnsi"/>
            <w:i/>
            <w:sz w:val="16"/>
            <w:szCs w:val="16"/>
          </w:rPr>
          <w:t>State ex rel. Community Press v. City of Blue Ash</w:t>
        </w:r>
      </w:hyperlink>
      <w:r w:rsidRPr="00C3377D">
        <w:rPr>
          <w:rFonts w:asciiTheme="minorHAnsi" w:hAnsiTheme="minorHAnsi" w:cstheme="minorHAnsi"/>
          <w:sz w:val="16"/>
          <w:szCs w:val="16"/>
        </w:rPr>
        <w:t xml:space="preserve">, </w:t>
      </w:r>
      <w:r w:rsidR="00934954">
        <w:rPr>
          <w:rFonts w:asciiTheme="minorHAnsi" w:hAnsiTheme="minorHAnsi" w:cstheme="minorHAnsi"/>
          <w:sz w:val="16"/>
          <w:szCs w:val="16"/>
        </w:rPr>
        <w:t xml:space="preserve">1st Dist. Hamilton No. </w:t>
      </w:r>
      <w:r w:rsidR="00934954" w:rsidRPr="00934954">
        <w:rPr>
          <w:rFonts w:asciiTheme="minorHAnsi" w:hAnsiTheme="minorHAnsi" w:cstheme="minorHAnsi"/>
          <w:sz w:val="16"/>
          <w:szCs w:val="16"/>
        </w:rPr>
        <w:t>C-170281</w:t>
      </w:r>
      <w:r w:rsidR="00934954">
        <w:rPr>
          <w:rFonts w:asciiTheme="minorHAnsi" w:hAnsiTheme="minorHAnsi" w:cstheme="minorHAnsi"/>
          <w:sz w:val="16"/>
          <w:szCs w:val="16"/>
        </w:rPr>
        <w:t xml:space="preserve">, </w:t>
      </w:r>
      <w:r w:rsidRPr="00C3377D">
        <w:rPr>
          <w:rFonts w:asciiTheme="minorHAnsi" w:hAnsiTheme="minorHAnsi" w:cstheme="minorHAnsi"/>
          <w:sz w:val="16"/>
          <w:szCs w:val="16"/>
        </w:rPr>
        <w:t xml:space="preserve">2018-Ohio-2506, ¶ 2, 12 (requested peer assessments of managers were only used for “individual development” and </w:t>
      </w:r>
      <w:r w:rsidR="00934954">
        <w:rPr>
          <w:rFonts w:asciiTheme="minorHAnsi" w:hAnsiTheme="minorHAnsi" w:cstheme="minorHAnsi"/>
          <w:sz w:val="16"/>
          <w:szCs w:val="16"/>
        </w:rPr>
        <w:t xml:space="preserve">not </w:t>
      </w:r>
      <w:r w:rsidRPr="00C3377D">
        <w:rPr>
          <w:rFonts w:asciiTheme="minorHAnsi" w:hAnsiTheme="minorHAnsi" w:cstheme="minorHAnsi"/>
          <w:sz w:val="16"/>
          <w:szCs w:val="16"/>
        </w:rPr>
        <w:t>by public office to carry out its duties and responsibilities</w:t>
      </w:r>
      <w:r w:rsidR="00934954">
        <w:rPr>
          <w:rFonts w:asciiTheme="minorHAnsi" w:hAnsiTheme="minorHAnsi" w:cstheme="minorHAnsi"/>
          <w:sz w:val="16"/>
          <w:szCs w:val="16"/>
        </w:rPr>
        <w:t>, and thus</w:t>
      </w:r>
      <w:r w:rsidRPr="00C3377D">
        <w:rPr>
          <w:rFonts w:asciiTheme="minorHAnsi" w:hAnsiTheme="minorHAnsi" w:cstheme="minorHAnsi"/>
          <w:sz w:val="16"/>
          <w:szCs w:val="16"/>
        </w:rPr>
        <w:t xml:space="preserve"> non-records); </w:t>
      </w:r>
      <w:hyperlink r:id="rId53" w:history="1">
        <w:r w:rsidRPr="00C3377D">
          <w:rPr>
            <w:rStyle w:val="Hyperlink"/>
            <w:rFonts w:asciiTheme="minorHAnsi" w:hAnsiTheme="minorHAnsi" w:cstheme="minorHAnsi"/>
            <w:i/>
            <w:sz w:val="16"/>
            <w:szCs w:val="16"/>
          </w:rPr>
          <w:t>Bollinger v. River Valley Local School Dist.</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2020-00368PQ, 2020-Ohio-6637, ¶ 10 (“[</w:t>
      </w:r>
      <w:r w:rsidRPr="00C3377D">
        <w:rPr>
          <w:rFonts w:asciiTheme="minorHAnsi" w:hAnsiTheme="minorHAnsi" w:cstheme="minorHAnsi"/>
          <w:sz w:val="16"/>
          <w:szCs w:val="16"/>
        </w:rPr>
        <w:t>i]tems gathered during an investigation, but never used to document any aspect of the investigation, do not qualify as ‘records’”)</w:t>
      </w:r>
      <w:r w:rsidR="004F015A">
        <w:rPr>
          <w:rFonts w:asciiTheme="minorHAnsi" w:hAnsiTheme="minorHAnsi" w:cstheme="minorHAnsi"/>
          <w:sz w:val="16"/>
          <w:szCs w:val="16"/>
        </w:rPr>
        <w:t>.</w:t>
      </w:r>
    </w:p>
  </w:endnote>
  <w:endnote w:id="32">
    <w:p w14:paraId="0BDA6615" w14:textId="631F06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 w:history="1">
        <w:r w:rsidRPr="00C3377D">
          <w:rPr>
            <w:rStyle w:val="Hyperlink"/>
            <w:rFonts w:asciiTheme="minorHAnsi" w:hAnsiTheme="minorHAnsi" w:cstheme="minorHAnsi"/>
            <w:i/>
            <w:sz w:val="16"/>
            <w:szCs w:val="16"/>
          </w:rPr>
          <w:t>State ex rel. WBNS TV, Inc. v. Dues</w:t>
        </w:r>
      </w:hyperlink>
      <w:r w:rsidRPr="00C3377D">
        <w:rPr>
          <w:rFonts w:asciiTheme="minorHAnsi" w:hAnsiTheme="minorHAnsi" w:cstheme="minorHAnsi"/>
          <w:sz w:val="16"/>
          <w:szCs w:val="16"/>
        </w:rPr>
        <w:t xml:space="preserve">, 101 Ohio St.3d 406, 2004-Ohio-1497, ¶ 27 (noting judge’s use of redacted information to decide whether to approve settlement); </w:t>
      </w:r>
      <w:hyperlink r:id="rId55"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xml:space="preserve">, 83 Ohio St.3d 61 </w:t>
      </w:r>
      <w:r w:rsidR="00D45CA5" w:rsidRPr="00C3377D">
        <w:rPr>
          <w:rFonts w:asciiTheme="minorHAnsi" w:hAnsiTheme="minorHAnsi" w:cstheme="minorHAnsi"/>
          <w:sz w:val="16"/>
          <w:szCs w:val="16"/>
        </w:rPr>
        <w:t>(1998)</w:t>
      </w:r>
      <w:r w:rsidRPr="00C3377D">
        <w:rPr>
          <w:rFonts w:asciiTheme="minorHAnsi" w:hAnsiTheme="minorHAnsi" w:cstheme="minorHAnsi"/>
          <w:sz w:val="16"/>
          <w:szCs w:val="16"/>
        </w:rPr>
        <w:t xml:space="preserve">(when judge read unsolicited letters but did not rely on them in sentencing defendant, letters did not serve to document any activity of the public office); </w:t>
      </w:r>
      <w:hyperlink r:id="rId56"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Sensel v. Leone</w:t>
        </w:r>
      </w:hyperlink>
      <w:r w:rsidRPr="00C3377D">
        <w:rPr>
          <w:rFonts w:asciiTheme="minorHAnsi" w:hAnsiTheme="minorHAnsi" w:cstheme="minorHAnsi"/>
          <w:sz w:val="16"/>
          <w:szCs w:val="16"/>
        </w:rPr>
        <w:t>, 85 Ohio St.3d 152</w:t>
      </w:r>
      <w:r w:rsidR="00D45CA5" w:rsidRPr="00C3377D">
        <w:rPr>
          <w:rFonts w:asciiTheme="minorHAnsi" w:hAnsiTheme="minorHAnsi" w:cstheme="minorHAnsi"/>
          <w:sz w:val="16"/>
          <w:szCs w:val="16"/>
        </w:rPr>
        <w:t xml:space="preserve"> (1999)</w:t>
      </w:r>
      <w:r w:rsidRPr="00C3377D">
        <w:rPr>
          <w:rFonts w:asciiTheme="minorHAnsi" w:hAnsiTheme="minorHAnsi" w:cstheme="minorHAnsi"/>
          <w:sz w:val="16"/>
          <w:szCs w:val="16"/>
        </w:rPr>
        <w:t xml:space="preserve"> (unsolicited letters alleging inappropriate behavior of coach not “records”); </w:t>
      </w:r>
      <w:hyperlink r:id="rId57" w:history="1">
        <w:r w:rsidRPr="00C3377D">
          <w:rPr>
            <w:rStyle w:val="Hyperlink"/>
            <w:rFonts w:asciiTheme="minorHAnsi" w:hAnsiTheme="minorHAnsi" w:cstheme="minorHAnsi"/>
            <w:i/>
            <w:sz w:val="16"/>
            <w:szCs w:val="16"/>
          </w:rPr>
          <w:t>State ex rel. Rhodes v. City of Chillicothe</w:t>
        </w:r>
      </w:hyperlink>
      <w:r w:rsidRPr="00C3377D">
        <w:rPr>
          <w:rFonts w:asciiTheme="minorHAnsi" w:hAnsiTheme="minorHAnsi" w:cstheme="minorHAnsi"/>
          <w:sz w:val="16"/>
          <w:szCs w:val="16"/>
        </w:rPr>
        <w:t xml:space="preserve">, 4th Dist. Ross No. 12CA3333, 2013-Ohio-1858, ¶ 28 (images that were not forwarded to city by vendor not public records because city did not use them in performing a governmental function); </w:t>
      </w:r>
      <w:hyperlink r:id="rId58" w:history="1">
        <w:r w:rsidRPr="00C3377D">
          <w:rPr>
            <w:rStyle w:val="Hyperlink"/>
            <w:rFonts w:asciiTheme="minorHAnsi" w:hAnsiTheme="minorHAnsi" w:cstheme="minorHAnsi"/>
            <w:i/>
            <w:sz w:val="16"/>
            <w:szCs w:val="16"/>
          </w:rPr>
          <w:t>Chernin v. Geauga Park Dist.</w:t>
        </w:r>
      </w:hyperlink>
      <w:r w:rsidRPr="00C3377D">
        <w:rPr>
          <w:rFonts w:asciiTheme="minorHAnsi" w:hAnsiTheme="minorHAnsi" w:cstheme="minorHAnsi"/>
          <w:sz w:val="16"/>
          <w:szCs w:val="16"/>
        </w:rPr>
        <w:t>, Ct. of Cl. No. 2017-00922PQ, 2018-Ohio-1579, ¶ 17 (constituent’s letters shared by board member during public meeting were public records because they were used “to carry out both the board meeting’s function as a forum for public input</w:t>
      </w:r>
      <w:r w:rsidR="00D45CA5" w:rsidRPr="00C3377D">
        <w:rPr>
          <w:rFonts w:asciiTheme="minorHAnsi" w:hAnsiTheme="minorHAnsi" w:cstheme="minorHAnsi"/>
          <w:sz w:val="16"/>
          <w:szCs w:val="16"/>
        </w:rPr>
        <w:t xml:space="preserve"> . . . </w:t>
      </w:r>
      <w:r w:rsidRPr="00C3377D">
        <w:rPr>
          <w:rFonts w:asciiTheme="minorHAnsi" w:hAnsiTheme="minorHAnsi" w:cstheme="minorHAnsi"/>
          <w:sz w:val="16"/>
          <w:szCs w:val="16"/>
        </w:rPr>
        <w:t xml:space="preserve">and to discuss meeting policies and procedures”), </w:t>
      </w:r>
      <w:r w:rsidR="00070250" w:rsidRPr="00C23D28">
        <w:rPr>
          <w:rFonts w:asciiTheme="minorHAnsi" w:hAnsiTheme="minorHAnsi" w:cstheme="minorHAnsi"/>
          <w:i/>
          <w:iCs/>
          <w:sz w:val="16"/>
          <w:szCs w:val="16"/>
        </w:rPr>
        <w:t>adopted by</w:t>
      </w:r>
      <w:r w:rsidR="00070250">
        <w:rPr>
          <w:rFonts w:asciiTheme="minorHAnsi" w:hAnsiTheme="minorHAnsi" w:cstheme="minorHAnsi"/>
          <w:sz w:val="16"/>
          <w:szCs w:val="16"/>
        </w:rPr>
        <w:t xml:space="preserve"> </w:t>
      </w:r>
      <w:r w:rsidRPr="00C3377D">
        <w:rPr>
          <w:rFonts w:asciiTheme="minorHAnsi" w:hAnsiTheme="minorHAnsi" w:cstheme="minorHAnsi"/>
          <w:sz w:val="16"/>
          <w:szCs w:val="16"/>
        </w:rPr>
        <w:t xml:space="preserve">Ct. of Cl. No. 2017-00922PQ, 2018-Ohio-1717; </w:t>
      </w:r>
      <w:hyperlink r:id="rId59" w:history="1">
        <w:r w:rsidRPr="00C3377D">
          <w:rPr>
            <w:rStyle w:val="Hyperlink"/>
            <w:rFonts w:asciiTheme="minorHAnsi" w:hAnsiTheme="minorHAnsi" w:cstheme="minorHAnsi"/>
            <w:i/>
            <w:sz w:val="16"/>
            <w:szCs w:val="16"/>
          </w:rPr>
          <w:t>Brown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2018-01426PQ, 2019-Ohio-2627, ¶ 8-10 (home addresses of attendees who were invited to a city councilmember’s meeting to be public records because only residents of a particular street were invited to attend the meeting and vote; residents’ phone numbers and email addresses were not public records because they were only used for administrative purposes); </w:t>
      </w:r>
      <w:hyperlink r:id="rId60" w:history="1">
        <w:r w:rsidR="00A62ECD">
          <w:rPr>
            <w:rStyle w:val="Hyperlink"/>
            <w:rFonts w:asciiTheme="minorHAnsi" w:hAnsiTheme="minorHAnsi" w:cstheme="minorHAnsi"/>
            <w:i/>
            <w:sz w:val="16"/>
            <w:szCs w:val="16"/>
          </w:rPr>
          <w:t>State ex rel. W</w:t>
        </w:r>
        <w:r w:rsidRPr="00C3377D">
          <w:rPr>
            <w:rStyle w:val="Hyperlink"/>
            <w:rFonts w:asciiTheme="minorHAnsi" w:hAnsiTheme="minorHAnsi" w:cstheme="minorHAnsi"/>
            <w:i/>
            <w:sz w:val="16"/>
            <w:szCs w:val="16"/>
          </w:rPr>
          <w:t>ellin v. City of Hamilton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2021-00748PQ, 2022-Ohio-2661, ¶ 9 (records involving hydroelectric projects were not records of the city without a showing that particular records actually document its operation)</w:t>
      </w:r>
      <w:r w:rsidR="00D45CA5" w:rsidRPr="00C3377D">
        <w:rPr>
          <w:rFonts w:asciiTheme="minorHAnsi" w:hAnsiTheme="minorHAnsi" w:cstheme="minorHAnsi"/>
          <w:sz w:val="16"/>
          <w:szCs w:val="16"/>
        </w:rPr>
        <w:t>;</w:t>
      </w:r>
      <w:r w:rsidR="00070250">
        <w:rPr>
          <w:rFonts w:asciiTheme="minorHAnsi" w:hAnsiTheme="minorHAnsi" w:cstheme="minorHAnsi"/>
          <w:sz w:val="16"/>
          <w:szCs w:val="16"/>
        </w:rPr>
        <w:t xml:space="preserve"> </w:t>
      </w:r>
      <w:hyperlink r:id="rId61" w:history="1">
        <w:r w:rsidR="00D45CA5" w:rsidRPr="00070250">
          <w:rPr>
            <w:rStyle w:val="Hyperlink"/>
            <w:rFonts w:asciiTheme="minorHAnsi" w:hAnsiTheme="minorHAnsi" w:cstheme="minorHAnsi"/>
            <w:i/>
            <w:iCs/>
            <w:sz w:val="16"/>
            <w:szCs w:val="16"/>
          </w:rPr>
          <w:t>State ex rel. Ames v. Crestwood Loc. Sch. Dist. Bd. Of Educ</w:t>
        </w:r>
      </w:hyperlink>
      <w:r w:rsidR="00D45CA5" w:rsidRPr="00C3377D">
        <w:rPr>
          <w:rFonts w:asciiTheme="minorHAnsi" w:hAnsiTheme="minorHAnsi" w:cstheme="minorHAnsi"/>
          <w:sz w:val="16"/>
          <w:szCs w:val="16"/>
        </w:rPr>
        <w:t xml:space="preserve">., 11th Dist. Portage No. 2023-P-0014, 2023-Ohio-4371, ¶ 31 (mental health survey results </w:t>
      </w:r>
      <w:r w:rsidR="00871EBF">
        <w:rPr>
          <w:rFonts w:asciiTheme="minorHAnsi" w:hAnsiTheme="minorHAnsi" w:cstheme="minorHAnsi"/>
          <w:sz w:val="16"/>
          <w:szCs w:val="16"/>
        </w:rPr>
        <w:t xml:space="preserve">were </w:t>
      </w:r>
      <w:r w:rsidR="00D45CA5" w:rsidRPr="00C3377D">
        <w:rPr>
          <w:rFonts w:asciiTheme="minorHAnsi" w:hAnsiTheme="minorHAnsi" w:cstheme="minorHAnsi"/>
          <w:sz w:val="16"/>
          <w:szCs w:val="16"/>
        </w:rPr>
        <w:t>not records because the school district “made no decisions and took no action based on the survey results[.]”).</w:t>
      </w:r>
    </w:p>
  </w:endnote>
  <w:endnote w:id="33">
    <w:p w14:paraId="548AE2E8" w14:textId="0E868A2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 w:history="1">
        <w:r w:rsidRPr="00C3377D">
          <w:rPr>
            <w:rStyle w:val="Hyperlink"/>
            <w:rFonts w:asciiTheme="minorHAnsi" w:hAnsiTheme="minorHAnsi" w:cstheme="minorHAnsi"/>
            <w:i/>
            <w:sz w:val="16"/>
            <w:szCs w:val="16"/>
          </w:rPr>
          <w:t>State ex rel. Cincinnati Enquirer v. Ronan</w:t>
        </w:r>
      </w:hyperlink>
      <w:r w:rsidRPr="00C3377D">
        <w:rPr>
          <w:rFonts w:asciiTheme="minorHAnsi" w:hAnsiTheme="minorHAnsi" w:cstheme="minorHAnsi"/>
          <w:sz w:val="16"/>
          <w:szCs w:val="16"/>
        </w:rPr>
        <w:t>, 127 Ohio St.3d 236, 2010-Ohio-5680, ¶ 15-16.</w:t>
      </w:r>
    </w:p>
  </w:endnote>
  <w:endnote w:id="34">
    <w:p w14:paraId="6F2FCFB8" w14:textId="61CBE26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 w:history="1">
        <w:r w:rsidRPr="00C3377D">
          <w:rPr>
            <w:rStyle w:val="Hyperlink"/>
            <w:rFonts w:asciiTheme="minorHAnsi" w:hAnsiTheme="minorHAnsi" w:cstheme="minorHAnsi"/>
            <w:i/>
            <w:sz w:val="16"/>
            <w:szCs w:val="16"/>
          </w:rPr>
          <w:t>State ex rel. Bowman v. Jackson City School Dist.</w:t>
        </w:r>
      </w:hyperlink>
      <w:r w:rsidRPr="00C3377D">
        <w:rPr>
          <w:rFonts w:asciiTheme="minorHAnsi" w:hAnsiTheme="minorHAnsi" w:cstheme="minorHAnsi"/>
          <w:sz w:val="16"/>
          <w:szCs w:val="16"/>
        </w:rPr>
        <w:t>, 4th Dist. Jackson No. 10CA3, 2011-Ohio-2228.</w:t>
      </w:r>
    </w:p>
  </w:endnote>
  <w:endnote w:id="35">
    <w:p w14:paraId="1840C633" w14:textId="039D76A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 w:history="1">
        <w:r w:rsidRPr="00C3377D">
          <w:rPr>
            <w:rStyle w:val="Hyperlink"/>
            <w:rFonts w:asciiTheme="minorHAnsi" w:hAnsiTheme="minorHAnsi" w:cstheme="minorHAnsi"/>
            <w:i/>
            <w:sz w:val="16"/>
            <w:szCs w:val="16"/>
          </w:rPr>
          <w:t xml:space="preserve">State ex rel. Toledo Blade Co. v. Seneca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xml:space="preserve">, 120 Ohio St.3d 372, 2008-Ohio-6253 (public office email can constitute public records under R.C. 149.011(G) and 149.43 if it documents the organization, policies, decisions, procedures, operations, or other activities of the public office); </w:t>
      </w:r>
      <w:hyperlink r:id="rId65" w:history="1">
        <w:r w:rsidRPr="00C3377D">
          <w:rPr>
            <w:rStyle w:val="Hyperlink"/>
            <w:rFonts w:asciiTheme="minorHAnsi" w:hAnsiTheme="minorHAnsi" w:cstheme="minorHAnsi"/>
            <w:i/>
            <w:sz w:val="16"/>
            <w:szCs w:val="16"/>
          </w:rPr>
          <w:t>State ex rel. Zidonis v. Columbus State Community College</w:t>
        </w:r>
      </w:hyperlink>
      <w:r w:rsidRPr="00C3377D">
        <w:rPr>
          <w:rFonts w:asciiTheme="minorHAnsi" w:hAnsiTheme="minorHAnsi" w:cstheme="minorHAnsi"/>
          <w:sz w:val="16"/>
          <w:szCs w:val="16"/>
        </w:rPr>
        <w:t xml:space="preserve">, 133 Ohio St.3d 122, 2012-Ohio-4228, ¶ 28-32; </w:t>
      </w:r>
      <w:hyperlink r:id="rId66" w:history="1">
        <w:r w:rsidRPr="00C3377D">
          <w:rPr>
            <w:rStyle w:val="Hyperlink"/>
            <w:rFonts w:asciiTheme="minorHAnsi" w:hAnsiTheme="minorHAnsi" w:cstheme="minorHAnsi"/>
            <w:i/>
            <w:sz w:val="16"/>
            <w:szCs w:val="16"/>
          </w:rPr>
          <w:t>State ex rel. Bowman v. Jackson City School Dist.</w:t>
        </w:r>
      </w:hyperlink>
      <w:r w:rsidRPr="00C3377D">
        <w:rPr>
          <w:rFonts w:asciiTheme="minorHAnsi" w:hAnsiTheme="minorHAnsi" w:cstheme="minorHAnsi"/>
          <w:sz w:val="16"/>
          <w:szCs w:val="16"/>
        </w:rPr>
        <w:t>, 4th Dist. Jackson No. 10CA3, 2011-Ohio-2228 (personal emails on public system are “records” when relied upon for discipline).</w:t>
      </w:r>
    </w:p>
  </w:endnote>
  <w:endnote w:id="36">
    <w:p w14:paraId="08004BDA" w14:textId="69709CD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 w:history="1">
        <w:r w:rsidRPr="00C3377D">
          <w:rPr>
            <w:rStyle w:val="Hyperlink"/>
            <w:rFonts w:asciiTheme="minorHAnsi" w:hAnsiTheme="minorHAnsi" w:cstheme="minorHAnsi"/>
            <w:i/>
            <w:sz w:val="16"/>
            <w:szCs w:val="16"/>
          </w:rPr>
          <w:t xml:space="preserve">State ex rel. Wilson-Simmons v. Lake </w:t>
        </w:r>
        <w:r w:rsidRPr="00C3377D">
          <w:rPr>
            <w:rStyle w:val="Hyperlink"/>
            <w:rFonts w:asciiTheme="minorHAnsi" w:hAnsiTheme="minorHAnsi" w:cstheme="minorHAnsi"/>
            <w:i/>
            <w:sz w:val="16"/>
            <w:szCs w:val="16"/>
          </w:rPr>
          <w:t>Cty. Sheriff’s Dept.</w:t>
        </w:r>
      </w:hyperlink>
      <w:r w:rsidRPr="00C3377D">
        <w:rPr>
          <w:rFonts w:asciiTheme="minorHAnsi" w:hAnsiTheme="minorHAnsi" w:cstheme="minorHAnsi"/>
          <w:sz w:val="16"/>
          <w:szCs w:val="16"/>
        </w:rPr>
        <w:t>, 82 Ohio St.3d 37 (1998) (when an email message does not serve to document the organization, functions, policies, procedures, or other activities of the public office, it is not a “record,” even if it was created by public employees on a public office’s email system).</w:t>
      </w:r>
    </w:p>
  </w:endnote>
  <w:endnote w:id="37">
    <w:p w14:paraId="0E6A9BF3" w14:textId="5C9B8FD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But see </w:t>
      </w:r>
      <w:hyperlink r:id="rId68"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23 (when respondent conceded that email messages she created or received in her capacity as state representative document her work-related activities, the messages are public records regardless whether she used her public or her private email account).</w:t>
      </w:r>
    </w:p>
  </w:endnote>
  <w:endnote w:id="38">
    <w:p w14:paraId="25BE237B" w14:textId="312FED42" w:rsidR="002F23BE" w:rsidRPr="00C3377D" w:rsidRDefault="002F23BE" w:rsidP="00C3377D">
      <w:pPr>
        <w:pStyle w:val="Comment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9" w:history="1">
        <w:r w:rsidRPr="00C3377D">
          <w:rPr>
            <w:rStyle w:val="Hyperlink"/>
            <w:rFonts w:asciiTheme="minorHAnsi" w:hAnsiTheme="minorHAnsi" w:cstheme="minorHAnsi"/>
            <w:i/>
            <w:sz w:val="16"/>
            <w:szCs w:val="16"/>
          </w:rPr>
          <w:t>State ex rel. Sinclair Media v. Cincinnat</w:t>
        </w:r>
      </w:hyperlink>
      <w:r w:rsidRPr="00C3377D">
        <w:rPr>
          <w:rFonts w:asciiTheme="minorHAnsi" w:hAnsiTheme="minorHAnsi" w:cstheme="minorHAnsi"/>
          <w:i/>
          <w:sz w:val="16"/>
          <w:szCs w:val="16"/>
        </w:rPr>
        <w:t xml:space="preserve">i, </w:t>
      </w:r>
      <w:r w:rsidRPr="00C3377D">
        <w:rPr>
          <w:rFonts w:asciiTheme="minorHAnsi" w:hAnsiTheme="minorHAnsi" w:cstheme="minorHAnsi"/>
          <w:sz w:val="16"/>
          <w:szCs w:val="16"/>
        </w:rPr>
        <w:t>Ct. of Cl. No. 2018PQ-01357PQ, 2019-Ohio-2624, ¶ 5-12.</w:t>
      </w:r>
    </w:p>
  </w:endnote>
  <w:endnote w:id="39">
    <w:p w14:paraId="2AED8422" w14:textId="0D4F05D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0"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24, fn. 1 (“Our decision in no way restricts a public office from disposing of items, including transient and other documents (</w:t>
      </w:r>
      <w:r w:rsidRPr="00C3377D">
        <w:rPr>
          <w:rFonts w:asciiTheme="minorHAnsi" w:hAnsiTheme="minorHAnsi" w:cstheme="minorHAnsi"/>
          <w:i/>
          <w:sz w:val="16"/>
          <w:szCs w:val="16"/>
        </w:rPr>
        <w:t>e.g.</w:t>
      </w:r>
      <w:r w:rsidRPr="00C3377D">
        <w:rPr>
          <w:rFonts w:asciiTheme="minorHAnsi" w:hAnsiTheme="minorHAnsi" w:cstheme="minorHAnsi"/>
          <w:sz w:val="16"/>
          <w:szCs w:val="16"/>
        </w:rPr>
        <w:t xml:space="preserve">, email messages) that are no longer of administrative value and are not otherwise required to be kept, in accordance with the office’s properly adopted policy for records retention and disposal.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R.C. 149.351.  Nor does our decision suggest that the Public Records Act prohibits a public office from determining the </w:t>
      </w:r>
      <w:r w:rsidRPr="00C3377D">
        <w:rPr>
          <w:rFonts w:asciiTheme="minorHAnsi" w:hAnsiTheme="minorHAnsi" w:cstheme="minorHAnsi"/>
          <w:sz w:val="16"/>
          <w:szCs w:val="16"/>
        </w:rPr>
        <w:t>period of time after which its email messages can be routinely deleted as part of the duly adopted records-retention policy.”).</w:t>
      </w:r>
    </w:p>
  </w:endnote>
  <w:endnote w:id="40">
    <w:p w14:paraId="2BA864D5" w14:textId="624068CD"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871EBF">
        <w:t xml:space="preserve"> </w:t>
      </w:r>
      <w:hyperlink r:id="rId71" w:history="1">
        <w:r w:rsidR="00C9201D" w:rsidRPr="00C3377D">
          <w:rPr>
            <w:rStyle w:val="Hyperlink"/>
            <w:rFonts w:asciiTheme="minorHAnsi" w:hAnsiTheme="minorHAnsi" w:cstheme="minorHAnsi"/>
            <w:i/>
            <w:sz w:val="16"/>
            <w:szCs w:val="16"/>
          </w:rPr>
          <w:t>State ex rel. Sinclair Media v. Cincinnati</w:t>
        </w:r>
      </w:hyperlink>
      <w:r w:rsidR="00C9201D" w:rsidRPr="00C3377D">
        <w:rPr>
          <w:rFonts w:asciiTheme="minorHAnsi" w:hAnsiTheme="minorHAnsi" w:cstheme="minorHAnsi"/>
          <w:i/>
          <w:sz w:val="16"/>
          <w:szCs w:val="16"/>
        </w:rPr>
        <w:t xml:space="preserve">, </w:t>
      </w:r>
      <w:r w:rsidR="00C9201D" w:rsidRPr="00C3377D">
        <w:rPr>
          <w:rFonts w:asciiTheme="minorHAnsi" w:hAnsiTheme="minorHAnsi" w:cstheme="minorHAnsi"/>
          <w:sz w:val="16"/>
          <w:szCs w:val="16"/>
        </w:rPr>
        <w:t>Ct. of Cl. No. 2018PQ-01357PQ, 2019-Ohio-2624, ¶ 5-12</w:t>
      </w:r>
      <w:r w:rsidRPr="00C3377D">
        <w:rPr>
          <w:rFonts w:asciiTheme="minorHAnsi" w:hAnsiTheme="minorHAnsi" w:cstheme="minorHAnsi"/>
          <w:sz w:val="16"/>
          <w:szCs w:val="16"/>
        </w:rPr>
        <w:t>.</w:t>
      </w:r>
    </w:p>
  </w:endnote>
  <w:endnote w:id="41">
    <w:p w14:paraId="26A80A27" w14:textId="7275AC4A"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2" w:history="1">
        <w:r w:rsidR="00C9201D" w:rsidRPr="00C3377D">
          <w:rPr>
            <w:rStyle w:val="Hyperlink"/>
            <w:rFonts w:asciiTheme="minorHAnsi" w:hAnsiTheme="minorHAnsi" w:cstheme="minorHAnsi"/>
            <w:i/>
            <w:sz w:val="16"/>
            <w:szCs w:val="16"/>
          </w:rPr>
          <w:t>State ex rel. Sinclair Media v. Cincinnati</w:t>
        </w:r>
      </w:hyperlink>
      <w:r w:rsidR="00C9201D" w:rsidRPr="00C3377D">
        <w:rPr>
          <w:rFonts w:asciiTheme="minorHAnsi" w:hAnsiTheme="minorHAnsi" w:cstheme="minorHAnsi"/>
          <w:i/>
          <w:sz w:val="16"/>
          <w:szCs w:val="16"/>
        </w:rPr>
        <w:t xml:space="preserve">, </w:t>
      </w:r>
      <w:r w:rsidR="00C9201D" w:rsidRPr="00C3377D">
        <w:rPr>
          <w:rFonts w:asciiTheme="minorHAnsi" w:hAnsiTheme="minorHAnsi" w:cstheme="minorHAnsi"/>
          <w:sz w:val="16"/>
          <w:szCs w:val="16"/>
        </w:rPr>
        <w:t xml:space="preserve">Ct. of Cl. No. 2018PQ-01357PQ, 2019-Ohio-2624, ¶ 5-12 </w:t>
      </w:r>
      <w:r w:rsidRPr="00C3377D">
        <w:rPr>
          <w:rFonts w:asciiTheme="minorHAnsi" w:hAnsiTheme="minorHAnsi" w:cstheme="minorHAnsi"/>
          <w:sz w:val="16"/>
          <w:szCs w:val="16"/>
        </w:rPr>
        <w:t xml:space="preserve">(text messages between city council members </w:t>
      </w:r>
      <w:r w:rsidR="00C9201D" w:rsidRPr="00C3377D">
        <w:rPr>
          <w:rFonts w:asciiTheme="minorHAnsi" w:hAnsiTheme="minorHAnsi" w:cstheme="minorHAnsi"/>
          <w:sz w:val="16"/>
          <w:szCs w:val="16"/>
        </w:rPr>
        <w:t xml:space="preserve">were public records because the messages discussed </w:t>
      </w:r>
      <w:r w:rsidRPr="00C3377D">
        <w:rPr>
          <w:rFonts w:asciiTheme="minorHAnsi" w:hAnsiTheme="minorHAnsi" w:cstheme="minorHAnsi"/>
          <w:sz w:val="16"/>
          <w:szCs w:val="16"/>
        </w:rPr>
        <w:t>firing city manage</w:t>
      </w:r>
      <w:r w:rsidR="00C9201D" w:rsidRPr="00C3377D">
        <w:rPr>
          <w:rFonts w:asciiTheme="minorHAnsi" w:hAnsiTheme="minorHAnsi" w:cstheme="minorHAnsi"/>
          <w:sz w:val="16"/>
          <w:szCs w:val="16"/>
        </w:rPr>
        <w:t>r</w:t>
      </w:r>
      <w:r w:rsidRPr="00C3377D">
        <w:rPr>
          <w:rFonts w:asciiTheme="minorHAnsi" w:hAnsiTheme="minorHAnsi" w:cstheme="minorHAnsi"/>
          <w:sz w:val="16"/>
          <w:szCs w:val="16"/>
        </w:rPr>
        <w:t>)</w:t>
      </w:r>
      <w:r w:rsidR="00C9201D" w:rsidRPr="00C3377D">
        <w:rPr>
          <w:rFonts w:asciiTheme="minorHAnsi" w:hAnsiTheme="minorHAnsi" w:cstheme="minorHAnsi"/>
          <w:sz w:val="16"/>
          <w:szCs w:val="16"/>
        </w:rPr>
        <w:t>.</w:t>
      </w:r>
    </w:p>
  </w:endnote>
  <w:endnote w:id="42">
    <w:p w14:paraId="74F2D16F" w14:textId="5BE9D9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Internatl. Union, United Auto., Aerospace &amp; Agricultural Implement v. Voinovich</w:t>
      </w:r>
      <w:r w:rsidRPr="00C3377D">
        <w:rPr>
          <w:rFonts w:asciiTheme="minorHAnsi" w:hAnsiTheme="minorHAnsi" w:cstheme="minorHAnsi"/>
          <w:sz w:val="16"/>
          <w:szCs w:val="16"/>
        </w:rPr>
        <w:t xml:space="preserve">, 100 Ohio App.3d 372, 376 (10th Dist. 1995) (governor’s </w:t>
      </w:r>
      <w:r w:rsidR="00070250">
        <w:rPr>
          <w:rFonts w:asciiTheme="minorHAnsi" w:hAnsiTheme="minorHAnsi" w:cstheme="minorHAnsi"/>
          <w:sz w:val="16"/>
          <w:szCs w:val="16"/>
        </w:rPr>
        <w:t xml:space="preserve">personal </w:t>
      </w:r>
      <w:r w:rsidRPr="00C3377D">
        <w:rPr>
          <w:rFonts w:asciiTheme="minorHAnsi" w:hAnsiTheme="minorHAnsi" w:cstheme="minorHAnsi"/>
          <w:sz w:val="16"/>
          <w:szCs w:val="16"/>
        </w:rPr>
        <w:t xml:space="preserve">logs, journals, calendars, and appointment books not “records”); </w:t>
      </w:r>
      <w:hyperlink r:id="rId73" w:history="1">
        <w:r w:rsidRPr="00C3377D">
          <w:rPr>
            <w:rStyle w:val="Hyperlink"/>
            <w:rFonts w:asciiTheme="minorHAnsi" w:hAnsiTheme="minorHAnsi" w:cstheme="minorHAnsi"/>
            <w:i/>
            <w:sz w:val="16"/>
            <w:szCs w:val="16"/>
          </w:rPr>
          <w:t>State ex rel. Doe v. Tetrault</w:t>
        </w:r>
      </w:hyperlink>
      <w:r w:rsidRPr="00C3377D">
        <w:rPr>
          <w:rFonts w:asciiTheme="minorHAnsi" w:hAnsiTheme="minorHAnsi" w:cstheme="minorHAnsi"/>
          <w:sz w:val="16"/>
          <w:szCs w:val="16"/>
        </w:rPr>
        <w:t xml:space="preserve">, 12th Dist. Clermont No. CA2011-10-070, 2012-Ohio-3879, ¶ 4, 28, 35-38 (scrap paper used by one person to track his hours worked for purposes of entering his hours into report were personal notes and not a record); </w:t>
      </w:r>
      <w:hyperlink r:id="rId74" w:history="1">
        <w:r w:rsidRPr="00C3377D">
          <w:rPr>
            <w:rStyle w:val="Hyperlink"/>
            <w:rFonts w:asciiTheme="minorHAnsi" w:hAnsiTheme="minorHAnsi" w:cstheme="minorHAnsi"/>
            <w:i/>
            <w:sz w:val="16"/>
            <w:szCs w:val="16"/>
          </w:rPr>
          <w:t>State ex rel. Essi v. City of Lakewood</w:t>
        </w:r>
      </w:hyperlink>
      <w:r w:rsidRPr="00C3377D">
        <w:rPr>
          <w:rFonts w:asciiTheme="minorHAnsi" w:hAnsiTheme="minorHAnsi" w:cstheme="minorHAnsi"/>
          <w:sz w:val="16"/>
          <w:szCs w:val="16"/>
        </w:rPr>
        <w:t xml:space="preserve">, </w:t>
      </w:r>
      <w:r w:rsidR="00934954">
        <w:rPr>
          <w:rFonts w:asciiTheme="minorHAnsi" w:hAnsiTheme="minorHAnsi" w:cstheme="minorHAnsi"/>
          <w:sz w:val="16"/>
          <w:szCs w:val="16"/>
        </w:rPr>
        <w:t xml:space="preserve">8th Dist. Cuyahoga No. </w:t>
      </w:r>
      <w:r w:rsidR="00934954" w:rsidRPr="00934954">
        <w:rPr>
          <w:rFonts w:asciiTheme="minorHAnsi" w:hAnsiTheme="minorHAnsi" w:cstheme="minorHAnsi"/>
          <w:sz w:val="16"/>
          <w:szCs w:val="16"/>
        </w:rPr>
        <w:t>104659</w:t>
      </w:r>
      <w:r w:rsidR="00934954">
        <w:rPr>
          <w:rFonts w:asciiTheme="minorHAnsi" w:hAnsiTheme="minorHAnsi" w:cstheme="minorHAnsi"/>
          <w:sz w:val="16"/>
          <w:szCs w:val="16"/>
        </w:rPr>
        <w:t xml:space="preserve">, </w:t>
      </w:r>
      <w:r w:rsidRPr="00C3377D">
        <w:rPr>
          <w:rFonts w:asciiTheme="minorHAnsi" w:hAnsiTheme="minorHAnsi" w:cstheme="minorHAnsi"/>
          <w:sz w:val="16"/>
          <w:szCs w:val="16"/>
        </w:rPr>
        <w:t>2018-Ohio-5027, ¶ 41 (8th Dist.) (redaction of personal and family appointments before release of work calendar was appropriate).</w:t>
      </w:r>
    </w:p>
  </w:endnote>
  <w:endnote w:id="43">
    <w:p w14:paraId="22597B4C" w14:textId="2BB0392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75" w:history="1">
        <w:r w:rsidRPr="00C3377D">
          <w:rPr>
            <w:rStyle w:val="Hyperlink"/>
            <w:rFonts w:asciiTheme="minorHAnsi" w:hAnsiTheme="minorHAnsi" w:cstheme="minorHAnsi"/>
            <w:i/>
            <w:sz w:val="16"/>
            <w:szCs w:val="16"/>
          </w:rPr>
          <w:t>Hunter v. Ohio Bur. of Workers’ Comp.</w:t>
        </w:r>
      </w:hyperlink>
      <w:r w:rsidRPr="00C3377D">
        <w:rPr>
          <w:rFonts w:asciiTheme="minorHAnsi" w:hAnsiTheme="minorHAnsi" w:cstheme="minorHAnsi"/>
          <w:sz w:val="16"/>
          <w:szCs w:val="16"/>
        </w:rPr>
        <w:t xml:space="preserve">, 10th Dist. Franklin No. 13AP-457, 2014-Ohio-5660, ¶ 16-17, 23-35 (investigators’ handwritten notes, used to convey information for oral or written reports and then disposed of, were not public records); </w:t>
      </w:r>
      <w:hyperlink r:id="rId76" w:history="1">
        <w:r w:rsidRPr="00C3377D">
          <w:rPr>
            <w:rStyle w:val="Hyperlink"/>
            <w:rFonts w:asciiTheme="minorHAnsi" w:hAnsiTheme="minorHAnsi" w:cstheme="minorHAnsi"/>
            <w:i/>
            <w:sz w:val="16"/>
            <w:szCs w:val="16"/>
          </w:rPr>
          <w:t xml:space="preserve">State ex rel. Doe v. </w:t>
        </w:r>
        <w:r w:rsidRPr="00C3377D">
          <w:rPr>
            <w:rStyle w:val="Hyperlink"/>
            <w:rFonts w:asciiTheme="minorHAnsi" w:hAnsiTheme="minorHAnsi" w:cstheme="minorHAnsi"/>
            <w:i/>
            <w:sz w:val="16"/>
            <w:szCs w:val="16"/>
          </w:rPr>
          <w:t>Tetrault</w:t>
        </w:r>
      </w:hyperlink>
      <w:r w:rsidRPr="00C3377D">
        <w:rPr>
          <w:rFonts w:asciiTheme="minorHAnsi" w:hAnsiTheme="minorHAnsi" w:cstheme="minorHAnsi"/>
          <w:sz w:val="16"/>
          <w:szCs w:val="16"/>
        </w:rPr>
        <w:t>, 12th Dist. Clermont No. CA2011-10-070, 2012-Ohio-3879, ¶ 38</w:t>
      </w:r>
      <w:r w:rsidR="00ED1418" w:rsidRPr="00C3377D">
        <w:rPr>
          <w:rFonts w:asciiTheme="minorHAnsi" w:hAnsiTheme="minorHAnsi" w:cstheme="minorHAnsi"/>
          <w:sz w:val="16"/>
          <w:szCs w:val="16"/>
        </w:rPr>
        <w:t>;</w:t>
      </w:r>
      <w:r w:rsidRPr="00C3377D">
        <w:rPr>
          <w:rFonts w:asciiTheme="minorHAnsi" w:hAnsiTheme="minorHAnsi" w:cstheme="minorHAnsi"/>
          <w:sz w:val="16"/>
          <w:szCs w:val="16"/>
        </w:rPr>
        <w:t xml:space="preserve"> </w:t>
      </w:r>
      <w:hyperlink r:id="rId77" w:history="1">
        <w:r w:rsidRPr="00C3377D">
          <w:rPr>
            <w:rStyle w:val="Hyperlink"/>
            <w:rFonts w:asciiTheme="minorHAnsi" w:hAnsiTheme="minorHAnsi" w:cstheme="minorHAnsi"/>
            <w:i/>
            <w:sz w:val="16"/>
            <w:szCs w:val="16"/>
          </w:rPr>
          <w:t>State ex rel. Santefort v. Wayne Twp. Bd. of Trustees</w:t>
        </w:r>
      </w:hyperlink>
      <w:r w:rsidRPr="00C3377D">
        <w:rPr>
          <w:rFonts w:asciiTheme="minorHAnsi" w:hAnsiTheme="minorHAnsi" w:cstheme="minorHAnsi"/>
          <w:sz w:val="16"/>
          <w:szCs w:val="16"/>
        </w:rPr>
        <w:t xml:space="preserve">, 12th Dist. Butler No. CA2014-070153, 2015-Ohio-2009, ¶ 13, 15 (handwritten notes township fiscal officer took for her own convenience “to serve as a reminder when compiling the official record” were not subject to disclosure even though officer is required by statute to “keep an accurate record” of board proceedings); </w:t>
      </w:r>
      <w:hyperlink r:id="rId78" w:history="1">
        <w:r w:rsidRPr="00C3377D">
          <w:rPr>
            <w:rStyle w:val="Hyperlink"/>
            <w:rFonts w:asciiTheme="minorHAnsi" w:hAnsiTheme="minorHAnsi" w:cstheme="minorHAnsi"/>
            <w:i/>
            <w:sz w:val="16"/>
            <w:szCs w:val="16"/>
          </w:rPr>
          <w:t>M.F. v. Perry Cty. Children Servs.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5th Dist. Perry Nos. 19-CA-0003, 19-CA-0004, 2019-Ohio-5435, ¶ 47 (caseworker’s personal notes that she shredded when a case closed and which were not entered into agency’s database because it would have been duplicate information were not subject to disclosure), </w:t>
      </w:r>
      <w:r w:rsidRPr="00C3377D">
        <w:rPr>
          <w:rFonts w:asciiTheme="minorHAnsi" w:hAnsiTheme="minorHAnsi" w:cstheme="minorHAnsi"/>
          <w:i/>
          <w:sz w:val="16"/>
          <w:szCs w:val="16"/>
        </w:rPr>
        <w:t xml:space="preserve">discretionary appeal not allowed, </w:t>
      </w:r>
      <w:r w:rsidRPr="00C3377D">
        <w:rPr>
          <w:rFonts w:asciiTheme="minorHAnsi" w:hAnsiTheme="minorHAnsi" w:cstheme="minorHAnsi"/>
          <w:sz w:val="16"/>
          <w:szCs w:val="16"/>
        </w:rPr>
        <w:t>158 Ohio St.3d 1488, 20</w:t>
      </w:r>
      <w:r w:rsidR="00ED1418" w:rsidRPr="00C3377D">
        <w:rPr>
          <w:rFonts w:asciiTheme="minorHAnsi" w:hAnsiTheme="minorHAnsi" w:cstheme="minorHAnsi"/>
          <w:sz w:val="16"/>
          <w:szCs w:val="16"/>
        </w:rPr>
        <w:t>20</w:t>
      </w:r>
      <w:r w:rsidRPr="00C3377D">
        <w:rPr>
          <w:rFonts w:asciiTheme="minorHAnsi" w:hAnsiTheme="minorHAnsi" w:cstheme="minorHAnsi"/>
          <w:sz w:val="16"/>
          <w:szCs w:val="16"/>
        </w:rPr>
        <w:t>-Ohio-</w:t>
      </w:r>
      <w:r w:rsidR="00ED1418" w:rsidRPr="00C3377D">
        <w:rPr>
          <w:rFonts w:asciiTheme="minorHAnsi" w:hAnsiTheme="minorHAnsi" w:cstheme="minorHAnsi"/>
          <w:sz w:val="16"/>
          <w:szCs w:val="16"/>
        </w:rPr>
        <w:t>1634</w:t>
      </w:r>
      <w:r w:rsidRPr="00C3377D">
        <w:rPr>
          <w:rFonts w:asciiTheme="minorHAnsi" w:hAnsiTheme="minorHAnsi" w:cstheme="minorHAnsi"/>
          <w:sz w:val="16"/>
          <w:szCs w:val="16"/>
        </w:rPr>
        <w:t xml:space="preserve">; </w:t>
      </w:r>
      <w:hyperlink r:id="rId79" w:history="1">
        <w:r w:rsidR="00EA3091" w:rsidRPr="00C3377D">
          <w:rPr>
            <w:rStyle w:val="Hyperlink"/>
            <w:rFonts w:asciiTheme="minorHAnsi" w:hAnsiTheme="minorHAnsi" w:cstheme="minorHAnsi"/>
            <w:i/>
            <w:iCs/>
            <w:sz w:val="16"/>
            <w:szCs w:val="16"/>
          </w:rPr>
          <w:t>State ex rel. Summers v. Fox</w:t>
        </w:r>
      </w:hyperlink>
      <w:r w:rsidR="00EA3091" w:rsidRPr="00C3377D">
        <w:rPr>
          <w:rFonts w:asciiTheme="minorHAnsi" w:hAnsiTheme="minorHAnsi" w:cstheme="minorHAnsi"/>
          <w:sz w:val="16"/>
          <w:szCs w:val="16"/>
        </w:rPr>
        <w:t xml:space="preserve">, </w:t>
      </w:r>
      <w:r w:rsidRPr="00C3377D">
        <w:rPr>
          <w:rFonts w:asciiTheme="minorHAnsi" w:hAnsiTheme="minorHAnsi" w:cstheme="minorHAnsi"/>
          <w:sz w:val="16"/>
          <w:szCs w:val="16"/>
        </w:rPr>
        <w:t xml:space="preserve">163 Ohio St.3d 217, 2020-Ohio-5585, ¶ 62-67 (handwritten notes maintained by prosecuting attorney are personal notes and therefore “outside the scope of the Public Records Act.”); </w:t>
      </w:r>
      <w:hyperlink r:id="rId80" w:history="1">
        <w:r w:rsidRPr="00C3377D">
          <w:rPr>
            <w:rStyle w:val="Hyperlink"/>
            <w:rFonts w:asciiTheme="minorHAnsi" w:hAnsiTheme="minorHAnsi" w:cstheme="minorHAnsi"/>
            <w:i/>
            <w:sz w:val="16"/>
            <w:szCs w:val="16"/>
          </w:rPr>
          <w:t>Nolan v, Wetzel</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5th Dist. Morgan No. 22AP0001, 2022-Ohio-4382, ¶ 20 (a judge’s personal, handwritten notes made during course of trial are not public records).</w:t>
      </w:r>
    </w:p>
  </w:endnote>
  <w:endnote w:id="44">
    <w:p w14:paraId="5DDBE2B5" w14:textId="6249770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1" w:history="1">
        <w:r w:rsidRPr="00C3377D">
          <w:rPr>
            <w:rStyle w:val="Hyperlink"/>
            <w:rFonts w:asciiTheme="minorHAnsi" w:hAnsiTheme="minorHAnsi" w:cstheme="minorHAnsi"/>
            <w:i/>
            <w:sz w:val="16"/>
            <w:szCs w:val="16"/>
          </w:rPr>
          <w:t>Barnes v. Columbus.</w:t>
        </w:r>
      </w:hyperlink>
      <w:r w:rsidRPr="00C3377D">
        <w:rPr>
          <w:rFonts w:asciiTheme="minorHAnsi" w:hAnsiTheme="minorHAnsi" w:cstheme="minorHAnsi"/>
          <w:sz w:val="16"/>
          <w:szCs w:val="16"/>
        </w:rPr>
        <w:t xml:space="preserve">, 10th Dist. Franklin No. 10AP-637, 2011-Ohio-2808 (relating to police promotional exam assessors’ notes), </w:t>
      </w:r>
      <w:r w:rsidRPr="00C3377D">
        <w:rPr>
          <w:rFonts w:asciiTheme="minorHAnsi" w:hAnsiTheme="minorHAnsi" w:cstheme="minorHAnsi"/>
          <w:i/>
          <w:sz w:val="16"/>
          <w:szCs w:val="16"/>
        </w:rPr>
        <w:t>discretionary appeal not allowed</w:t>
      </w:r>
      <w:r w:rsidRPr="00C3377D">
        <w:rPr>
          <w:rFonts w:asciiTheme="minorHAnsi" w:hAnsiTheme="minorHAnsi" w:cstheme="minorHAnsi"/>
          <w:sz w:val="16"/>
          <w:szCs w:val="16"/>
        </w:rPr>
        <w:t xml:space="preserve">, 130 Ohio St.3d 1418; </w:t>
      </w:r>
      <w:hyperlink r:id="rId82" w:history="1">
        <w:r w:rsidRPr="00C3377D">
          <w:rPr>
            <w:rStyle w:val="Hyperlink"/>
            <w:rFonts w:asciiTheme="minorHAnsi" w:hAnsiTheme="minorHAnsi" w:cstheme="minorHAnsi"/>
            <w:i/>
            <w:sz w:val="16"/>
            <w:szCs w:val="16"/>
          </w:rPr>
          <w:t xml:space="preserve">M.F. v. Perry </w:t>
        </w:r>
        <w:r w:rsidRPr="00C3377D">
          <w:rPr>
            <w:rStyle w:val="Hyperlink"/>
            <w:rFonts w:asciiTheme="minorHAnsi" w:hAnsiTheme="minorHAnsi" w:cstheme="minorHAnsi"/>
            <w:i/>
            <w:sz w:val="16"/>
            <w:szCs w:val="16"/>
          </w:rPr>
          <w:t>Cty. Children Servs.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5th Dist. Perry Nos. 19-CA-0003, 19-CA-0004, 2019-Ohio-5435, ¶ 47; </w:t>
      </w:r>
      <w:hyperlink r:id="rId83" w:history="1">
        <w:r w:rsidR="00EA3091" w:rsidRPr="00C3377D">
          <w:rPr>
            <w:rStyle w:val="Hyperlink"/>
            <w:rFonts w:asciiTheme="minorHAnsi" w:hAnsiTheme="minorHAnsi" w:cstheme="minorHAnsi"/>
            <w:i/>
            <w:iCs/>
            <w:sz w:val="16"/>
            <w:szCs w:val="16"/>
          </w:rPr>
          <w:t>State ex rel. Summers v. Fox</w:t>
        </w:r>
      </w:hyperlink>
      <w:r w:rsidR="00EA3091" w:rsidRPr="00C3377D">
        <w:rPr>
          <w:rFonts w:asciiTheme="minorHAnsi" w:hAnsiTheme="minorHAnsi" w:cstheme="minorHAnsi"/>
          <w:sz w:val="16"/>
          <w:szCs w:val="16"/>
        </w:rPr>
        <w:t xml:space="preserve">, </w:t>
      </w:r>
      <w:r w:rsidRPr="00C3377D">
        <w:rPr>
          <w:rFonts w:asciiTheme="minorHAnsi" w:hAnsiTheme="minorHAnsi" w:cstheme="minorHAnsi"/>
          <w:sz w:val="16"/>
          <w:szCs w:val="16"/>
        </w:rPr>
        <w:t>163 Ohio St.3d 217, 2020-Ohio-5585, ¶ 65-66 (law enforcement officer’s personal notes properly withheld and not required to be maintained when kept for his own personal use).</w:t>
      </w:r>
    </w:p>
  </w:endnote>
  <w:endnote w:id="45">
    <w:p w14:paraId="57951A43" w14:textId="23A8DFF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4" w:history="1">
        <w:r w:rsidRPr="00C3377D">
          <w:rPr>
            <w:rStyle w:val="Hyperlink"/>
            <w:rFonts w:asciiTheme="minorHAnsi" w:hAnsiTheme="minorHAnsi" w:cstheme="minorHAnsi"/>
            <w:i/>
            <w:sz w:val="16"/>
            <w:szCs w:val="16"/>
          </w:rPr>
          <w:t>State ex rel. Cranford v. Cleveland</w:t>
        </w:r>
      </w:hyperlink>
      <w:r w:rsidRPr="00C3377D">
        <w:rPr>
          <w:rFonts w:asciiTheme="minorHAnsi" w:hAnsiTheme="minorHAnsi" w:cstheme="minorHAnsi"/>
          <w:sz w:val="16"/>
          <w:szCs w:val="16"/>
        </w:rPr>
        <w:t>, 103 Ohio St.3d 196, 2004-Ohio-4884, ¶ 19</w:t>
      </w:r>
      <w:r w:rsidR="00ED1418" w:rsidRPr="00C3377D">
        <w:rPr>
          <w:rFonts w:asciiTheme="minorHAnsi" w:hAnsiTheme="minorHAnsi" w:cstheme="minorHAnsi"/>
          <w:sz w:val="16"/>
          <w:szCs w:val="16"/>
        </w:rPr>
        <w:t xml:space="preserve">, superseded by statute as stated in </w:t>
      </w:r>
      <w:hyperlink r:id="rId85" w:history="1">
        <w:r w:rsidR="00ED1418" w:rsidRPr="00C3377D">
          <w:rPr>
            <w:rStyle w:val="Hyperlink"/>
            <w:rFonts w:asciiTheme="minorHAnsi" w:hAnsiTheme="minorHAnsi" w:cstheme="minorHAnsi"/>
            <w:i/>
            <w:iCs/>
            <w:sz w:val="16"/>
            <w:szCs w:val="16"/>
          </w:rPr>
          <w:t>State ex rel. DiFranco v. City of S. Euclid</w:t>
        </w:r>
      </w:hyperlink>
      <w:r w:rsidR="00ED1418" w:rsidRPr="00C3377D">
        <w:rPr>
          <w:rFonts w:asciiTheme="minorHAnsi" w:hAnsiTheme="minorHAnsi" w:cstheme="minorHAnsi"/>
          <w:sz w:val="16"/>
          <w:szCs w:val="16"/>
        </w:rPr>
        <w:t>, 138 Ohio St.3d 378, 2014-Ohio-539</w:t>
      </w:r>
      <w:r w:rsidRPr="00C3377D">
        <w:rPr>
          <w:rFonts w:asciiTheme="minorHAnsi" w:hAnsiTheme="minorHAnsi" w:cstheme="minorHAnsi"/>
          <w:sz w:val="16"/>
          <w:szCs w:val="16"/>
        </w:rPr>
        <w:t xml:space="preserve">; </w:t>
      </w:r>
      <w:hyperlink r:id="rId86"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Steffan v. Kraft</w:t>
        </w:r>
      </w:hyperlink>
      <w:r w:rsidRPr="00C3377D">
        <w:rPr>
          <w:rFonts w:asciiTheme="minorHAnsi" w:hAnsiTheme="minorHAnsi" w:cstheme="minorHAnsi"/>
          <w:sz w:val="16"/>
          <w:szCs w:val="16"/>
        </w:rPr>
        <w:t>, 67 Ohio St.3d 439, 440</w:t>
      </w:r>
      <w:r w:rsidR="00ED1418" w:rsidRPr="00C3377D">
        <w:rPr>
          <w:rFonts w:asciiTheme="minorHAnsi" w:hAnsiTheme="minorHAnsi" w:cstheme="minorHAnsi"/>
          <w:sz w:val="16"/>
          <w:szCs w:val="16"/>
        </w:rPr>
        <w:t xml:space="preserve"> (1993)</w:t>
      </w:r>
      <w:r w:rsidRPr="00C3377D">
        <w:rPr>
          <w:rFonts w:asciiTheme="minorHAnsi" w:hAnsiTheme="minorHAnsi" w:cstheme="minorHAnsi"/>
          <w:sz w:val="16"/>
          <w:szCs w:val="16"/>
        </w:rPr>
        <w:t>.  Personal notes that are not physically “kept by” the public office, would also not fit that defining requirement of a “public record.”</w:t>
      </w:r>
    </w:p>
  </w:endnote>
  <w:endnote w:id="46">
    <w:p w14:paraId="0E1D5462" w14:textId="692986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7"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Verhovec v. Marietta</w:t>
        </w:r>
      </w:hyperlink>
      <w:r w:rsidRPr="00C3377D">
        <w:rPr>
          <w:rFonts w:asciiTheme="minorHAnsi" w:hAnsiTheme="minorHAnsi" w:cstheme="minorHAnsi"/>
          <w:sz w:val="16"/>
          <w:szCs w:val="16"/>
        </w:rPr>
        <w:t>, 4th Dist. Washington No. 12CA32, 2013-Ohio-5415, ¶ 30 (handwritten notes that are later transcribed are records because city clerk used them not merely as personal notes, but in preparation of official minutes in clerk’s official capacity).</w:t>
      </w:r>
    </w:p>
  </w:endnote>
  <w:endnote w:id="47">
    <w:p w14:paraId="163AF77D" w14:textId="341CC7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88" w:history="1">
        <w:r w:rsidRPr="00C3377D">
          <w:rPr>
            <w:rStyle w:val="Hyperlink"/>
            <w:rFonts w:asciiTheme="minorHAnsi" w:hAnsiTheme="minorHAnsi" w:cstheme="minorHAnsi"/>
            <w:i/>
            <w:sz w:val="16"/>
            <w:szCs w:val="16"/>
          </w:rPr>
          <w:t>Kish v. City of Akron</w:t>
        </w:r>
      </w:hyperlink>
      <w:r w:rsidRPr="00C3377D">
        <w:rPr>
          <w:rFonts w:asciiTheme="minorHAnsi" w:hAnsiTheme="minorHAnsi" w:cstheme="minorHAnsi"/>
          <w:sz w:val="16"/>
          <w:szCs w:val="16"/>
        </w:rPr>
        <w:t xml:space="preserve">, 109 Ohio St.3d 162, 2006-Ohio-1244, ¶ 20 (a “document need not be in final form to meet the statutory definition of ‘record’”); </w:t>
      </w:r>
      <w:hyperlink r:id="rId89" w:history="1">
        <w:r w:rsidRPr="00C3377D">
          <w:rPr>
            <w:rStyle w:val="Hyperlink"/>
            <w:rFonts w:asciiTheme="minorHAnsi" w:hAnsiTheme="minorHAnsi" w:cstheme="minorHAnsi"/>
            <w:i/>
            <w:sz w:val="16"/>
            <w:szCs w:val="16"/>
          </w:rPr>
          <w:t>State ex rel. Cincinnati Enquirer v. Dupuis</w:t>
        </w:r>
      </w:hyperlink>
      <w:r w:rsidRPr="00C3377D">
        <w:rPr>
          <w:rFonts w:asciiTheme="minorHAnsi" w:hAnsiTheme="minorHAnsi" w:cstheme="minorHAnsi"/>
          <w:sz w:val="16"/>
          <w:szCs w:val="16"/>
        </w:rPr>
        <w:t>, 98 Ohio St.3d 126, 2002-Ohio-7041, ¶ 20 (“[E]</w:t>
      </w:r>
      <w:r w:rsidRPr="00C3377D">
        <w:rPr>
          <w:rFonts w:asciiTheme="minorHAnsi" w:hAnsiTheme="minorHAnsi" w:cstheme="minorHAnsi"/>
          <w:sz w:val="16"/>
          <w:szCs w:val="16"/>
        </w:rPr>
        <w:t xml:space="preserve">ven if a record is not in final form, it may still constitute a ‘record’ for purposes of R.C. 149.43 if it documents the organization, policies, functions, decisions, procedures, operations, or other activities of a public office.”); </w:t>
      </w:r>
      <w:hyperlink r:id="rId90" w:history="1">
        <w:r w:rsidRPr="00C3377D">
          <w:rPr>
            <w:rStyle w:val="Hyperlink"/>
            <w:rFonts w:asciiTheme="minorHAnsi" w:hAnsiTheme="minorHAnsi" w:cstheme="minorHAnsi"/>
            <w:i/>
            <w:sz w:val="16"/>
            <w:szCs w:val="16"/>
          </w:rPr>
          <w:t>State ex rel. Wadd v. City of Cleveland</w:t>
        </w:r>
      </w:hyperlink>
      <w:r w:rsidRPr="00C3377D">
        <w:rPr>
          <w:rFonts w:asciiTheme="minorHAnsi" w:hAnsiTheme="minorHAnsi" w:cstheme="minorHAnsi"/>
          <w:sz w:val="16"/>
          <w:szCs w:val="16"/>
        </w:rPr>
        <w:t>, 81 Ohio St.3d 50, 53</w:t>
      </w:r>
      <w:r w:rsidR="00ED1418" w:rsidRPr="00C3377D">
        <w:rPr>
          <w:rFonts w:asciiTheme="minorHAnsi" w:hAnsiTheme="minorHAnsi" w:cstheme="minorHAnsi"/>
          <w:sz w:val="16"/>
          <w:szCs w:val="16"/>
        </w:rPr>
        <w:t xml:space="preserve"> (1998)</w:t>
      </w:r>
      <w:r w:rsidRPr="00C3377D">
        <w:rPr>
          <w:rFonts w:asciiTheme="minorHAnsi" w:hAnsiTheme="minorHAnsi" w:cstheme="minorHAnsi"/>
          <w:sz w:val="16"/>
          <w:szCs w:val="16"/>
        </w:rPr>
        <w:t xml:space="preserve"> (granting access to preliminary, unnumbered accident reports not yet processed into final form); </w:t>
      </w:r>
      <w:r w:rsidRPr="00C3377D">
        <w:rPr>
          <w:rFonts w:asciiTheme="minorHAnsi" w:hAnsiTheme="minorHAnsi" w:cstheme="minorHAnsi"/>
          <w:i/>
          <w:sz w:val="16"/>
          <w:szCs w:val="16"/>
        </w:rPr>
        <w:t>State ex rel. Cincinnati Post v. Schweikert</w:t>
      </w:r>
      <w:r w:rsidRPr="00C3377D">
        <w:rPr>
          <w:rFonts w:asciiTheme="minorHAnsi" w:hAnsiTheme="minorHAnsi" w:cstheme="minorHAnsi"/>
          <w:sz w:val="16"/>
          <w:szCs w:val="16"/>
        </w:rPr>
        <w:t>, 38 Ohio St.3d 170 (1988) (granting access to preliminary work product that had not reached its final stage or official destination).</w:t>
      </w:r>
    </w:p>
  </w:endnote>
  <w:endnote w:id="48">
    <w:p w14:paraId="6F353F9D" w14:textId="5774F534" w:rsidR="002F23BE" w:rsidRPr="00F26F91"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1" w:history="1">
        <w:r w:rsidRPr="00F26F91">
          <w:rPr>
            <w:rStyle w:val="Hyperlink"/>
            <w:rFonts w:asciiTheme="minorHAnsi" w:hAnsiTheme="minorHAnsi" w:cstheme="minorHAnsi"/>
            <w:i/>
            <w:sz w:val="16"/>
            <w:szCs w:val="16"/>
          </w:rPr>
          <w:t>State ex rel. Calvary v. City of Upper Arlington</w:t>
        </w:r>
      </w:hyperlink>
      <w:r w:rsidRPr="00F26F91">
        <w:rPr>
          <w:rFonts w:asciiTheme="minorHAnsi" w:hAnsiTheme="minorHAnsi" w:cstheme="minorHAnsi"/>
          <w:sz w:val="16"/>
          <w:szCs w:val="16"/>
        </w:rPr>
        <w:t>, 89 Ohio St.3d 229</w:t>
      </w:r>
      <w:r w:rsidR="00ED1418" w:rsidRPr="00F26F91">
        <w:rPr>
          <w:rFonts w:asciiTheme="minorHAnsi" w:hAnsiTheme="minorHAnsi" w:cstheme="minorHAnsi"/>
          <w:sz w:val="16"/>
          <w:szCs w:val="16"/>
        </w:rPr>
        <w:t xml:space="preserve"> (2000)</w:t>
      </w:r>
      <w:r w:rsidRPr="00F26F91">
        <w:rPr>
          <w:rFonts w:asciiTheme="minorHAnsi" w:hAnsiTheme="minorHAnsi" w:cstheme="minorHAnsi"/>
          <w:sz w:val="16"/>
          <w:szCs w:val="16"/>
        </w:rPr>
        <w:t>.</w:t>
      </w:r>
    </w:p>
  </w:endnote>
  <w:endnote w:id="49">
    <w:p w14:paraId="68D655A1" w14:textId="0CC14977" w:rsidR="002F23BE" w:rsidRPr="00C3377D" w:rsidRDefault="002F23BE" w:rsidP="00C3377D">
      <w:pPr>
        <w:pStyle w:val="EndnoteText"/>
        <w:spacing w:line="160" w:lineRule="exact"/>
        <w:jc w:val="both"/>
        <w:rPr>
          <w:rFonts w:asciiTheme="minorHAnsi" w:hAnsiTheme="minorHAnsi" w:cstheme="minorHAnsi"/>
          <w:sz w:val="16"/>
          <w:szCs w:val="16"/>
        </w:rPr>
      </w:pPr>
      <w:r w:rsidRPr="00F26F91">
        <w:rPr>
          <w:rStyle w:val="EndnoteReference"/>
          <w:rFonts w:asciiTheme="minorHAnsi" w:hAnsiTheme="minorHAnsi" w:cstheme="minorHAnsi"/>
          <w:sz w:val="16"/>
          <w:szCs w:val="16"/>
        </w:rPr>
        <w:endnoteRef/>
      </w:r>
      <w:r w:rsidRPr="00F26F91">
        <w:rPr>
          <w:rFonts w:asciiTheme="minorHAnsi" w:hAnsiTheme="minorHAnsi" w:cstheme="minorHAnsi"/>
          <w:sz w:val="16"/>
          <w:szCs w:val="16"/>
        </w:rPr>
        <w:t xml:space="preserve"> For additional discussion, </w:t>
      </w:r>
      <w:r w:rsidRPr="00F26F91">
        <w:rPr>
          <w:rFonts w:asciiTheme="minorHAnsi" w:hAnsiTheme="minorHAnsi" w:cstheme="minorHAnsi"/>
          <w:i/>
          <w:sz w:val="16"/>
          <w:szCs w:val="16"/>
        </w:rPr>
        <w:t xml:space="preserve">see </w:t>
      </w:r>
      <w:r w:rsidRPr="00F26F91">
        <w:rPr>
          <w:rFonts w:asciiTheme="minorHAnsi" w:hAnsiTheme="minorHAnsi" w:cstheme="minorHAnsi"/>
          <w:sz w:val="16"/>
          <w:szCs w:val="16"/>
        </w:rPr>
        <w:t xml:space="preserve">Chapter </w:t>
      </w:r>
      <w:r w:rsidR="000D5DA6" w:rsidRPr="00F26F91">
        <w:rPr>
          <w:rFonts w:asciiTheme="minorHAnsi" w:hAnsiTheme="minorHAnsi" w:cstheme="minorHAnsi"/>
          <w:sz w:val="16"/>
          <w:szCs w:val="16"/>
        </w:rPr>
        <w:t>Seven</w:t>
      </w:r>
      <w:r w:rsidRPr="00F26F91">
        <w:rPr>
          <w:rFonts w:asciiTheme="minorHAnsi" w:hAnsiTheme="minorHAnsi" w:cstheme="minorHAnsi"/>
          <w:sz w:val="16"/>
          <w:szCs w:val="16"/>
        </w:rPr>
        <w:t>:  B. “</w:t>
      </w:r>
      <w:r w:rsidRPr="00C3377D">
        <w:rPr>
          <w:rFonts w:asciiTheme="minorHAnsi" w:hAnsiTheme="minorHAnsi" w:cstheme="minorHAnsi"/>
          <w:sz w:val="16"/>
          <w:szCs w:val="16"/>
        </w:rPr>
        <w:t>Records Management – Practical Pointers.”</w:t>
      </w:r>
    </w:p>
  </w:endnote>
  <w:endnote w:id="50">
    <w:p w14:paraId="019FFB67" w14:textId="7CC9EEE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2" w:history="1">
        <w:r w:rsidRPr="00C3377D">
          <w:rPr>
            <w:rStyle w:val="Hyperlink"/>
            <w:rFonts w:asciiTheme="minorHAnsi" w:hAnsiTheme="minorHAnsi" w:cstheme="minorHAnsi"/>
            <w:i/>
            <w:sz w:val="16"/>
            <w:szCs w:val="16"/>
          </w:rPr>
          <w:t>State ex rel. White v. Goldsberry</w:t>
        </w:r>
      </w:hyperlink>
      <w:r w:rsidRPr="00C3377D">
        <w:rPr>
          <w:rFonts w:asciiTheme="minorHAnsi" w:hAnsiTheme="minorHAnsi" w:cstheme="minorHAnsi"/>
          <w:sz w:val="16"/>
          <w:szCs w:val="16"/>
        </w:rPr>
        <w:t>, 85 Ohio St.3d 153, 154</w:t>
      </w:r>
      <w:r w:rsidR="00ED1418" w:rsidRPr="00C3377D">
        <w:rPr>
          <w:rFonts w:asciiTheme="minorHAnsi" w:hAnsiTheme="minorHAnsi" w:cstheme="minorHAnsi"/>
          <w:sz w:val="16"/>
          <w:szCs w:val="16"/>
        </w:rPr>
        <w:t xml:space="preserve"> (1999)</w:t>
      </w:r>
      <w:r w:rsidRPr="00C3377D">
        <w:rPr>
          <w:rFonts w:asciiTheme="minorHAnsi" w:hAnsiTheme="minorHAnsi" w:cstheme="minorHAnsi"/>
          <w:sz w:val="16"/>
          <w:szCs w:val="16"/>
        </w:rPr>
        <w:t>; s</w:t>
      </w:r>
      <w:r w:rsidRPr="00C3377D">
        <w:rPr>
          <w:rFonts w:asciiTheme="minorHAnsi" w:hAnsiTheme="minorHAnsi" w:cstheme="minorHAnsi"/>
          <w:i/>
          <w:sz w:val="16"/>
          <w:szCs w:val="16"/>
        </w:rPr>
        <w:t xml:space="preserve">ee also State ex rel. </w:t>
      </w:r>
      <w:r w:rsidRPr="00C3377D">
        <w:rPr>
          <w:rFonts w:asciiTheme="minorHAnsi" w:hAnsiTheme="minorHAnsi" w:cstheme="minorHAnsi"/>
          <w:i/>
          <w:sz w:val="16"/>
          <w:szCs w:val="16"/>
        </w:rPr>
        <w:t>Margolius v. Cleveland</w:t>
      </w:r>
      <w:r w:rsidRPr="00C3377D">
        <w:rPr>
          <w:rFonts w:asciiTheme="minorHAnsi" w:hAnsiTheme="minorHAnsi" w:cstheme="minorHAnsi"/>
          <w:sz w:val="16"/>
          <w:szCs w:val="16"/>
        </w:rPr>
        <w:t xml:space="preserve">, 62 Ohio St.3d 456 665 (1992); </w:t>
      </w:r>
      <w:hyperlink r:id="rId93" w:history="1">
        <w:r w:rsidRPr="00C3377D">
          <w:rPr>
            <w:rStyle w:val="Hyperlink"/>
            <w:rFonts w:asciiTheme="minorHAnsi" w:hAnsiTheme="minorHAnsi" w:cstheme="minorHAnsi"/>
            <w:i/>
            <w:sz w:val="16"/>
            <w:szCs w:val="16"/>
          </w:rPr>
          <w:t>Kovach v. Geauga Cty. Auditor’s Office</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Ct. of Cl. No. 2019-00917PQ, 2019-Ohio-5455, ¶ 10 (</w:t>
      </w:r>
      <w:r w:rsidR="00A62ECD">
        <w:rPr>
          <w:rFonts w:asciiTheme="minorHAnsi" w:hAnsiTheme="minorHAnsi" w:cstheme="minorHAnsi"/>
          <w:sz w:val="16"/>
          <w:szCs w:val="16"/>
        </w:rPr>
        <w:t>a</w:t>
      </w:r>
      <w:r w:rsidRPr="00C3377D">
        <w:rPr>
          <w:rFonts w:asciiTheme="minorHAnsi" w:hAnsiTheme="minorHAnsi" w:cstheme="minorHAnsi"/>
          <w:sz w:val="16"/>
          <w:szCs w:val="16"/>
        </w:rPr>
        <w:t>uditor properly denied requests seeking explanations or reasons for the execution of public functions and asking for admissions or denials of certain facts);</w:t>
      </w:r>
      <w:hyperlink r:id="rId94"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Isreal v. Franklin Cty. Commrs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2019-00548PQ, 2019-Ohio-5457, ¶ 8-9.</w:t>
      </w:r>
    </w:p>
  </w:endnote>
  <w:endnote w:id="51">
    <w:p w14:paraId="717C3FD5" w14:textId="43EFD162" w:rsidR="002F23BE" w:rsidRPr="00310038" w:rsidRDefault="002F23BE" w:rsidP="00310038">
      <w:pPr>
        <w:pStyle w:val="EndnoteText"/>
        <w:spacing w:line="160" w:lineRule="exact"/>
        <w:jc w:val="both"/>
        <w:rPr>
          <w:rFonts w:asciiTheme="minorHAnsi" w:hAnsiTheme="minorHAnsi" w:cstheme="minorHAnsi"/>
          <w:sz w:val="16"/>
          <w:szCs w:val="16"/>
        </w:rPr>
      </w:pPr>
      <w:r w:rsidRPr="00310038">
        <w:rPr>
          <w:rStyle w:val="EndnoteReference"/>
          <w:rFonts w:asciiTheme="minorHAnsi" w:hAnsiTheme="minorHAnsi" w:cstheme="minorHAnsi"/>
          <w:sz w:val="16"/>
          <w:szCs w:val="16"/>
        </w:rPr>
        <w:endnoteRef/>
      </w:r>
      <w:r w:rsidRPr="00310038">
        <w:rPr>
          <w:rFonts w:asciiTheme="minorHAnsi" w:hAnsiTheme="minorHAnsi" w:cstheme="minorHAnsi"/>
          <w:sz w:val="16"/>
          <w:szCs w:val="16"/>
        </w:rPr>
        <w:t xml:space="preserve"> </w:t>
      </w:r>
      <w:r w:rsidRPr="00310038">
        <w:rPr>
          <w:rFonts w:asciiTheme="minorHAnsi" w:hAnsiTheme="minorHAnsi" w:cstheme="minorHAnsi"/>
          <w:i/>
          <w:sz w:val="16"/>
          <w:szCs w:val="16"/>
        </w:rPr>
        <w:t>State ex rel. Scanlon v. Deters</w:t>
      </w:r>
      <w:r w:rsidRPr="00310038">
        <w:rPr>
          <w:rFonts w:asciiTheme="minorHAnsi" w:hAnsiTheme="minorHAnsi" w:cstheme="minorHAnsi"/>
          <w:sz w:val="16"/>
          <w:szCs w:val="16"/>
        </w:rPr>
        <w:t>, 45 Ohio St.3d 376, 379 (1989)</w:t>
      </w:r>
      <w:r w:rsidR="00ED1418" w:rsidRPr="00310038">
        <w:rPr>
          <w:rFonts w:asciiTheme="minorHAnsi" w:hAnsiTheme="minorHAnsi" w:cstheme="minorHAnsi"/>
          <w:sz w:val="16"/>
          <w:szCs w:val="16"/>
        </w:rPr>
        <w:t xml:space="preserve">, </w:t>
      </w:r>
      <w:r w:rsidRPr="00310038">
        <w:rPr>
          <w:rFonts w:asciiTheme="minorHAnsi" w:hAnsiTheme="minorHAnsi" w:cstheme="minorHAnsi"/>
          <w:i/>
          <w:iCs/>
          <w:sz w:val="16"/>
          <w:szCs w:val="16"/>
        </w:rPr>
        <w:t xml:space="preserve">overruled on </w:t>
      </w:r>
      <w:r w:rsidR="00897471" w:rsidRPr="00310038">
        <w:rPr>
          <w:rFonts w:asciiTheme="minorHAnsi" w:hAnsiTheme="minorHAnsi" w:cstheme="minorHAnsi"/>
          <w:i/>
          <w:iCs/>
          <w:sz w:val="16"/>
          <w:szCs w:val="16"/>
        </w:rPr>
        <w:t>other</w:t>
      </w:r>
      <w:r w:rsidRPr="00310038">
        <w:rPr>
          <w:rFonts w:asciiTheme="minorHAnsi" w:hAnsiTheme="minorHAnsi" w:cstheme="minorHAnsi"/>
          <w:i/>
          <w:iCs/>
          <w:sz w:val="16"/>
          <w:szCs w:val="16"/>
        </w:rPr>
        <w:t xml:space="preserve"> grounds</w:t>
      </w:r>
      <w:r w:rsidR="00897471" w:rsidRPr="00310038">
        <w:rPr>
          <w:rFonts w:asciiTheme="minorHAnsi" w:hAnsiTheme="minorHAnsi" w:cstheme="minorHAnsi"/>
          <w:sz w:val="16"/>
          <w:szCs w:val="16"/>
        </w:rPr>
        <w:t>,</w:t>
      </w:r>
      <w:r w:rsidR="00ED1418" w:rsidRPr="00310038">
        <w:rPr>
          <w:rFonts w:asciiTheme="minorHAnsi" w:hAnsiTheme="minorHAnsi" w:cstheme="minorHAnsi"/>
          <w:sz w:val="16"/>
          <w:szCs w:val="16"/>
        </w:rPr>
        <w:t xml:space="preserve"> </w:t>
      </w:r>
      <w:r w:rsidR="00ED1418" w:rsidRPr="00310038">
        <w:rPr>
          <w:rFonts w:asciiTheme="minorHAnsi" w:hAnsiTheme="minorHAnsi" w:cstheme="minorHAnsi"/>
          <w:i/>
          <w:iCs/>
          <w:sz w:val="16"/>
          <w:szCs w:val="16"/>
        </w:rPr>
        <w:t xml:space="preserve">State ex rel. </w:t>
      </w:r>
      <w:r w:rsidR="00ED1418" w:rsidRPr="00310038">
        <w:rPr>
          <w:rFonts w:asciiTheme="minorHAnsi" w:hAnsiTheme="minorHAnsi" w:cstheme="minorHAnsi"/>
          <w:i/>
          <w:iCs/>
          <w:sz w:val="16"/>
          <w:szCs w:val="16"/>
        </w:rPr>
        <w:t>Steckman v. Jackson</w:t>
      </w:r>
      <w:r w:rsidR="00ED1418" w:rsidRPr="00310038">
        <w:rPr>
          <w:rFonts w:asciiTheme="minorHAnsi" w:hAnsiTheme="minorHAnsi" w:cstheme="minorHAnsi"/>
          <w:sz w:val="16"/>
          <w:szCs w:val="16"/>
        </w:rPr>
        <w:t>, 70 Ohio St.3d 420 (1994</w:t>
      </w:r>
      <w:r w:rsidRPr="00310038">
        <w:rPr>
          <w:rFonts w:asciiTheme="minorHAnsi" w:hAnsiTheme="minorHAnsi" w:cstheme="minorHAnsi"/>
          <w:sz w:val="16"/>
          <w:szCs w:val="16"/>
        </w:rPr>
        <w:t>).</w:t>
      </w:r>
    </w:p>
  </w:endnote>
  <w:endnote w:id="52">
    <w:p w14:paraId="46A9CF08" w14:textId="26CA0586" w:rsidR="002F23BE" w:rsidRPr="00310038" w:rsidRDefault="002F23BE" w:rsidP="00310038">
      <w:pPr>
        <w:pStyle w:val="EndnoteText"/>
        <w:spacing w:line="160" w:lineRule="exact"/>
        <w:jc w:val="both"/>
        <w:rPr>
          <w:rFonts w:asciiTheme="minorHAnsi" w:hAnsiTheme="minorHAnsi" w:cstheme="minorHAnsi"/>
          <w:sz w:val="16"/>
          <w:szCs w:val="16"/>
        </w:rPr>
      </w:pPr>
      <w:r w:rsidRPr="00310038">
        <w:rPr>
          <w:rStyle w:val="EndnoteReference"/>
          <w:rFonts w:asciiTheme="minorHAnsi" w:hAnsiTheme="minorHAnsi" w:cstheme="minorHAnsi"/>
          <w:sz w:val="16"/>
          <w:szCs w:val="16"/>
        </w:rPr>
        <w:endnoteRef/>
      </w:r>
      <w:r w:rsidRPr="00310038">
        <w:rPr>
          <w:rFonts w:asciiTheme="minorHAnsi" w:hAnsiTheme="minorHAnsi" w:cstheme="minorHAnsi"/>
          <w:sz w:val="16"/>
          <w:szCs w:val="16"/>
        </w:rPr>
        <w:t xml:space="preserve"> </w:t>
      </w:r>
      <w:hyperlink r:id="rId95" w:history="1">
        <w:r w:rsidRPr="00310038">
          <w:rPr>
            <w:rStyle w:val="Hyperlink"/>
            <w:rFonts w:asciiTheme="minorHAnsi" w:hAnsiTheme="minorHAnsi" w:cstheme="minorHAnsi"/>
            <w:i/>
            <w:sz w:val="16"/>
            <w:szCs w:val="16"/>
          </w:rPr>
          <w:t>State ex rel. Kerner v. State Teachers Retirement Bd.</w:t>
        </w:r>
      </w:hyperlink>
      <w:r w:rsidRPr="00310038">
        <w:rPr>
          <w:rFonts w:asciiTheme="minorHAnsi" w:hAnsiTheme="minorHAnsi" w:cstheme="minorHAnsi"/>
          <w:sz w:val="16"/>
          <w:szCs w:val="16"/>
        </w:rPr>
        <w:t xml:space="preserve">, 82 Ohio St.3d 273, 275 </w:t>
      </w:r>
      <w:r w:rsidR="00C77BB4" w:rsidRPr="00310038">
        <w:rPr>
          <w:rFonts w:asciiTheme="minorHAnsi" w:hAnsiTheme="minorHAnsi" w:cstheme="minorHAnsi"/>
          <w:sz w:val="16"/>
          <w:szCs w:val="16"/>
        </w:rPr>
        <w:t>(1998)</w:t>
      </w:r>
      <w:r w:rsidRPr="00310038">
        <w:rPr>
          <w:rFonts w:asciiTheme="minorHAnsi" w:hAnsiTheme="minorHAnsi" w:cstheme="minorHAnsi"/>
          <w:sz w:val="16"/>
          <w:szCs w:val="16"/>
        </w:rPr>
        <w:t xml:space="preserve">(finding that the agency would have had to reprogram its computers to create the requested names and addresses of a described class of members); </w:t>
      </w:r>
      <w:r w:rsidRPr="00310038">
        <w:rPr>
          <w:rFonts w:asciiTheme="minorHAnsi" w:hAnsiTheme="minorHAnsi" w:cstheme="minorHAnsi"/>
          <w:i/>
          <w:sz w:val="16"/>
          <w:szCs w:val="16"/>
        </w:rPr>
        <w:t xml:space="preserve">but see </w:t>
      </w:r>
      <w:hyperlink r:id="rId96" w:history="1">
        <w:r w:rsidRPr="00310038">
          <w:rPr>
            <w:rStyle w:val="Hyperlink"/>
            <w:rFonts w:asciiTheme="minorHAnsi" w:hAnsiTheme="minorHAnsi" w:cstheme="minorHAnsi"/>
            <w:i/>
            <w:sz w:val="16"/>
            <w:szCs w:val="16"/>
          </w:rPr>
          <w:t>Diebert v. Lafferty</w:t>
        </w:r>
      </w:hyperlink>
      <w:r w:rsidRPr="00310038">
        <w:rPr>
          <w:rFonts w:asciiTheme="minorHAnsi" w:hAnsiTheme="minorHAnsi" w:cstheme="minorHAnsi"/>
          <w:i/>
          <w:sz w:val="16"/>
          <w:szCs w:val="16"/>
        </w:rPr>
        <w:t xml:space="preserve">, </w:t>
      </w:r>
      <w:r w:rsidRPr="00310038">
        <w:rPr>
          <w:rFonts w:asciiTheme="minorHAnsi" w:hAnsiTheme="minorHAnsi" w:cstheme="minorHAnsi"/>
          <w:sz w:val="16"/>
          <w:szCs w:val="16"/>
        </w:rPr>
        <w:t>Ct. of Cl. No. 2021-00699PQ, 2022-Ohio-2919, ¶ 29 (rejecting the public office’s argument that to comply with the public records request would mean the Village would have to purchase new software because the public office is under a statutory duty to organize and employ its staff in a way that makes public records available for inspection and to provide copies within a reasonable time).</w:t>
      </w:r>
      <w:r w:rsidR="00310038" w:rsidRPr="00310038">
        <w:rPr>
          <w:rFonts w:asciiTheme="minorHAnsi" w:hAnsiTheme="minorHAnsi" w:cstheme="minorHAnsi"/>
          <w:sz w:val="16"/>
          <w:szCs w:val="16"/>
        </w:rPr>
        <w:t xml:space="preserve">  </w:t>
      </w:r>
      <w:r w:rsidR="00310038" w:rsidRPr="00310038">
        <w:rPr>
          <w:sz w:val="16"/>
          <w:szCs w:val="16"/>
        </w:rPr>
        <w:t xml:space="preserve">A public office, however, is not required to give requesters direct access to electronic databases to inspect records. </w:t>
      </w:r>
      <w:hyperlink r:id="rId97" w:history="1">
        <w:r w:rsidR="00310038" w:rsidRPr="00310038">
          <w:rPr>
            <w:rStyle w:val="Hyperlink"/>
            <w:rFonts w:asciiTheme="minorHAnsi" w:hAnsiTheme="minorHAnsi" w:cstheme="minorHAnsi"/>
            <w:i/>
            <w:iCs/>
            <w:sz w:val="16"/>
            <w:szCs w:val="16"/>
          </w:rPr>
          <w:t>State ex rel. Gilreath v. Cuyahoga Job &amp; Family Servs</w:t>
        </w:r>
        <w:r w:rsidR="00310038" w:rsidRPr="00310038">
          <w:rPr>
            <w:rStyle w:val="Hyperlink"/>
            <w:rFonts w:asciiTheme="minorHAnsi" w:hAnsiTheme="minorHAnsi" w:cstheme="minorHAnsi"/>
            <w:sz w:val="16"/>
            <w:szCs w:val="16"/>
          </w:rPr>
          <w:t>.</w:t>
        </w:r>
      </w:hyperlink>
      <w:r w:rsidR="00310038" w:rsidRPr="00310038">
        <w:rPr>
          <w:rFonts w:asciiTheme="minorHAnsi" w:hAnsiTheme="minorHAnsi" w:cstheme="minorHAnsi"/>
          <w:sz w:val="16"/>
          <w:szCs w:val="16"/>
        </w:rPr>
        <w:t>, S. Ct. No, 2022-0824, 2024-Ohio-103, ¶ 21.</w:t>
      </w:r>
    </w:p>
  </w:endnote>
  <w:endnote w:id="53">
    <w:p w14:paraId="72E916BB" w14:textId="320E22C6" w:rsidR="00DA4FDD" w:rsidRPr="00C3377D" w:rsidRDefault="00DA4FDD" w:rsidP="00310038">
      <w:pPr>
        <w:pStyle w:val="EndnoteText"/>
        <w:spacing w:line="160" w:lineRule="exact"/>
        <w:jc w:val="both"/>
        <w:rPr>
          <w:rFonts w:asciiTheme="minorHAnsi" w:hAnsiTheme="minorHAnsi" w:cstheme="minorHAnsi"/>
          <w:sz w:val="16"/>
          <w:szCs w:val="16"/>
        </w:rPr>
      </w:pPr>
      <w:r w:rsidRPr="00310038">
        <w:rPr>
          <w:rStyle w:val="EndnoteReference"/>
          <w:rFonts w:asciiTheme="minorHAnsi" w:hAnsiTheme="minorHAnsi" w:cstheme="minorHAnsi"/>
          <w:sz w:val="16"/>
          <w:szCs w:val="16"/>
        </w:rPr>
        <w:endnoteRef/>
      </w:r>
      <w:r w:rsidRPr="00310038">
        <w:rPr>
          <w:rFonts w:asciiTheme="minorHAnsi" w:hAnsiTheme="minorHAnsi" w:cstheme="minorHAnsi"/>
          <w:sz w:val="16"/>
          <w:szCs w:val="16"/>
        </w:rPr>
        <w:t xml:space="preserve"> </w:t>
      </w:r>
      <w:hyperlink r:id="rId98" w:history="1">
        <w:r w:rsidRPr="00310038">
          <w:rPr>
            <w:rStyle w:val="Hyperlink"/>
            <w:rFonts w:asciiTheme="minorHAnsi" w:hAnsiTheme="minorHAnsi" w:cstheme="minorHAnsi"/>
            <w:i/>
            <w:iCs/>
            <w:sz w:val="16"/>
            <w:szCs w:val="16"/>
          </w:rPr>
          <w:t>State ex rel. McCaffrey v. Mahoning County Prosecutor’s Office</w:t>
        </w:r>
      </w:hyperlink>
      <w:r w:rsidRPr="00310038">
        <w:rPr>
          <w:rFonts w:asciiTheme="minorHAnsi" w:hAnsiTheme="minorHAnsi" w:cstheme="minorHAnsi"/>
          <w:sz w:val="16"/>
          <w:szCs w:val="16"/>
        </w:rPr>
        <w:t>, 133 Ohio St.3d 139, 2012-Ohio-4246, ¶ 19, quoting Black’s Law Dictionary 1080 (9th Ed. 2009).</w:t>
      </w:r>
    </w:p>
  </w:endnote>
  <w:endnote w:id="54">
    <w:p w14:paraId="27F34101" w14:textId="66F32268" w:rsidR="00DA4FDD" w:rsidRPr="00C3377D" w:rsidRDefault="00DA4FDD"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99" w:history="1">
        <w:r w:rsidR="001A4694" w:rsidRPr="00C3377D">
          <w:rPr>
            <w:rStyle w:val="Hyperlink"/>
            <w:rFonts w:asciiTheme="minorHAnsi" w:hAnsiTheme="minorHAnsi" w:cstheme="minorHAnsi"/>
            <w:i/>
            <w:iCs/>
            <w:sz w:val="16"/>
            <w:szCs w:val="16"/>
          </w:rPr>
          <w:t>Parks v. Webb</w:t>
        </w:r>
      </w:hyperlink>
      <w:r w:rsidR="001A4694" w:rsidRPr="00C3377D">
        <w:rPr>
          <w:rFonts w:asciiTheme="minorHAnsi" w:hAnsiTheme="minorHAnsi" w:cstheme="minorHAnsi"/>
          <w:sz w:val="16"/>
          <w:szCs w:val="16"/>
        </w:rPr>
        <w:t>, Ct. of Cl. No. 2017-00995PQ, 2018-Ohio-1578, ¶ 13.</w:t>
      </w:r>
    </w:p>
  </w:endnote>
  <w:endnote w:id="55">
    <w:p w14:paraId="5B881E53" w14:textId="184641E6"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iCs/>
          <w:sz w:val="16"/>
          <w:szCs w:val="16"/>
        </w:rPr>
        <w:t>See.</w:t>
      </w:r>
      <w:r w:rsidR="00855F4E" w:rsidRPr="00C3377D">
        <w:rPr>
          <w:rFonts w:asciiTheme="minorHAnsi" w:hAnsiTheme="minorHAnsi" w:cstheme="minorHAnsi"/>
          <w:i/>
          <w:iCs/>
          <w:sz w:val="16"/>
          <w:szCs w:val="16"/>
        </w:rPr>
        <w:t xml:space="preserve">, </w:t>
      </w:r>
      <w:r w:rsidRPr="00C3377D">
        <w:rPr>
          <w:rFonts w:asciiTheme="minorHAnsi" w:hAnsiTheme="minorHAnsi" w:cstheme="minorHAnsi"/>
          <w:i/>
          <w:iCs/>
          <w:sz w:val="16"/>
          <w:szCs w:val="16"/>
        </w:rPr>
        <w:t>e.g.</w:t>
      </w:r>
      <w:r w:rsidR="00855F4E" w:rsidRPr="00C3377D">
        <w:rPr>
          <w:rFonts w:asciiTheme="minorHAnsi" w:hAnsiTheme="minorHAnsi" w:cstheme="minorHAnsi"/>
          <w:i/>
          <w:iCs/>
          <w:sz w:val="16"/>
          <w:szCs w:val="16"/>
        </w:rPr>
        <w:t>,</w:t>
      </w:r>
      <w:r w:rsidRPr="00C3377D">
        <w:rPr>
          <w:rFonts w:asciiTheme="minorHAnsi" w:hAnsiTheme="minorHAnsi" w:cstheme="minorHAnsi"/>
          <w:i/>
          <w:iCs/>
          <w:sz w:val="16"/>
          <w:szCs w:val="16"/>
        </w:rPr>
        <w:t xml:space="preserve"> </w:t>
      </w:r>
      <w:hyperlink r:id="rId100" w:history="1">
        <w:r w:rsidRPr="00C3377D">
          <w:rPr>
            <w:rStyle w:val="Hyperlink"/>
            <w:rFonts w:asciiTheme="minorHAnsi" w:hAnsiTheme="minorHAnsi" w:cstheme="minorHAnsi"/>
            <w:i/>
            <w:iCs/>
            <w:sz w:val="16"/>
            <w:szCs w:val="16"/>
          </w:rPr>
          <w:t xml:space="preserve">Morrison v. Law Dir. </w:t>
        </w:r>
        <w:r w:rsidR="00A62ECD">
          <w:rPr>
            <w:rStyle w:val="Hyperlink"/>
            <w:rFonts w:asciiTheme="minorHAnsi" w:hAnsiTheme="minorHAnsi" w:cstheme="minorHAnsi"/>
            <w:i/>
            <w:iCs/>
            <w:sz w:val="16"/>
            <w:szCs w:val="16"/>
          </w:rPr>
          <w:t>o</w:t>
        </w:r>
        <w:r w:rsidRPr="00C3377D">
          <w:rPr>
            <w:rStyle w:val="Hyperlink"/>
            <w:rFonts w:asciiTheme="minorHAnsi" w:hAnsiTheme="minorHAnsi" w:cstheme="minorHAnsi"/>
            <w:i/>
            <w:iCs/>
            <w:sz w:val="16"/>
            <w:szCs w:val="16"/>
          </w:rPr>
          <w:t>f Mt. Vernon</w:t>
        </w:r>
      </w:hyperlink>
      <w:r w:rsidRPr="00C3377D">
        <w:rPr>
          <w:rFonts w:asciiTheme="minorHAnsi" w:hAnsiTheme="minorHAnsi" w:cstheme="minorHAnsi"/>
          <w:sz w:val="16"/>
          <w:szCs w:val="16"/>
        </w:rPr>
        <w:t>, Ct. of Cl. No. 2022-00023PQ, 2022-Ohio</w:t>
      </w:r>
      <w:r w:rsidR="00A62ECD">
        <w:rPr>
          <w:rFonts w:asciiTheme="minorHAnsi" w:hAnsiTheme="minorHAnsi" w:cstheme="minorHAnsi"/>
          <w:sz w:val="16"/>
          <w:szCs w:val="16"/>
        </w:rPr>
        <w:t>-</w:t>
      </w:r>
      <w:r w:rsidRPr="00C3377D">
        <w:rPr>
          <w:rFonts w:asciiTheme="minorHAnsi" w:hAnsiTheme="minorHAnsi" w:cstheme="minorHAnsi"/>
          <w:sz w:val="16"/>
          <w:szCs w:val="16"/>
        </w:rPr>
        <w:t>1617, ¶ 7.</w:t>
      </w:r>
    </w:p>
  </w:endnote>
  <w:endnote w:id="56">
    <w:p w14:paraId="17BE0B99" w14:textId="314A57E2"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1" w:history="1">
        <w:r w:rsidRPr="00C3377D">
          <w:rPr>
            <w:rStyle w:val="Hyperlink"/>
            <w:rFonts w:asciiTheme="minorHAnsi" w:hAnsiTheme="minorHAnsi" w:cstheme="minorHAnsi"/>
            <w:i/>
            <w:iCs/>
            <w:sz w:val="16"/>
            <w:szCs w:val="16"/>
          </w:rPr>
          <w:t>State ex rel. McCaffrey v. Mahoning County Prosecutor’s Office</w:t>
        </w:r>
      </w:hyperlink>
      <w:r w:rsidRPr="00C3377D">
        <w:rPr>
          <w:rFonts w:asciiTheme="minorHAnsi" w:hAnsiTheme="minorHAnsi" w:cstheme="minorHAnsi"/>
          <w:sz w:val="16"/>
          <w:szCs w:val="16"/>
        </w:rPr>
        <w:t>, 133 Ohio St.3d 139, 145, 2012-Ohio-4246, ¶ 19-21</w:t>
      </w:r>
      <w:r w:rsidR="00855F4E" w:rsidRPr="00C3377D">
        <w:rPr>
          <w:rFonts w:asciiTheme="minorHAnsi" w:hAnsiTheme="minorHAnsi" w:cstheme="minorHAnsi"/>
          <w:sz w:val="16"/>
          <w:szCs w:val="16"/>
        </w:rPr>
        <w:t>.</w:t>
      </w:r>
    </w:p>
  </w:endnote>
  <w:endnote w:id="57">
    <w:p w14:paraId="256D35AB" w14:textId="69CADA64"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2" w:history="1">
        <w:r w:rsidRPr="00C3377D">
          <w:rPr>
            <w:rStyle w:val="Hyperlink"/>
            <w:rFonts w:asciiTheme="minorHAnsi" w:hAnsiTheme="minorHAnsi" w:cstheme="minorHAnsi"/>
            <w:i/>
            <w:iCs/>
            <w:sz w:val="16"/>
            <w:szCs w:val="16"/>
          </w:rPr>
          <w:t>Parks v. Webb</w:t>
        </w:r>
      </w:hyperlink>
      <w:r w:rsidRPr="00C3377D">
        <w:rPr>
          <w:rFonts w:asciiTheme="minorHAnsi" w:hAnsiTheme="minorHAnsi" w:cstheme="minorHAnsi"/>
          <w:sz w:val="16"/>
          <w:szCs w:val="16"/>
        </w:rPr>
        <w:t xml:space="preserve">, Ct. of </w:t>
      </w:r>
      <w:r w:rsidR="000D5DA6" w:rsidRPr="00C3377D">
        <w:rPr>
          <w:rFonts w:asciiTheme="minorHAnsi" w:hAnsiTheme="minorHAnsi" w:cstheme="minorHAnsi"/>
          <w:sz w:val="16"/>
          <w:szCs w:val="16"/>
        </w:rPr>
        <w:t>C</w:t>
      </w:r>
      <w:r w:rsidRPr="00C3377D">
        <w:rPr>
          <w:rFonts w:asciiTheme="minorHAnsi" w:hAnsiTheme="minorHAnsi" w:cstheme="minorHAnsi"/>
          <w:sz w:val="16"/>
          <w:szCs w:val="16"/>
        </w:rPr>
        <w:t>l. No. 2017-00995PQ, 2018-Ohio-1578, ¶ 14-17.</w:t>
      </w:r>
    </w:p>
  </w:endnote>
  <w:endnote w:id="58">
    <w:p w14:paraId="4489D663" w14:textId="2C1F32E2" w:rsidR="001A4694" w:rsidRPr="00C3377D" w:rsidRDefault="001A4694"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871EBF">
        <w:t xml:space="preserve"> </w:t>
      </w:r>
      <w:hyperlink r:id="rId103" w:history="1">
        <w:r w:rsidRPr="00C3377D">
          <w:rPr>
            <w:rStyle w:val="Hyperlink"/>
            <w:rFonts w:asciiTheme="minorHAnsi" w:hAnsiTheme="minorHAnsi" w:cstheme="minorHAnsi"/>
            <w:i/>
            <w:iCs/>
            <w:sz w:val="16"/>
            <w:szCs w:val="16"/>
          </w:rPr>
          <w:t>Bello v. Ohio Dept</w:t>
        </w:r>
        <w:r w:rsidR="00855F4E" w:rsidRPr="00C3377D">
          <w:rPr>
            <w:rStyle w:val="Hyperlink"/>
            <w:rFonts w:asciiTheme="minorHAnsi" w:hAnsiTheme="minorHAnsi" w:cstheme="minorHAnsi"/>
            <w:i/>
            <w:iCs/>
            <w:sz w:val="16"/>
            <w:szCs w:val="16"/>
          </w:rPr>
          <w:t>.</w:t>
        </w:r>
        <w:r w:rsidRPr="00C3377D">
          <w:rPr>
            <w:rStyle w:val="Hyperlink"/>
            <w:rFonts w:asciiTheme="minorHAnsi" w:hAnsiTheme="minorHAnsi" w:cstheme="minorHAnsi"/>
            <w:i/>
            <w:iCs/>
            <w:sz w:val="16"/>
            <w:szCs w:val="16"/>
          </w:rPr>
          <w:t xml:space="preserve"> of Rehab. &amp; Corr</w:t>
        </w:r>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Ct. of Cl. No. 2020-00129PQ, 2020-Ohio-4559, ¶ 9.</w:t>
      </w:r>
    </w:p>
  </w:endnote>
  <w:endnote w:id="59">
    <w:p w14:paraId="7A1DAAED" w14:textId="381585A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4" w:history="1">
        <w:r w:rsidRPr="00C3377D">
          <w:rPr>
            <w:rStyle w:val="Hyperlink"/>
            <w:rFonts w:asciiTheme="minorHAnsi" w:hAnsiTheme="minorHAnsi" w:cstheme="minorHAnsi"/>
            <w:i/>
            <w:sz w:val="16"/>
            <w:szCs w:val="16"/>
          </w:rPr>
          <w:t xml:space="preserve">State ex rel. Hubbard v. </w:t>
        </w:r>
        <w:r w:rsidRPr="00C3377D">
          <w:rPr>
            <w:rStyle w:val="Hyperlink"/>
            <w:rFonts w:asciiTheme="minorHAnsi" w:hAnsiTheme="minorHAnsi" w:cstheme="minorHAnsi"/>
            <w:i/>
            <w:sz w:val="16"/>
            <w:szCs w:val="16"/>
          </w:rPr>
          <w:t>Fuerst</w:t>
        </w:r>
      </w:hyperlink>
      <w:r w:rsidRPr="00C3377D">
        <w:rPr>
          <w:rFonts w:asciiTheme="minorHAnsi" w:hAnsiTheme="minorHAnsi" w:cstheme="minorHAnsi"/>
          <w:sz w:val="16"/>
          <w:szCs w:val="16"/>
        </w:rPr>
        <w:t>, 8th Dist. Cuyahoga No. 94799, 2010-Ohio-2489 (</w:t>
      </w:r>
      <w:r w:rsidR="00612B91" w:rsidRPr="00C3377D">
        <w:rPr>
          <w:rFonts w:asciiTheme="minorHAnsi" w:hAnsiTheme="minorHAnsi" w:cstheme="minorHAnsi"/>
          <w:sz w:val="16"/>
          <w:szCs w:val="16"/>
        </w:rPr>
        <w:t xml:space="preserve">records </w:t>
      </w:r>
      <w:r w:rsidRPr="00C3377D">
        <w:rPr>
          <w:rFonts w:asciiTheme="minorHAnsi" w:hAnsiTheme="minorHAnsi" w:cstheme="minorHAnsi"/>
          <w:sz w:val="16"/>
          <w:szCs w:val="16"/>
        </w:rPr>
        <w:t xml:space="preserve">custodian </w:t>
      </w:r>
      <w:r w:rsidR="00612B91" w:rsidRPr="00C3377D">
        <w:rPr>
          <w:rFonts w:asciiTheme="minorHAnsi" w:hAnsiTheme="minorHAnsi" w:cstheme="minorHAnsi"/>
          <w:sz w:val="16"/>
          <w:szCs w:val="16"/>
        </w:rPr>
        <w:t xml:space="preserve">not required </w:t>
      </w:r>
      <w:r w:rsidRPr="00C3377D">
        <w:rPr>
          <w:rFonts w:asciiTheme="minorHAnsi" w:hAnsiTheme="minorHAnsi" w:cstheme="minorHAnsi"/>
          <w:sz w:val="16"/>
          <w:szCs w:val="16"/>
        </w:rPr>
        <w:t xml:space="preserve">to furnish records not in his possession or control); </w:t>
      </w:r>
      <w:hyperlink r:id="rId105" w:history="1">
        <w:r w:rsidRPr="00C3377D">
          <w:rPr>
            <w:rStyle w:val="Hyperlink"/>
            <w:rFonts w:asciiTheme="minorHAnsi" w:hAnsiTheme="minorHAnsi" w:cstheme="minorHAnsi"/>
            <w:i/>
            <w:sz w:val="16"/>
            <w:szCs w:val="16"/>
          </w:rPr>
          <w:t>State ex rel. Cordell v. Paden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156 Ohio St.3d 394, 2019-Ohio-1216, ¶ 9-10 (no duty to provide access to nonexistent records); </w:t>
      </w:r>
      <w:hyperlink r:id="rId106" w:history="1">
        <w:r w:rsidRPr="00C3377D">
          <w:rPr>
            <w:rStyle w:val="Hyperlink"/>
            <w:rFonts w:asciiTheme="minorHAnsi" w:hAnsiTheme="minorHAnsi" w:cstheme="minorHAnsi"/>
            <w:i/>
            <w:sz w:val="16"/>
            <w:szCs w:val="16"/>
          </w:rPr>
          <w:t>S</w:t>
        </w:r>
        <w:r w:rsidR="00A62ECD">
          <w:rPr>
            <w:rStyle w:val="Hyperlink"/>
            <w:rFonts w:asciiTheme="minorHAnsi" w:hAnsiTheme="minorHAnsi" w:cstheme="minorHAnsi"/>
            <w:i/>
            <w:sz w:val="16"/>
            <w:szCs w:val="16"/>
          </w:rPr>
          <w:t>tate ex rel. S</w:t>
        </w:r>
        <w:r w:rsidRPr="00C3377D">
          <w:rPr>
            <w:rStyle w:val="Hyperlink"/>
            <w:rFonts w:asciiTheme="minorHAnsi" w:hAnsiTheme="minorHAnsi" w:cstheme="minorHAnsi"/>
            <w:i/>
            <w:sz w:val="16"/>
            <w:szCs w:val="16"/>
          </w:rPr>
          <w:t>inclair Media v. City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2018-01357PQ, 2019-Ohio-2623, ¶ 16 (text messages kept on city councilmembers’ personal and privately-paid-for-devices were “kept by” the public office for purposes of responding to public records request because they were used to conduct public business). </w:t>
      </w:r>
    </w:p>
  </w:endnote>
  <w:endnote w:id="60">
    <w:p w14:paraId="5F3344BA" w14:textId="161E917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7"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16 (in responding to request for copies of maps and aerial photographs, a county engineer’s office has no duty to create requested records because the public office generates such records by inputting search terms into program).</w:t>
      </w:r>
    </w:p>
  </w:endnote>
  <w:endnote w:id="61">
    <w:p w14:paraId="4CE06C82" w14:textId="212D591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08" w:history="1">
        <w:r w:rsidRPr="00C3377D">
          <w:rPr>
            <w:rStyle w:val="Hyperlink"/>
            <w:rFonts w:asciiTheme="minorHAnsi" w:hAnsiTheme="minorHAnsi" w:cstheme="minorHAnsi"/>
            <w:i/>
            <w:sz w:val="16"/>
            <w:szCs w:val="16"/>
          </w:rPr>
          <w:t>State ex rel. Striker v. Smith</w:t>
        </w:r>
      </w:hyperlink>
      <w:r w:rsidRPr="00C3377D">
        <w:rPr>
          <w:rFonts w:asciiTheme="minorHAnsi" w:hAnsiTheme="minorHAnsi" w:cstheme="minorHAnsi"/>
          <w:sz w:val="16"/>
          <w:szCs w:val="16"/>
        </w:rPr>
        <w:t xml:space="preserve">, 129 Ohio St.3d 168, 2011-Ohio-2878, ¶ 28; </w:t>
      </w:r>
      <w:hyperlink r:id="rId109"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Sinkfield v. Rocco</w:t>
        </w:r>
      </w:hyperlink>
      <w:r w:rsidRPr="00C3377D">
        <w:rPr>
          <w:rFonts w:asciiTheme="minorHAnsi" w:hAnsiTheme="minorHAnsi" w:cstheme="minorHAnsi"/>
          <w:sz w:val="16"/>
          <w:szCs w:val="16"/>
        </w:rPr>
        <w:t>, 8th Dist. Cuyahoga No. 101579, 2014-Ohio-5555, ¶ 6-7.</w:t>
      </w:r>
    </w:p>
  </w:endnote>
  <w:endnote w:id="62">
    <w:p w14:paraId="58AFA85E" w14:textId="2F771F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0" w:history="1">
        <w:r w:rsidRPr="00C3377D">
          <w:rPr>
            <w:rStyle w:val="Hyperlink"/>
            <w:rFonts w:asciiTheme="minorHAnsi" w:hAnsiTheme="minorHAnsi" w:cstheme="minorHAnsi"/>
            <w:i/>
            <w:sz w:val="16"/>
            <w:szCs w:val="16"/>
          </w:rPr>
          <w:t xml:space="preserve">State ex rel. Toledo Blade Co. v. Seneca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120 Ohio St.3d 372, 2008-Ohio-6253, ¶ 21-23.</w:t>
      </w:r>
    </w:p>
  </w:endnote>
  <w:endnote w:id="63">
    <w:p w14:paraId="65DB02A0" w14:textId="363E83C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1" w:history="1">
        <w:r w:rsidRPr="00C3377D">
          <w:rPr>
            <w:rStyle w:val="Hyperlink"/>
            <w:rFonts w:asciiTheme="minorHAnsi" w:hAnsiTheme="minorHAnsi" w:cstheme="minorHAnsi"/>
            <w:i/>
            <w:sz w:val="16"/>
            <w:szCs w:val="16"/>
          </w:rPr>
          <w:t xml:space="preserve">State ex rel. Cincinnati Enquirer v. Cincinnati Bd. of </w:t>
        </w:r>
        <w:r w:rsidRPr="00C3377D">
          <w:rPr>
            <w:rStyle w:val="Hyperlink"/>
            <w:rFonts w:asciiTheme="minorHAnsi" w:hAnsiTheme="minorHAnsi" w:cstheme="minorHAnsi"/>
            <w:i/>
            <w:sz w:val="16"/>
            <w:szCs w:val="16"/>
          </w:rPr>
          <w:t>Edn.</w:t>
        </w:r>
      </w:hyperlink>
      <w:r w:rsidRPr="00C3377D">
        <w:rPr>
          <w:rFonts w:asciiTheme="minorHAnsi" w:hAnsiTheme="minorHAnsi" w:cstheme="minorHAnsi"/>
          <w:sz w:val="16"/>
          <w:szCs w:val="16"/>
        </w:rPr>
        <w:t xml:space="preserve">, 99 Ohio St.3d 6, 2003-Ohio-2260, ¶ 12 (materials related to superintendent search not “public records” when neither board nor search agency kept such materials); </w:t>
      </w:r>
      <w:hyperlink r:id="rId112" w:history="1">
        <w:r w:rsidRPr="00C3377D">
          <w:rPr>
            <w:rStyle w:val="Hyperlink"/>
            <w:rFonts w:asciiTheme="minorHAnsi" w:hAnsiTheme="minorHAnsi" w:cstheme="minorHAnsi"/>
            <w:i/>
            <w:sz w:val="16"/>
            <w:szCs w:val="16"/>
          </w:rPr>
          <w:t>State ex rel. Johnson v. Oberlin City School Dist. Bd. of Edn.</w:t>
        </w:r>
      </w:hyperlink>
      <w:r w:rsidRPr="00C3377D">
        <w:rPr>
          <w:rFonts w:asciiTheme="minorHAnsi" w:hAnsiTheme="minorHAnsi" w:cstheme="minorHAnsi"/>
          <w:sz w:val="16"/>
          <w:szCs w:val="16"/>
        </w:rPr>
        <w:t>, 9th Dist. Lorain No. 08CA009517, 2009-Ohio-3526 ( individual evaluations used by board president to prepare a composite evaluation but not kept thereafter were not “public records”).</w:t>
      </w:r>
    </w:p>
  </w:endnote>
  <w:endnote w:id="64">
    <w:p w14:paraId="1E00A438" w14:textId="11D4293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3" w:history="1">
        <w:r w:rsidRPr="00C3377D">
          <w:rPr>
            <w:rStyle w:val="Hyperlink"/>
            <w:rFonts w:asciiTheme="minorHAnsi" w:hAnsiTheme="minorHAnsi" w:cstheme="minorHAnsi"/>
            <w:i/>
            <w:sz w:val="16"/>
            <w:szCs w:val="16"/>
          </w:rPr>
          <w:t xml:space="preserve">State ex rel. Toledo Blade Co. v. Seneca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120 Ohio St.3d 372, 2008-Ohio-6253, ¶ 28.</w:t>
      </w:r>
    </w:p>
  </w:endnote>
  <w:endnote w:id="65">
    <w:p w14:paraId="3D968055" w14:textId="0575D2DD" w:rsidR="009E6AD6" w:rsidRPr="00C3377D" w:rsidRDefault="009E6AD6"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4" w:history="1">
        <w:r w:rsidRPr="00C3377D">
          <w:rPr>
            <w:rStyle w:val="Hyperlink"/>
            <w:rFonts w:asciiTheme="minorHAnsi" w:hAnsiTheme="minorHAnsi" w:cstheme="minorHAnsi"/>
            <w:i/>
            <w:iCs/>
            <w:sz w:val="16"/>
            <w:szCs w:val="16"/>
          </w:rPr>
          <w:t xml:space="preserve">State ex rel. Fluty v. </w:t>
        </w:r>
        <w:r w:rsidRPr="00C3377D">
          <w:rPr>
            <w:rStyle w:val="Hyperlink"/>
            <w:rFonts w:asciiTheme="minorHAnsi" w:hAnsiTheme="minorHAnsi" w:cstheme="minorHAnsi"/>
            <w:i/>
            <w:iCs/>
            <w:sz w:val="16"/>
            <w:szCs w:val="16"/>
          </w:rPr>
          <w:t>Raiff</w:t>
        </w:r>
      </w:hyperlink>
      <w:r w:rsidRPr="00C3377D">
        <w:rPr>
          <w:rFonts w:asciiTheme="minorHAnsi" w:hAnsiTheme="minorHAnsi" w:cstheme="minorHAnsi"/>
          <w:i/>
          <w:iCs/>
          <w:sz w:val="16"/>
          <w:szCs w:val="16"/>
        </w:rPr>
        <w:t>,</w:t>
      </w:r>
      <w:r w:rsidRPr="00C3377D">
        <w:rPr>
          <w:rFonts w:asciiTheme="minorHAnsi" w:hAnsiTheme="minorHAnsi" w:cstheme="minorHAnsi"/>
          <w:sz w:val="16"/>
          <w:szCs w:val="16"/>
        </w:rPr>
        <w:t xml:space="preserve"> S. Ct. No. 2021-1250, 2023-Ohio-3285, ¶ 19</w:t>
      </w:r>
      <w:r w:rsidR="00EA3091" w:rsidRPr="00C3377D">
        <w:rPr>
          <w:rFonts w:asciiTheme="minorHAnsi" w:hAnsiTheme="minorHAnsi" w:cstheme="minorHAnsi"/>
          <w:sz w:val="16"/>
          <w:szCs w:val="16"/>
        </w:rPr>
        <w:t>.</w:t>
      </w:r>
    </w:p>
  </w:endnote>
  <w:endnote w:id="66">
    <w:p w14:paraId="53026DDA" w14:textId="40DBDB00"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15" w:history="1">
        <w:r w:rsidRPr="00C3377D">
          <w:rPr>
            <w:rStyle w:val="Hyperlink"/>
            <w:rFonts w:asciiTheme="minorHAnsi" w:hAnsiTheme="minorHAnsi" w:cstheme="minorHAnsi"/>
            <w:sz w:val="16"/>
            <w:szCs w:val="16"/>
          </w:rPr>
          <w:t xml:space="preserve"> </w:t>
        </w:r>
        <w:r w:rsidR="009123C0" w:rsidRPr="00C3377D">
          <w:rPr>
            <w:rStyle w:val="Hyperlink"/>
            <w:rFonts w:asciiTheme="minorHAnsi" w:hAnsiTheme="minorHAnsi" w:cstheme="minorHAnsi"/>
            <w:i/>
            <w:sz w:val="16"/>
            <w:szCs w:val="16"/>
          </w:rPr>
          <w:t>State ex rel. Sinclair Media v. Cincinnati</w:t>
        </w:r>
      </w:hyperlink>
      <w:r w:rsidR="009123C0" w:rsidRPr="00C3377D">
        <w:rPr>
          <w:rFonts w:asciiTheme="minorHAnsi" w:hAnsiTheme="minorHAnsi" w:cstheme="minorHAnsi"/>
          <w:i/>
          <w:sz w:val="16"/>
          <w:szCs w:val="16"/>
        </w:rPr>
        <w:t xml:space="preserve">, </w:t>
      </w:r>
      <w:r w:rsidR="009123C0" w:rsidRPr="00C3377D">
        <w:rPr>
          <w:rFonts w:asciiTheme="minorHAnsi" w:hAnsiTheme="minorHAnsi" w:cstheme="minorHAnsi"/>
          <w:sz w:val="16"/>
          <w:szCs w:val="16"/>
        </w:rPr>
        <w:t>Ct. of Cl. No. 2018PQ-01357PQ, 2019-Ohio-2624.</w:t>
      </w:r>
    </w:p>
  </w:endnote>
  <w:endnote w:id="67">
    <w:p w14:paraId="7080BEEB" w14:textId="313BADD3" w:rsidR="00855F4E" w:rsidRPr="00C3377D" w:rsidRDefault="00855F4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6" w:history="1">
        <w:r w:rsidR="009123C0" w:rsidRPr="00C3377D">
          <w:rPr>
            <w:rStyle w:val="Hyperlink"/>
            <w:rFonts w:asciiTheme="minorHAnsi" w:hAnsiTheme="minorHAnsi" w:cstheme="minorHAnsi"/>
            <w:i/>
            <w:sz w:val="16"/>
            <w:szCs w:val="16"/>
          </w:rPr>
          <w:t>State ex rel. Sinclair Media v. Cincinnati</w:t>
        </w:r>
      </w:hyperlink>
      <w:r w:rsidR="009123C0" w:rsidRPr="00C3377D">
        <w:rPr>
          <w:rFonts w:asciiTheme="minorHAnsi" w:hAnsiTheme="minorHAnsi" w:cstheme="minorHAnsi"/>
          <w:i/>
          <w:sz w:val="16"/>
          <w:szCs w:val="16"/>
        </w:rPr>
        <w:t xml:space="preserve">, </w:t>
      </w:r>
      <w:r w:rsidR="009123C0" w:rsidRPr="00C3377D">
        <w:rPr>
          <w:rFonts w:asciiTheme="minorHAnsi" w:hAnsiTheme="minorHAnsi" w:cstheme="minorHAnsi"/>
          <w:sz w:val="16"/>
          <w:szCs w:val="16"/>
        </w:rPr>
        <w:t>Ct. of Cl. No. 2018PQ-01357PQ, 2019-Ohio-2624, (texts messages on public employees’ personal phones considered “kept by” the public office when content of messages documents the activities of the office).</w:t>
      </w:r>
    </w:p>
  </w:endnote>
  <w:endnote w:id="68">
    <w:p w14:paraId="580AF9EC" w14:textId="7990F465"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17" w:history="1">
        <w:r w:rsidRPr="00C3377D">
          <w:rPr>
            <w:rStyle w:val="Hyperlink"/>
            <w:rFonts w:asciiTheme="minorHAnsi" w:hAnsiTheme="minorHAnsi" w:cstheme="minorHAnsi"/>
            <w:sz w:val="16"/>
            <w:szCs w:val="16"/>
          </w:rPr>
          <w:t>R.C. 149.011(A).</w:t>
        </w:r>
      </w:hyperlink>
      <w:r w:rsidRPr="00C3377D">
        <w:rPr>
          <w:rFonts w:asciiTheme="minorHAnsi" w:hAnsiTheme="minorHAnsi" w:cstheme="minorHAnsi"/>
          <w:sz w:val="16"/>
          <w:szCs w:val="16"/>
        </w:rPr>
        <w:t xml:space="preserve"> To clarify, a function of government need not be a “historically government function.” </w:t>
      </w:r>
      <w:hyperlink r:id="rId118" w:history="1">
        <w:r w:rsidRPr="00C3377D">
          <w:rPr>
            <w:rStyle w:val="Hyperlink"/>
            <w:rFonts w:asciiTheme="minorHAnsi" w:hAnsiTheme="minorHAnsi" w:cstheme="minorHAnsi"/>
            <w:i/>
            <w:iCs/>
            <w:sz w:val="16"/>
            <w:szCs w:val="16"/>
          </w:rPr>
          <w:t xml:space="preserve">State ex rel. Fair </w:t>
        </w:r>
        <w:r w:rsidRPr="00C3377D">
          <w:rPr>
            <w:rStyle w:val="Hyperlink"/>
            <w:rFonts w:asciiTheme="minorHAnsi" w:hAnsiTheme="minorHAnsi" w:cstheme="minorHAnsi"/>
            <w:i/>
            <w:iCs/>
            <w:sz w:val="16"/>
            <w:szCs w:val="16"/>
          </w:rPr>
          <w:t>Hous. Opportunities of Nw. Ohio v. Ohio Fair Plan</w:t>
        </w:r>
      </w:hyperlink>
      <w:r w:rsidRPr="00C3377D">
        <w:rPr>
          <w:rFonts w:asciiTheme="minorHAnsi" w:hAnsiTheme="minorHAnsi" w:cstheme="minorHAnsi"/>
          <w:sz w:val="16"/>
          <w:szCs w:val="16"/>
        </w:rPr>
        <w:t xml:space="preserve">, 172 Ohio St.3d 149, 2023-Ohio-2667, ¶ 17.  JobsOhio, a non-profit corporation formed under </w:t>
      </w:r>
      <w:hyperlink r:id="rId119" w:history="1">
        <w:r w:rsidRPr="00701AA1">
          <w:rPr>
            <w:rStyle w:val="Hyperlink"/>
            <w:rFonts w:asciiTheme="minorHAnsi" w:hAnsiTheme="minorHAnsi" w:cstheme="minorHAnsi"/>
            <w:sz w:val="16"/>
            <w:szCs w:val="16"/>
          </w:rPr>
          <w:t>R.C. 187.01</w:t>
        </w:r>
      </w:hyperlink>
      <w:r w:rsidRPr="00C3377D">
        <w:rPr>
          <w:rFonts w:asciiTheme="minorHAnsi" w:hAnsiTheme="minorHAnsi" w:cstheme="minorHAnsi"/>
          <w:sz w:val="16"/>
          <w:szCs w:val="16"/>
        </w:rPr>
        <w:t xml:space="preserve">, is not a public office for purposes of the Public Records Act, pursuant to </w:t>
      </w:r>
      <w:hyperlink r:id="rId120" w:history="1">
        <w:r w:rsidRPr="00A62ECD">
          <w:rPr>
            <w:rStyle w:val="Hyperlink"/>
            <w:rFonts w:asciiTheme="minorHAnsi" w:hAnsiTheme="minorHAnsi" w:cstheme="minorHAnsi"/>
            <w:sz w:val="16"/>
            <w:szCs w:val="16"/>
          </w:rPr>
          <w:t>R.C. 187.03(A)</w:t>
        </w:r>
      </w:hyperlink>
      <w:r w:rsidRPr="00C3377D">
        <w:rPr>
          <w:rFonts w:asciiTheme="minorHAnsi" w:hAnsiTheme="minorHAnsi" w:cstheme="minorHAnsi"/>
          <w:sz w:val="16"/>
          <w:szCs w:val="16"/>
        </w:rPr>
        <w:t xml:space="preserve"> and </w:t>
      </w:r>
      <w:hyperlink r:id="rId121" w:history="1">
        <w:r w:rsidRPr="00A62ECD">
          <w:rPr>
            <w:rStyle w:val="Hyperlink"/>
            <w:rFonts w:asciiTheme="minorHAnsi" w:hAnsiTheme="minorHAnsi" w:cstheme="minorHAnsi"/>
            <w:sz w:val="16"/>
            <w:szCs w:val="16"/>
          </w:rPr>
          <w:t>R.C. 149.011(A)</w:t>
        </w:r>
      </w:hyperlink>
      <w:r w:rsidRPr="00C3377D">
        <w:rPr>
          <w:rFonts w:asciiTheme="minorHAnsi" w:hAnsiTheme="minorHAnsi" w:cstheme="minorHAnsi"/>
          <w:sz w:val="16"/>
          <w:szCs w:val="16"/>
        </w:rPr>
        <w:t>.</w:t>
      </w:r>
    </w:p>
  </w:endnote>
  <w:endnote w:id="69">
    <w:p w14:paraId="3822B9D6" w14:textId="30D9CB24" w:rsidR="009966FC" w:rsidRPr="00C3377D" w:rsidRDefault="009966FC" w:rsidP="00C3377D">
      <w:pPr>
        <w:pStyle w:val="EndnoteText"/>
        <w:spacing w:line="160" w:lineRule="exact"/>
        <w:jc w:val="both"/>
        <w:rPr>
          <w:rFonts w:asciiTheme="minorHAnsi" w:hAnsiTheme="minorHAnsi" w:cstheme="minorHAnsi"/>
          <w:iCs/>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i/>
          <w:sz w:val="16"/>
          <w:szCs w:val="16"/>
        </w:rPr>
        <w:t xml:space="preserve"> </w:t>
      </w:r>
      <w:hyperlink r:id="rId122" w:history="1">
        <w:r w:rsidR="00315D6F" w:rsidRPr="00007EAB">
          <w:rPr>
            <w:rStyle w:val="Hyperlink"/>
            <w:rFonts w:asciiTheme="minorHAnsi" w:hAnsiTheme="minorHAnsi" w:cstheme="minorHAnsi"/>
            <w:i/>
            <w:iCs/>
            <w:sz w:val="16"/>
            <w:szCs w:val="16"/>
          </w:rPr>
          <w:t xml:space="preserve">State ex rel. Fair </w:t>
        </w:r>
        <w:r w:rsidR="00315D6F" w:rsidRPr="00007EAB">
          <w:rPr>
            <w:rStyle w:val="Hyperlink"/>
            <w:rFonts w:asciiTheme="minorHAnsi" w:hAnsiTheme="minorHAnsi" w:cstheme="minorHAnsi"/>
            <w:i/>
            <w:iCs/>
            <w:sz w:val="16"/>
            <w:szCs w:val="16"/>
          </w:rPr>
          <w:t>Hous. Opportunities of Nw. Ohio v. Ohio Fair Plan</w:t>
        </w:r>
      </w:hyperlink>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172 Ohio St. 3d 149</w:t>
      </w:r>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2023-Ohio-2667</w:t>
      </w:r>
      <w:r w:rsidR="00315D6F">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 </w:t>
      </w:r>
      <w:r w:rsidR="00315D6F"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004F015A">
        <w:rPr>
          <w:rFonts w:asciiTheme="minorHAnsi" w:hAnsiTheme="minorHAnsi" w:cstheme="minorHAnsi"/>
          <w:sz w:val="16"/>
          <w:szCs w:val="16"/>
        </w:rPr>
        <w:t>.</w:t>
      </w:r>
    </w:p>
  </w:endnote>
  <w:endnote w:id="70">
    <w:p w14:paraId="27401E2F" w14:textId="710E1768"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3" w:history="1">
        <w:r w:rsidRPr="00C3377D">
          <w:rPr>
            <w:rStyle w:val="Hyperlink"/>
            <w:rFonts w:asciiTheme="minorHAnsi" w:hAnsiTheme="minorHAnsi" w:cstheme="minorHAnsi"/>
            <w:i/>
            <w:sz w:val="16"/>
            <w:szCs w:val="16"/>
          </w:rPr>
          <w:t>State ex rel. ACLU</w:t>
        </w:r>
      </w:hyperlink>
      <w:r w:rsidRPr="00C3377D">
        <w:rPr>
          <w:rStyle w:val="Hyperlink"/>
          <w:rFonts w:asciiTheme="minorHAnsi" w:hAnsiTheme="minorHAnsi" w:cstheme="minorHAnsi"/>
          <w:i/>
          <w:sz w:val="16"/>
          <w:szCs w:val="16"/>
        </w:rPr>
        <w:t xml:space="preserve"> of Ohio v. Cuyahoga </w:t>
      </w:r>
      <w:r w:rsidRPr="00C3377D">
        <w:rPr>
          <w:rStyle w:val="Hyperlink"/>
          <w:rFonts w:asciiTheme="minorHAnsi" w:hAnsiTheme="minorHAnsi" w:cstheme="minorHAnsi"/>
          <w:i/>
          <w:sz w:val="16"/>
          <w:szCs w:val="16"/>
        </w:rPr>
        <w:t>Cty. Bd. of Commrs.</w:t>
      </w:r>
      <w:r w:rsidRPr="00C3377D">
        <w:rPr>
          <w:rFonts w:asciiTheme="minorHAnsi" w:hAnsiTheme="minorHAnsi" w:cstheme="minorHAnsi"/>
          <w:sz w:val="16"/>
          <w:szCs w:val="16"/>
        </w:rPr>
        <w:t>, 128 Ohio St.3d 256, 2011-Ohio-625, ¶ 35-38.</w:t>
      </w:r>
    </w:p>
  </w:endnote>
  <w:endnote w:id="71">
    <w:p w14:paraId="61D2C9F0" w14:textId="5A1E33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i/>
          <w:sz w:val="16"/>
          <w:szCs w:val="16"/>
        </w:rPr>
        <w:t xml:space="preserve"> </w:t>
      </w:r>
      <w:hyperlink r:id="rId124"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Schiffbauer v. Banaszak</w:t>
        </w:r>
      </w:hyperlink>
      <w:r w:rsidRPr="00C3377D">
        <w:rPr>
          <w:rFonts w:asciiTheme="minorHAnsi" w:hAnsiTheme="minorHAnsi" w:cstheme="minorHAnsi"/>
          <w:sz w:val="16"/>
          <w:szCs w:val="16"/>
        </w:rPr>
        <w:t>, 142 Ohio St.3d 535, 2015-Ohio-1854, ¶ 12 (holding that the Otterbein University police department is a public office because it “is performing a function that is historically a government function”).</w:t>
      </w:r>
    </w:p>
  </w:endnote>
  <w:endnote w:id="72">
    <w:p w14:paraId="6E99E65C" w14:textId="1E6BCC8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5"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xml:space="preserve">, 110 Ohio St.3d 456, 2006-Ohio-4854.  Similar private entities today should be evaluated based on the functional-equivalency test adopted in </w:t>
      </w:r>
      <w:r w:rsidRPr="00C3377D">
        <w:rPr>
          <w:rFonts w:asciiTheme="minorHAnsi" w:hAnsiTheme="minorHAnsi" w:cstheme="minorHAnsi"/>
          <w:i/>
          <w:sz w:val="16"/>
          <w:szCs w:val="16"/>
        </w:rPr>
        <w:t>Oriana House</w:t>
      </w:r>
      <w:r w:rsidRPr="00C3377D">
        <w:rPr>
          <w:rFonts w:asciiTheme="minorHAnsi" w:hAnsiTheme="minorHAnsi" w:cstheme="minorHAnsi"/>
          <w:sz w:val="16"/>
          <w:szCs w:val="16"/>
        </w:rPr>
        <w:t>.</w:t>
      </w:r>
    </w:p>
  </w:endnote>
  <w:endnote w:id="73">
    <w:p w14:paraId="21274006" w14:textId="053C637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6" w:history="1">
        <w:r w:rsidRPr="00C3377D">
          <w:rPr>
            <w:rStyle w:val="Hyperlink"/>
            <w:rFonts w:asciiTheme="minorHAnsi" w:hAnsiTheme="minorHAnsi" w:cstheme="minorHAnsi"/>
            <w:i/>
            <w:sz w:val="16"/>
            <w:szCs w:val="16"/>
          </w:rPr>
          <w:t xml:space="preserve">State ex rel. Dist. 1199, Health Care &amp; Social Serv. Union v. Lawrence </w:t>
        </w:r>
        <w:r w:rsidRPr="00C3377D">
          <w:rPr>
            <w:rStyle w:val="Hyperlink"/>
            <w:rFonts w:asciiTheme="minorHAnsi" w:hAnsiTheme="minorHAnsi" w:cstheme="minorHAnsi"/>
            <w:i/>
            <w:sz w:val="16"/>
            <w:szCs w:val="16"/>
          </w:rPr>
          <w:t>Cty. Gen. Hosp.</w:t>
        </w:r>
      </w:hyperlink>
      <w:r w:rsidRPr="00C3377D">
        <w:rPr>
          <w:rFonts w:asciiTheme="minorHAnsi" w:hAnsiTheme="minorHAnsi" w:cstheme="minorHAnsi"/>
          <w:sz w:val="16"/>
          <w:szCs w:val="16"/>
        </w:rPr>
        <w:t xml:space="preserve">, 83 Ohio St.3d 351, 1998-Ohio-0049 (1998).  </w:t>
      </w:r>
      <w:r w:rsidRPr="00C3377D">
        <w:rPr>
          <w:rFonts w:asciiTheme="minorHAnsi" w:hAnsiTheme="minorHAnsi" w:cstheme="minorHAnsi"/>
          <w:i/>
          <w:sz w:val="16"/>
          <w:szCs w:val="16"/>
        </w:rPr>
        <w:t xml:space="preserve">But see </w:t>
      </w:r>
      <w:hyperlink r:id="rId127" w:history="1">
        <w:r w:rsidRPr="00C3377D">
          <w:rPr>
            <w:rStyle w:val="Hyperlink"/>
            <w:rFonts w:asciiTheme="minorHAnsi" w:hAnsiTheme="minorHAnsi" w:cstheme="minorHAnsi"/>
            <w:i/>
            <w:sz w:val="16"/>
            <w:szCs w:val="16"/>
          </w:rPr>
          <w:t>State ex rel. Stys v. Parma Community Gen. Hosp.</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93 Ohio St.3d 438 (2001) (particular hospital not a “public office”); </w:t>
      </w:r>
      <w:r w:rsidRPr="00C3377D">
        <w:rPr>
          <w:rFonts w:asciiTheme="minorHAnsi" w:hAnsiTheme="minorHAnsi" w:cstheme="minorHAnsi"/>
          <w:i/>
          <w:sz w:val="16"/>
          <w:szCs w:val="16"/>
        </w:rPr>
        <w:t>State ex rel. Farley v. McIntosh</w:t>
      </w:r>
      <w:r w:rsidRPr="00C3377D">
        <w:rPr>
          <w:rFonts w:asciiTheme="minorHAnsi" w:hAnsiTheme="minorHAnsi" w:cstheme="minorHAnsi"/>
          <w:sz w:val="16"/>
          <w:szCs w:val="16"/>
        </w:rPr>
        <w:t>, 134 Ohio App.3d 531 (2d Dist. 1998) (court-appointed psychologist not a “public office”).</w:t>
      </w:r>
    </w:p>
  </w:endnote>
  <w:endnote w:id="74">
    <w:p w14:paraId="79CFEF88"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Toledo Blade Co. v. Economic Opportunity Planning Assn.</w:t>
      </w:r>
      <w:r w:rsidRPr="00C3377D">
        <w:rPr>
          <w:rFonts w:asciiTheme="minorHAnsi" w:hAnsiTheme="minorHAnsi" w:cstheme="minorHAnsi"/>
          <w:sz w:val="16"/>
          <w:szCs w:val="16"/>
        </w:rPr>
        <w:t>, 61 Ohio Misc.2d 631, 582 N.E.2d 59 (Lucas C.P. 1990).</w:t>
      </w:r>
    </w:p>
  </w:endnote>
  <w:endnote w:id="75">
    <w:p w14:paraId="39252DF1"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8" w:history="1">
        <w:r w:rsidRPr="00C3377D">
          <w:rPr>
            <w:rStyle w:val="Hyperlink"/>
            <w:rFonts w:asciiTheme="minorHAnsi" w:hAnsiTheme="minorHAnsi" w:cstheme="minorHAnsi"/>
            <w:i/>
            <w:sz w:val="16"/>
            <w:szCs w:val="16"/>
          </w:rPr>
          <w:t>Sabo v. Hollister Water Assn.</w:t>
        </w:r>
      </w:hyperlink>
      <w:r w:rsidRPr="00C3377D">
        <w:rPr>
          <w:rFonts w:asciiTheme="minorHAnsi" w:hAnsiTheme="minorHAnsi" w:cstheme="minorHAnsi"/>
          <w:sz w:val="16"/>
          <w:szCs w:val="16"/>
        </w:rPr>
        <w:t>, 4th Dist. Athens No. 93 CA 1582, 1994 Ohio App. LEXIS 33 (Jan. 12, 1994).</w:t>
      </w:r>
    </w:p>
  </w:endnote>
  <w:endnote w:id="76">
    <w:p w14:paraId="62604200" w14:textId="7C034D7B"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29" w:history="1">
        <w:r w:rsidRPr="00C3377D">
          <w:rPr>
            <w:rStyle w:val="Hyperlink"/>
            <w:rFonts w:asciiTheme="minorHAnsi" w:hAnsiTheme="minorHAnsi" w:cstheme="minorHAnsi"/>
            <w:sz w:val="16"/>
            <w:szCs w:val="16"/>
          </w:rPr>
          <w:t xml:space="preserve">1995 Ohio </w:t>
        </w:r>
        <w:r w:rsidRPr="00C3377D">
          <w:rPr>
            <w:rStyle w:val="Hyperlink"/>
            <w:rFonts w:asciiTheme="minorHAnsi" w:hAnsiTheme="minorHAnsi" w:cstheme="minorHAnsi"/>
            <w:sz w:val="16"/>
            <w:szCs w:val="16"/>
          </w:rPr>
          <w:t>Att</w:t>
        </w:r>
        <w:r w:rsidR="00E01643">
          <w:rPr>
            <w:rStyle w:val="Hyperlink"/>
            <w:rFonts w:asciiTheme="minorHAnsi" w:hAnsiTheme="minorHAnsi" w:cstheme="minorHAnsi"/>
            <w:sz w:val="16"/>
            <w:szCs w:val="16"/>
          </w:rPr>
          <w:t>y.</w:t>
        </w:r>
        <w:r w:rsidRPr="00C3377D">
          <w:rPr>
            <w:rStyle w:val="Hyperlink"/>
            <w:rFonts w:asciiTheme="minorHAnsi" w:hAnsiTheme="minorHAnsi" w:cstheme="minorHAnsi"/>
            <w:sz w:val="16"/>
            <w:szCs w:val="16"/>
          </w:rPr>
          <w:t>Gen.</w:t>
        </w:r>
        <w:r w:rsidR="00E01643">
          <w:rPr>
            <w:rStyle w:val="Hyperlink"/>
            <w:rFonts w:asciiTheme="minorHAnsi" w:hAnsiTheme="minorHAnsi" w:cstheme="minorHAnsi"/>
            <w:sz w:val="16"/>
            <w:szCs w:val="16"/>
          </w:rPr>
          <w:t>Ops.</w:t>
        </w:r>
        <w:r w:rsidRPr="00C3377D">
          <w:rPr>
            <w:rStyle w:val="Hyperlink"/>
            <w:rFonts w:asciiTheme="minorHAnsi" w:hAnsiTheme="minorHAnsi" w:cstheme="minorHAnsi"/>
            <w:sz w:val="16"/>
            <w:szCs w:val="16"/>
          </w:rPr>
          <w:t xml:space="preserve"> No. 001.</w:t>
        </w:r>
      </w:hyperlink>
    </w:p>
  </w:endnote>
  <w:endnote w:id="77">
    <w:p w14:paraId="21D0F6D5" w14:textId="50C57A7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0" w:history="1">
        <w:r w:rsidRPr="00C3377D">
          <w:rPr>
            <w:rStyle w:val="Hyperlink"/>
            <w:rFonts w:asciiTheme="minorHAnsi" w:hAnsiTheme="minorHAnsi" w:cstheme="minorHAnsi"/>
            <w:i/>
            <w:sz w:val="16"/>
            <w:szCs w:val="16"/>
          </w:rPr>
          <w:t>State ex rel. Toledo Blade Co. v. Ohio Bur. of Workers’ Comp</w:t>
        </w:r>
        <w:r w:rsidRPr="00C3377D">
          <w:rPr>
            <w:rStyle w:val="Hyperlink"/>
            <w:rFonts w:asciiTheme="minorHAnsi" w:hAnsiTheme="minorHAnsi" w:cstheme="minorHAnsi"/>
            <w:sz w:val="16"/>
            <w:szCs w:val="16"/>
          </w:rPr>
          <w:t>.</w:t>
        </w:r>
      </w:hyperlink>
      <w:r w:rsidRPr="00C3377D">
        <w:rPr>
          <w:rFonts w:asciiTheme="minorHAnsi" w:hAnsiTheme="minorHAnsi" w:cstheme="minorHAnsi"/>
          <w:sz w:val="16"/>
          <w:szCs w:val="16"/>
        </w:rPr>
        <w:t xml:space="preserve">, 106 Ohio St.3d 113, 2005-Ohio-3549 (limited-liability companies organized to receive state-agency contributions were public offices); </w:t>
      </w:r>
      <w:hyperlink r:id="rId131" w:history="1">
        <w:r w:rsidRPr="00C3377D">
          <w:rPr>
            <w:rStyle w:val="Hyperlink"/>
            <w:rFonts w:asciiTheme="minorHAnsi" w:hAnsiTheme="minorHAnsi" w:cstheme="minorHAnsi"/>
            <w:i/>
            <w:sz w:val="16"/>
            <w:szCs w:val="16"/>
          </w:rPr>
          <w:t>State ex rel. Repository v. Nova Behavioral Health, Inc.</w:t>
        </w:r>
      </w:hyperlink>
      <w:r w:rsidRPr="00C3377D">
        <w:rPr>
          <w:rFonts w:asciiTheme="minorHAnsi" w:hAnsiTheme="minorHAnsi" w:cstheme="minorHAnsi"/>
          <w:sz w:val="16"/>
          <w:szCs w:val="16"/>
        </w:rPr>
        <w:t>, 112 Ohio St.3d 338, 2006-Ohio-6713, ¶ 42.</w:t>
      </w:r>
    </w:p>
  </w:endnote>
  <w:endnote w:id="78">
    <w:p w14:paraId="689A1461" w14:textId="18CD2B69"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Toledo Blade Co. v. Univ. of Toledo Found.</w:t>
      </w:r>
      <w:r w:rsidRPr="00C3377D">
        <w:rPr>
          <w:rFonts w:asciiTheme="minorHAnsi" w:hAnsiTheme="minorHAnsi" w:cstheme="minorHAnsi"/>
          <w:sz w:val="16"/>
          <w:szCs w:val="16"/>
        </w:rPr>
        <w:t>, 65 Ohio St.3d 258</w:t>
      </w:r>
      <w:r w:rsidR="001F595B">
        <w:rPr>
          <w:rFonts w:asciiTheme="minorHAnsi" w:hAnsiTheme="minorHAnsi" w:cstheme="minorHAnsi"/>
          <w:sz w:val="16"/>
          <w:szCs w:val="16"/>
        </w:rPr>
        <w:t>, 266</w:t>
      </w:r>
      <w:r w:rsidRPr="00C3377D">
        <w:rPr>
          <w:rFonts w:asciiTheme="minorHAnsi" w:hAnsiTheme="minorHAnsi" w:cstheme="minorHAnsi"/>
          <w:sz w:val="16"/>
          <w:szCs w:val="16"/>
        </w:rPr>
        <w:t xml:space="preserve"> (1992).</w:t>
      </w:r>
    </w:p>
  </w:endnote>
  <w:endnote w:id="79">
    <w:p w14:paraId="7A0CC69E" w14:textId="462AAF41"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2" w:history="1">
        <w:r w:rsidRPr="00C3377D">
          <w:rPr>
            <w:rStyle w:val="Hyperlink"/>
            <w:rFonts w:asciiTheme="minorHAnsi" w:hAnsiTheme="minorHAnsi" w:cstheme="minorHAnsi"/>
            <w:i/>
            <w:sz w:val="16"/>
            <w:szCs w:val="16"/>
          </w:rPr>
          <w:t>State ex rel. Strothers v. Wertheim</w:t>
        </w:r>
      </w:hyperlink>
      <w:r w:rsidRPr="00C3377D">
        <w:rPr>
          <w:rFonts w:asciiTheme="minorHAnsi" w:hAnsiTheme="minorHAnsi" w:cstheme="minorHAnsi"/>
          <w:sz w:val="16"/>
          <w:szCs w:val="16"/>
        </w:rPr>
        <w:t>, 80 Ohio St.3d 155 (1997).</w:t>
      </w:r>
    </w:p>
  </w:endnote>
  <w:endnote w:id="80">
    <w:p w14:paraId="572CA57D" w14:textId="4F5F67AF"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33" w:history="1">
        <w:r w:rsidRPr="00C3377D">
          <w:rPr>
            <w:rStyle w:val="Hyperlink"/>
            <w:rFonts w:asciiTheme="minorHAnsi" w:hAnsiTheme="minorHAnsi" w:cstheme="minorHAnsi"/>
            <w:sz w:val="16"/>
            <w:szCs w:val="16"/>
          </w:rPr>
          <w:t xml:space="preserve"> 1999 Ohio </w:t>
        </w:r>
        <w:r w:rsidRPr="00C3377D">
          <w:rPr>
            <w:rStyle w:val="Hyperlink"/>
            <w:rFonts w:asciiTheme="minorHAnsi" w:hAnsiTheme="minorHAnsi" w:cstheme="minorHAnsi"/>
            <w:sz w:val="16"/>
            <w:szCs w:val="16"/>
          </w:rPr>
          <w:t>Att</w:t>
        </w:r>
        <w:r w:rsidR="00E01643">
          <w:rPr>
            <w:rStyle w:val="Hyperlink"/>
            <w:rFonts w:asciiTheme="minorHAnsi" w:hAnsiTheme="minorHAnsi" w:cstheme="minorHAnsi"/>
            <w:sz w:val="16"/>
            <w:szCs w:val="16"/>
          </w:rPr>
          <w:t>y.</w:t>
        </w:r>
        <w:r w:rsidRPr="00C3377D">
          <w:rPr>
            <w:rStyle w:val="Hyperlink"/>
            <w:rFonts w:asciiTheme="minorHAnsi" w:hAnsiTheme="minorHAnsi" w:cstheme="minorHAnsi"/>
            <w:sz w:val="16"/>
            <w:szCs w:val="16"/>
          </w:rPr>
          <w:t>Gen.</w:t>
        </w:r>
        <w:r w:rsidR="00E01643">
          <w:rPr>
            <w:rStyle w:val="Hyperlink"/>
            <w:rFonts w:asciiTheme="minorHAnsi" w:hAnsiTheme="minorHAnsi" w:cstheme="minorHAnsi"/>
            <w:sz w:val="16"/>
            <w:szCs w:val="16"/>
          </w:rPr>
          <w:t>Ops.</w:t>
        </w:r>
        <w:r w:rsidRPr="00C3377D">
          <w:rPr>
            <w:rStyle w:val="Hyperlink"/>
            <w:rFonts w:asciiTheme="minorHAnsi" w:hAnsiTheme="minorHAnsi" w:cstheme="minorHAnsi"/>
            <w:sz w:val="16"/>
            <w:szCs w:val="16"/>
          </w:rPr>
          <w:t xml:space="preserve"> No. 006.</w:t>
        </w:r>
      </w:hyperlink>
    </w:p>
  </w:endnote>
  <w:endnote w:id="81">
    <w:p w14:paraId="66D5A39E" w14:textId="0C51BBAA"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4"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110 Ohio St.3d 456, 2006-Ohio-4854, paragraph one of syllabus;</w:t>
      </w:r>
      <w:r w:rsidR="00315D6F" w:rsidRPr="00C3377D">
        <w:rPr>
          <w:rFonts w:asciiTheme="minorHAnsi" w:hAnsiTheme="minorHAnsi" w:cstheme="minorHAnsi"/>
          <w:i/>
          <w:sz w:val="16"/>
          <w:szCs w:val="16"/>
        </w:rPr>
        <w:t xml:space="preserve"> </w:t>
      </w:r>
      <w:hyperlink r:id="rId135" w:history="1">
        <w:r w:rsidR="00315D6F" w:rsidRPr="00007EAB">
          <w:rPr>
            <w:rStyle w:val="Hyperlink"/>
            <w:rFonts w:asciiTheme="minorHAnsi" w:hAnsiTheme="minorHAnsi" w:cstheme="minorHAnsi"/>
            <w:i/>
            <w:iCs/>
            <w:sz w:val="16"/>
            <w:szCs w:val="16"/>
          </w:rPr>
          <w:t xml:space="preserve">State ex rel. Fair </w:t>
        </w:r>
        <w:r w:rsidR="00315D6F" w:rsidRPr="00007EAB">
          <w:rPr>
            <w:rStyle w:val="Hyperlink"/>
            <w:rFonts w:asciiTheme="minorHAnsi" w:hAnsiTheme="minorHAnsi" w:cstheme="minorHAnsi"/>
            <w:i/>
            <w:iCs/>
            <w:sz w:val="16"/>
            <w:szCs w:val="16"/>
          </w:rPr>
          <w:t>Hous. Opportunities of Nw. Ohio v. Ohio Fair Plan</w:t>
        </w:r>
      </w:hyperlink>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172 Ohio St.3d 149</w:t>
      </w:r>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2023-Ohio-2667</w:t>
      </w:r>
      <w:r w:rsidR="00315D6F">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 </w:t>
      </w:r>
      <w:r w:rsidR="00315D6F"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Pr="00C3377D">
        <w:rPr>
          <w:rFonts w:asciiTheme="minorHAnsi" w:hAnsiTheme="minorHAnsi" w:cstheme="minorHAnsi"/>
          <w:sz w:val="16"/>
          <w:szCs w:val="16"/>
        </w:rPr>
        <w:t>.</w:t>
      </w:r>
    </w:p>
  </w:endnote>
  <w:endnote w:id="82">
    <w:p w14:paraId="2CF2E43A" w14:textId="7924792C"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315D6F" w:rsidRPr="00C3377D">
        <w:rPr>
          <w:rFonts w:asciiTheme="minorHAnsi" w:hAnsiTheme="minorHAnsi" w:cstheme="minorHAnsi"/>
          <w:i/>
          <w:sz w:val="16"/>
          <w:szCs w:val="16"/>
        </w:rPr>
        <w:t xml:space="preserve"> </w:t>
      </w:r>
      <w:hyperlink r:id="rId136" w:history="1">
        <w:r w:rsidR="00315D6F" w:rsidRPr="00007EAB">
          <w:rPr>
            <w:rStyle w:val="Hyperlink"/>
            <w:rFonts w:asciiTheme="minorHAnsi" w:hAnsiTheme="minorHAnsi" w:cstheme="minorHAnsi"/>
            <w:i/>
            <w:iCs/>
            <w:sz w:val="16"/>
            <w:szCs w:val="16"/>
          </w:rPr>
          <w:t xml:space="preserve">State ex rel. Fair </w:t>
        </w:r>
        <w:r w:rsidR="00315D6F" w:rsidRPr="00007EAB">
          <w:rPr>
            <w:rStyle w:val="Hyperlink"/>
            <w:rFonts w:asciiTheme="minorHAnsi" w:hAnsiTheme="minorHAnsi" w:cstheme="minorHAnsi"/>
            <w:i/>
            <w:iCs/>
            <w:sz w:val="16"/>
            <w:szCs w:val="16"/>
          </w:rPr>
          <w:t>Hous. Opportunities of Nw. Ohio v. Ohio Fair Plan</w:t>
        </w:r>
      </w:hyperlink>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172 Ohio St. 3d 149</w:t>
      </w:r>
      <w:r w:rsidR="00315D6F">
        <w:rPr>
          <w:rFonts w:asciiTheme="minorHAnsi" w:hAnsiTheme="minorHAnsi" w:cstheme="minorHAnsi"/>
          <w:sz w:val="16"/>
          <w:szCs w:val="16"/>
        </w:rPr>
        <w:t xml:space="preserve">, </w:t>
      </w:r>
      <w:r w:rsidR="00315D6F" w:rsidRPr="00007EAB">
        <w:rPr>
          <w:rFonts w:asciiTheme="minorHAnsi" w:hAnsiTheme="minorHAnsi" w:cstheme="minorHAnsi"/>
          <w:sz w:val="16"/>
          <w:szCs w:val="16"/>
        </w:rPr>
        <w:t>2023-Ohio-2667</w:t>
      </w:r>
      <w:r w:rsidR="00315D6F">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 </w:t>
      </w:r>
      <w:r w:rsidR="00315D6F"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Pr="00C3377D">
        <w:rPr>
          <w:rFonts w:asciiTheme="minorHAnsi" w:hAnsiTheme="minorHAnsi" w:cstheme="minorHAnsi"/>
          <w:iCs/>
          <w:sz w:val="16"/>
          <w:szCs w:val="16"/>
        </w:rPr>
        <w:t>.</w:t>
      </w:r>
    </w:p>
  </w:endnote>
  <w:endnote w:id="83">
    <w:p w14:paraId="7D2A5A43" w14:textId="53A53F7D"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37"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xml:space="preserve">, 110 Ohio St.3d 456, 2006-Ohio-4854, paragraph one of syllabus; </w:t>
      </w:r>
      <w:hyperlink r:id="rId138" w:history="1">
        <w:r w:rsidRPr="00C3377D">
          <w:rPr>
            <w:rStyle w:val="Hyperlink"/>
            <w:rFonts w:asciiTheme="minorHAnsi" w:hAnsiTheme="minorHAnsi" w:cstheme="minorHAnsi"/>
            <w:i/>
            <w:sz w:val="16"/>
            <w:szCs w:val="16"/>
          </w:rPr>
          <w:t xml:space="preserve">State ex rel. ACLU of Ohio, Inc. v. Cuyahoga </w:t>
        </w:r>
        <w:r w:rsidRPr="00C3377D">
          <w:rPr>
            <w:rStyle w:val="Hyperlink"/>
            <w:rFonts w:asciiTheme="minorHAnsi" w:hAnsiTheme="minorHAnsi" w:cstheme="minorHAnsi"/>
            <w:i/>
            <w:sz w:val="16"/>
            <w:szCs w:val="16"/>
          </w:rPr>
          <w:t>Cty. Bd. Commrs.</w:t>
        </w:r>
      </w:hyperlink>
      <w:r w:rsidRPr="00C3377D">
        <w:rPr>
          <w:rFonts w:asciiTheme="minorHAnsi" w:hAnsiTheme="minorHAnsi" w:cstheme="minorHAnsi"/>
          <w:sz w:val="16"/>
          <w:szCs w:val="16"/>
        </w:rPr>
        <w:t xml:space="preserve">, 128 Ohio St.3d 256, 2011-Ohio-625, ¶ 51 (private groups were not functional equivalent of public office when groups were comprised of unpaid, unguided county leaders and citizens, not created by governmental agency, and submitted recommendations as coalitions of private citizens); </w:t>
      </w:r>
      <w:hyperlink r:id="rId139" w:history="1">
        <w:r w:rsidRPr="00C3377D">
          <w:rPr>
            <w:rStyle w:val="Hyperlink"/>
            <w:rFonts w:asciiTheme="minorHAnsi" w:hAnsiTheme="minorHAnsi" w:cstheme="minorHAnsi"/>
            <w:i/>
            <w:sz w:val="16"/>
            <w:szCs w:val="16"/>
          </w:rPr>
          <w:t>Sheil v. Horton</w:t>
        </w:r>
      </w:hyperlink>
      <w:r w:rsidRPr="00C3377D">
        <w:rPr>
          <w:rFonts w:asciiTheme="minorHAnsi" w:hAnsiTheme="minorHAnsi" w:cstheme="minorHAnsi"/>
          <w:sz w:val="16"/>
          <w:szCs w:val="16"/>
        </w:rPr>
        <w:t xml:space="preserve">, </w:t>
      </w:r>
      <w:bookmarkStart w:id="21" w:name="_Hlk159768320"/>
      <w:r w:rsidR="00367F58">
        <w:rPr>
          <w:rFonts w:asciiTheme="minorHAnsi" w:hAnsiTheme="minorHAnsi" w:cstheme="minorHAnsi"/>
          <w:sz w:val="16"/>
          <w:szCs w:val="16"/>
        </w:rPr>
        <w:t xml:space="preserve">8th Dist. Cuyahoga No. </w:t>
      </w:r>
      <w:r w:rsidR="00367F58" w:rsidRPr="00367F58">
        <w:rPr>
          <w:rFonts w:asciiTheme="minorHAnsi" w:hAnsiTheme="minorHAnsi" w:cstheme="minorHAnsi"/>
          <w:sz w:val="16"/>
          <w:szCs w:val="16"/>
        </w:rPr>
        <w:t>107329</w:t>
      </w:r>
      <w:bookmarkEnd w:id="21"/>
      <w:r w:rsidR="00367F58">
        <w:rPr>
          <w:rFonts w:asciiTheme="minorHAnsi" w:hAnsiTheme="minorHAnsi" w:cstheme="minorHAnsi"/>
          <w:sz w:val="16"/>
          <w:szCs w:val="16"/>
        </w:rPr>
        <w:t xml:space="preserve">, </w:t>
      </w:r>
      <w:r w:rsidRPr="00C3377D">
        <w:rPr>
          <w:rFonts w:asciiTheme="minorHAnsi" w:hAnsiTheme="minorHAnsi" w:cstheme="minorHAnsi"/>
          <w:sz w:val="16"/>
          <w:szCs w:val="16"/>
        </w:rPr>
        <w:t xml:space="preserve">2018-Ohio-5240, ¶ 17-42 (community college foundation is the functional equivalent of a public </w:t>
      </w:r>
      <w:r w:rsidR="004F015A">
        <w:rPr>
          <w:rFonts w:asciiTheme="minorHAnsi" w:hAnsiTheme="minorHAnsi" w:cstheme="minorHAnsi"/>
          <w:sz w:val="16"/>
          <w:szCs w:val="16"/>
        </w:rPr>
        <w:t>office because fundraising is a traditional function of the office</w:t>
      </w:r>
      <w:r w:rsidRPr="00C3377D">
        <w:rPr>
          <w:rFonts w:asciiTheme="minorHAnsi" w:hAnsiTheme="minorHAnsi" w:cstheme="minorHAnsi"/>
          <w:sz w:val="16"/>
          <w:szCs w:val="16"/>
        </w:rPr>
        <w:t xml:space="preserve">); </w:t>
      </w:r>
      <w:hyperlink r:id="rId140" w:history="1">
        <w:r w:rsidRPr="00C3377D">
          <w:rPr>
            <w:rStyle w:val="Hyperlink"/>
            <w:rFonts w:asciiTheme="minorHAnsi" w:hAnsiTheme="minorHAnsi" w:cstheme="minorHAnsi"/>
            <w:i/>
            <w:iCs/>
            <w:sz w:val="16"/>
            <w:szCs w:val="16"/>
          </w:rPr>
          <w:t>State ex rel. WTOL Television, L.L.C. v. Cedar Fair, L.P</w:t>
        </w:r>
      </w:hyperlink>
      <w:r w:rsidRPr="00C3377D">
        <w:rPr>
          <w:rFonts w:asciiTheme="minorHAnsi" w:hAnsiTheme="minorHAnsi" w:cstheme="minorHAnsi"/>
          <w:i/>
          <w:iCs/>
          <w:sz w:val="16"/>
          <w:szCs w:val="16"/>
        </w:rPr>
        <w:t>.</w:t>
      </w:r>
      <w:r w:rsidRPr="00C3377D">
        <w:rPr>
          <w:rFonts w:asciiTheme="minorHAnsi" w:hAnsiTheme="minorHAnsi" w:cstheme="minorHAnsi"/>
          <w:sz w:val="16"/>
          <w:szCs w:val="16"/>
        </w:rPr>
        <w:t xml:space="preserve">, Slip. Op. No. </w:t>
      </w:r>
      <w:r w:rsidR="00007EAB">
        <w:rPr>
          <w:rFonts w:asciiTheme="minorHAnsi" w:hAnsiTheme="minorHAnsi" w:cstheme="minorHAnsi"/>
          <w:sz w:val="16"/>
          <w:szCs w:val="16"/>
        </w:rPr>
        <w:t xml:space="preserve">2022-0914, </w:t>
      </w:r>
      <w:r w:rsidRPr="00C3377D">
        <w:rPr>
          <w:rFonts w:asciiTheme="minorHAnsi" w:hAnsiTheme="minorHAnsi" w:cstheme="minorHAnsi"/>
          <w:sz w:val="16"/>
          <w:szCs w:val="16"/>
        </w:rPr>
        <w:t>2023-Ohio-4593 (Cedar Point Police Department is the functional equivalent of a public office</w:t>
      </w:r>
      <w:r w:rsidR="00E01643">
        <w:rPr>
          <w:rFonts w:asciiTheme="minorHAnsi" w:hAnsiTheme="minorHAnsi" w:cstheme="minorHAnsi"/>
          <w:sz w:val="16"/>
          <w:szCs w:val="16"/>
        </w:rPr>
        <w:t>;</w:t>
      </w:r>
      <w:r w:rsidRPr="00C3377D">
        <w:rPr>
          <w:rFonts w:asciiTheme="minorHAnsi" w:hAnsiTheme="minorHAnsi" w:cstheme="minorHAnsi"/>
          <w:sz w:val="16"/>
          <w:szCs w:val="16"/>
        </w:rPr>
        <w:t xml:space="preserve"> although it receives little or no government funding, law enforcement and police protection services are government functions and city regulates and is involved with the department; </w:t>
      </w:r>
      <w:r w:rsidRPr="00C3377D">
        <w:rPr>
          <w:rFonts w:asciiTheme="minorHAnsi" w:hAnsiTheme="minorHAnsi" w:cstheme="minorHAnsi"/>
          <w:i/>
          <w:sz w:val="16"/>
          <w:szCs w:val="16"/>
        </w:rPr>
        <w:t xml:space="preserve">but see </w:t>
      </w:r>
      <w:hyperlink r:id="rId141" w:history="1">
        <w:r w:rsidRPr="00007EAB">
          <w:rPr>
            <w:rStyle w:val="Hyperlink"/>
            <w:rFonts w:asciiTheme="minorHAnsi" w:hAnsiTheme="minorHAnsi" w:cstheme="minorHAnsi"/>
            <w:i/>
            <w:iCs/>
            <w:sz w:val="16"/>
            <w:szCs w:val="16"/>
          </w:rPr>
          <w:t>State ex rel. Fair Hous. Opportunities of Nw. Ohio v. Ohio Fair Plan</w:t>
        </w:r>
      </w:hyperlink>
      <w:r w:rsidR="00007EAB">
        <w:rPr>
          <w:rFonts w:asciiTheme="minorHAnsi" w:hAnsiTheme="minorHAnsi" w:cstheme="minorHAnsi"/>
          <w:sz w:val="16"/>
          <w:szCs w:val="16"/>
        </w:rPr>
        <w:t xml:space="preserve">, </w:t>
      </w:r>
      <w:r w:rsidR="00007EAB" w:rsidRPr="00007EAB">
        <w:rPr>
          <w:rFonts w:asciiTheme="minorHAnsi" w:hAnsiTheme="minorHAnsi" w:cstheme="minorHAnsi"/>
          <w:sz w:val="16"/>
          <w:szCs w:val="16"/>
        </w:rPr>
        <w:t>172 Ohio St. 3d 149</w:t>
      </w:r>
      <w:r w:rsidR="00007EAB">
        <w:rPr>
          <w:rFonts w:asciiTheme="minorHAnsi" w:hAnsiTheme="minorHAnsi" w:cstheme="minorHAnsi"/>
          <w:sz w:val="16"/>
          <w:szCs w:val="16"/>
        </w:rPr>
        <w:t xml:space="preserve">, </w:t>
      </w:r>
      <w:r w:rsidR="00007EAB" w:rsidRPr="00007EAB">
        <w:rPr>
          <w:rFonts w:asciiTheme="minorHAnsi" w:hAnsiTheme="minorHAnsi" w:cstheme="minorHAnsi"/>
          <w:sz w:val="16"/>
          <w:szCs w:val="16"/>
        </w:rPr>
        <w:t>2023-Ohio-2667</w:t>
      </w:r>
      <w:r w:rsidR="00007EAB">
        <w:rPr>
          <w:rFonts w:asciiTheme="minorHAnsi" w:hAnsiTheme="minorHAnsi" w:cstheme="minorHAnsi"/>
          <w:sz w:val="16"/>
          <w:szCs w:val="16"/>
        </w:rPr>
        <w:t xml:space="preserve">, </w:t>
      </w:r>
      <w:r w:rsidR="00315D6F" w:rsidRPr="00C3377D">
        <w:rPr>
          <w:rFonts w:asciiTheme="minorHAnsi" w:hAnsiTheme="minorHAnsi" w:cstheme="minorHAnsi"/>
          <w:sz w:val="16"/>
          <w:szCs w:val="16"/>
        </w:rPr>
        <w:t>¶</w:t>
      </w:r>
      <w:r w:rsidR="00315D6F">
        <w:rPr>
          <w:rFonts w:asciiTheme="minorHAnsi" w:hAnsiTheme="minorHAnsi" w:cstheme="minorHAnsi"/>
          <w:sz w:val="16"/>
          <w:szCs w:val="16"/>
        </w:rPr>
        <w:t xml:space="preserve"> 14-29</w:t>
      </w:r>
      <w:r w:rsidR="00007EAB">
        <w:rPr>
          <w:rFonts w:asciiTheme="minorHAnsi" w:hAnsiTheme="minorHAnsi" w:cstheme="minorHAnsi"/>
          <w:sz w:val="16"/>
          <w:szCs w:val="16"/>
        </w:rPr>
        <w:t xml:space="preserve"> </w:t>
      </w:r>
      <w:r w:rsidRPr="00C3377D">
        <w:rPr>
          <w:rFonts w:asciiTheme="minorHAnsi" w:hAnsiTheme="minorHAnsi" w:cstheme="minorHAnsi"/>
          <w:sz w:val="16"/>
          <w:szCs w:val="16"/>
        </w:rPr>
        <w:t>(Ohio Fair Plan Underwriting Association is a public office because its board of governors, purpose, operation, and regulation thereof, were established by statute, showing a legislative intent that it be considered a public office)</w:t>
      </w:r>
      <w:r w:rsidRPr="00C3377D">
        <w:rPr>
          <w:rFonts w:asciiTheme="minorHAnsi" w:hAnsiTheme="minorHAnsi" w:cstheme="minorHAnsi"/>
          <w:iCs/>
          <w:sz w:val="16"/>
          <w:szCs w:val="16"/>
        </w:rPr>
        <w:t>.</w:t>
      </w:r>
    </w:p>
  </w:endnote>
  <w:endnote w:id="84">
    <w:p w14:paraId="5CD5AA55" w14:textId="5E12B7D1"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42"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110 Ohio St.3d 456, 2006-Ohio-4854, paragraphs one and two of syllabus.</w:t>
      </w:r>
    </w:p>
  </w:endnote>
  <w:endnote w:id="85">
    <w:p w14:paraId="0BF47199" w14:textId="5059EC56"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43" w:history="1">
        <w:r w:rsidRPr="00C3377D">
          <w:rPr>
            <w:rStyle w:val="Hyperlink"/>
            <w:rFonts w:asciiTheme="minorHAnsi" w:hAnsiTheme="minorHAnsi" w:cstheme="minorHAnsi"/>
            <w:i/>
            <w:sz w:val="16"/>
            <w:szCs w:val="16"/>
          </w:rPr>
          <w:t>State ex rel. Repository v. Nova Behavioral Health, Inc.</w:t>
        </w:r>
      </w:hyperlink>
      <w:r w:rsidRPr="00C3377D">
        <w:rPr>
          <w:rFonts w:asciiTheme="minorHAnsi" w:hAnsiTheme="minorHAnsi" w:cstheme="minorHAnsi"/>
          <w:sz w:val="16"/>
          <w:szCs w:val="16"/>
        </w:rPr>
        <w:t xml:space="preserve">, 112 Ohio St.3d 338, 2006-Ohio-6713, ¶ 24; </w:t>
      </w:r>
      <w:hyperlink r:id="rId144" w:history="1">
        <w:r w:rsidRPr="00C3377D">
          <w:rPr>
            <w:rStyle w:val="Hyperlink"/>
            <w:rFonts w:asciiTheme="minorHAnsi" w:hAnsiTheme="minorHAnsi" w:cstheme="minorHAnsi"/>
            <w:i/>
            <w:sz w:val="16"/>
            <w:szCs w:val="16"/>
          </w:rPr>
          <w:t>State ex rel. Oriana House, Inc. v. Montgomery</w:t>
        </w:r>
      </w:hyperlink>
      <w:r w:rsidRPr="00C3377D">
        <w:rPr>
          <w:rFonts w:asciiTheme="minorHAnsi" w:hAnsiTheme="minorHAnsi" w:cstheme="minorHAnsi"/>
          <w:sz w:val="16"/>
          <w:szCs w:val="16"/>
        </w:rPr>
        <w:t xml:space="preserve">, 110 Ohio St.3d 456, 2006-Ohio-4854, ¶ 36 (“It ought to be difficult for someone to compel a private entity to adhere to the dictates of the Public Records Act, which was designed by the General Assembly to allow public scrutiny of public offices, not of all entities that receive funds that at one time were controlled by the government.”); </w:t>
      </w:r>
      <w:hyperlink r:id="rId145" w:history="1">
        <w:r w:rsidRPr="00C3377D">
          <w:rPr>
            <w:rStyle w:val="Hyperlink"/>
            <w:rFonts w:asciiTheme="minorHAnsi" w:hAnsiTheme="minorHAnsi" w:cstheme="minorHAnsi"/>
            <w:i/>
            <w:sz w:val="16"/>
            <w:szCs w:val="16"/>
          </w:rPr>
          <w:t>State ex rel. Bell v. Brooks</w:t>
        </w:r>
      </w:hyperlink>
      <w:r w:rsidRPr="00C3377D">
        <w:rPr>
          <w:rFonts w:asciiTheme="minorHAnsi" w:hAnsiTheme="minorHAnsi" w:cstheme="minorHAnsi"/>
          <w:sz w:val="16"/>
          <w:szCs w:val="16"/>
        </w:rPr>
        <w:t xml:space="preserve">, 130 Ohio St.3d 87, 2011-Ohio-4897, ¶ 15-29 (joint self-insurance pool for counties and county governments is not the functional equivalent of a public office); </w:t>
      </w:r>
      <w:r w:rsidRPr="00C3377D">
        <w:rPr>
          <w:rFonts w:asciiTheme="minorHAnsi" w:hAnsiTheme="minorHAnsi" w:cstheme="minorHAnsi"/>
          <w:i/>
          <w:sz w:val="16"/>
          <w:szCs w:val="16"/>
        </w:rPr>
        <w:t xml:space="preserve">see also </w:t>
      </w:r>
      <w:hyperlink r:id="rId146" w:history="1">
        <w:r w:rsidRPr="00C3377D">
          <w:rPr>
            <w:rStyle w:val="Hyperlink"/>
            <w:rFonts w:asciiTheme="minorHAnsi" w:hAnsiTheme="minorHAnsi" w:cstheme="minorHAnsi"/>
            <w:i/>
            <w:sz w:val="16"/>
            <w:szCs w:val="16"/>
          </w:rPr>
          <w:t>State ex rel. Dayton Tea Party v. Ohio Mun. League</w:t>
        </w:r>
      </w:hyperlink>
      <w:r w:rsidRPr="00C3377D">
        <w:rPr>
          <w:rFonts w:asciiTheme="minorHAnsi" w:hAnsiTheme="minorHAnsi" w:cstheme="minorHAnsi"/>
          <w:sz w:val="16"/>
          <w:szCs w:val="16"/>
        </w:rPr>
        <w:t xml:space="preserve">, 129 Ohio St.3d 1471, 2011-Ohio-4751 (granting a motion to dismiss without opinion, based on the argument that the Ohio Municipal League and Township Association were not the functional equivalents of public offices); </w:t>
      </w:r>
      <w:hyperlink r:id="rId147" w:history="1">
        <w:r w:rsidRPr="00C3377D">
          <w:rPr>
            <w:rStyle w:val="Hyperlink"/>
            <w:rFonts w:asciiTheme="minorHAnsi" w:hAnsiTheme="minorHAnsi" w:cstheme="minorHAnsi"/>
            <w:i/>
            <w:sz w:val="16"/>
            <w:szCs w:val="16"/>
          </w:rPr>
          <w:t xml:space="preserve">State ex rel. Dist. Eight Regional Org. Comm. v. Cincinnati-Hamilton </w:t>
        </w:r>
        <w:r w:rsidRPr="00C3377D">
          <w:rPr>
            <w:rStyle w:val="Hyperlink"/>
            <w:rFonts w:asciiTheme="minorHAnsi" w:hAnsiTheme="minorHAnsi" w:cstheme="minorHAnsi"/>
            <w:i/>
            <w:sz w:val="16"/>
            <w:szCs w:val="16"/>
          </w:rPr>
          <w:t>Cty. Cmty. Action Agency</w:t>
        </w:r>
      </w:hyperlink>
      <w:r w:rsidRPr="00C3377D">
        <w:rPr>
          <w:rFonts w:asciiTheme="minorHAnsi" w:hAnsiTheme="minorHAnsi" w:cstheme="minorHAnsi"/>
          <w:sz w:val="16"/>
          <w:szCs w:val="16"/>
        </w:rPr>
        <w:t xml:space="preserve">, 192 Ohio App.3d 553, 2011-Ohio-312 (1st Dist.) (home weatherization program administered by private non-profit community action agency is not the functional equivalent of public office); </w:t>
      </w:r>
      <w:hyperlink r:id="rId148" w:history="1">
        <w:r w:rsidRPr="00C3377D">
          <w:rPr>
            <w:rStyle w:val="Hyperlink"/>
            <w:rFonts w:asciiTheme="minorHAnsi" w:hAnsiTheme="minorHAnsi" w:cstheme="minorHAnsi"/>
            <w:i/>
            <w:sz w:val="16"/>
            <w:szCs w:val="16"/>
          </w:rPr>
          <w:t>State ex rel. Luken v. Corp. for Findlay Mkt. of Cincinnati</w:t>
        </w:r>
      </w:hyperlink>
      <w:r w:rsidRPr="00C3377D">
        <w:rPr>
          <w:rFonts w:asciiTheme="minorHAnsi" w:hAnsiTheme="minorHAnsi" w:cstheme="minorHAnsi"/>
          <w:sz w:val="16"/>
          <w:szCs w:val="16"/>
        </w:rPr>
        <w:t xml:space="preserve">, </w:t>
      </w:r>
      <w:r w:rsidR="00367F58">
        <w:rPr>
          <w:rFonts w:asciiTheme="minorHAnsi" w:hAnsiTheme="minorHAnsi" w:cstheme="minorHAnsi"/>
          <w:sz w:val="16"/>
          <w:szCs w:val="16"/>
        </w:rPr>
        <w:t xml:space="preserve">8th Dist. Cuyahoga No. </w:t>
      </w:r>
      <w:r w:rsidR="00367F58" w:rsidRPr="00367F58">
        <w:rPr>
          <w:rFonts w:asciiTheme="minorHAnsi" w:hAnsiTheme="minorHAnsi" w:cstheme="minorHAnsi"/>
          <w:sz w:val="16"/>
          <w:szCs w:val="16"/>
        </w:rPr>
        <w:t>C-100437</w:t>
      </w:r>
      <w:r w:rsidR="00367F58">
        <w:rPr>
          <w:rFonts w:asciiTheme="minorHAnsi" w:hAnsiTheme="minorHAnsi" w:cstheme="minorHAnsi"/>
          <w:sz w:val="16"/>
          <w:szCs w:val="16"/>
        </w:rPr>
        <w:t xml:space="preserve">, </w:t>
      </w:r>
      <w:r w:rsidRPr="00C3377D">
        <w:rPr>
          <w:rFonts w:asciiTheme="minorHAnsi" w:hAnsiTheme="minorHAnsi" w:cstheme="minorHAnsi"/>
          <w:sz w:val="16"/>
          <w:szCs w:val="16"/>
        </w:rPr>
        <w:t xml:space="preserve">2012-Ohio-2074, ¶ 27 (non-profit corporation that manages the operation of a public market is not the functional equivalent of a public office); </w:t>
      </w:r>
      <w:hyperlink r:id="rId149" w:history="1">
        <w:r w:rsidR="00E01643">
          <w:rPr>
            <w:rStyle w:val="Hyperlink"/>
            <w:rFonts w:asciiTheme="minorHAnsi" w:hAnsiTheme="minorHAnsi" w:cstheme="minorHAnsi"/>
            <w:i/>
            <w:sz w:val="16"/>
            <w:szCs w:val="16"/>
          </w:rPr>
          <w:t>State ex rel. H</w:t>
        </w:r>
        <w:r w:rsidRPr="00C3377D">
          <w:rPr>
            <w:rStyle w:val="Hyperlink"/>
            <w:rFonts w:asciiTheme="minorHAnsi" w:hAnsiTheme="minorHAnsi" w:cstheme="minorHAnsi"/>
            <w:i/>
            <w:sz w:val="16"/>
            <w:szCs w:val="16"/>
          </w:rPr>
          <w:t>urt v. Liberty Twp.</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2017-Ohio-7820, ¶ 42 (5th Dist.) (investigator was the functional equivalent of a public office because he was performing a governmental function and was paid by the township with public tax dollars); </w:t>
      </w:r>
      <w:hyperlink r:id="rId150" w:history="1">
        <w:r w:rsidRPr="00C3377D">
          <w:rPr>
            <w:rStyle w:val="Hyperlink"/>
            <w:rFonts w:asciiTheme="minorHAnsi" w:hAnsiTheme="minorHAnsi" w:cstheme="minorHAnsi"/>
            <w:i/>
            <w:sz w:val="16"/>
            <w:szCs w:val="16"/>
          </w:rPr>
          <w:t>S</w:t>
        </w:r>
        <w:r w:rsidR="00E01643">
          <w:rPr>
            <w:rStyle w:val="Hyperlink"/>
            <w:rFonts w:asciiTheme="minorHAnsi" w:hAnsiTheme="minorHAnsi" w:cstheme="minorHAnsi"/>
            <w:i/>
            <w:sz w:val="16"/>
            <w:szCs w:val="16"/>
          </w:rPr>
          <w:t>tate ex rel. S</w:t>
        </w:r>
        <w:r w:rsidRPr="00C3377D">
          <w:rPr>
            <w:rStyle w:val="Hyperlink"/>
            <w:rFonts w:asciiTheme="minorHAnsi" w:hAnsiTheme="minorHAnsi" w:cstheme="minorHAnsi"/>
            <w:i/>
            <w:sz w:val="16"/>
            <w:szCs w:val="16"/>
          </w:rPr>
          <w:t>chutte v. Gorman Heritage Found.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w:t>
      </w:r>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No. 2018-01029PQ, 2019-Ohio-1818 (foundation that operated a working farm is the functional equivalent of a public office because foundation provided a service akin to a public park on government land, and received a significant level of funding from a village that played a key role in its creation).</w:t>
      </w:r>
    </w:p>
  </w:endnote>
  <w:endnote w:id="86">
    <w:p w14:paraId="3BB6B194" w14:textId="1758BEFA"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1" w:history="1">
        <w:r w:rsidRPr="00C3377D">
          <w:rPr>
            <w:rStyle w:val="Hyperlink"/>
            <w:rFonts w:asciiTheme="minorHAnsi" w:hAnsiTheme="minorHAnsi" w:cstheme="minorHAnsi"/>
            <w:i/>
            <w:sz w:val="16"/>
            <w:szCs w:val="16"/>
          </w:rPr>
          <w:t xml:space="preserve">State ex rel. Cincinnati Enquirer v. </w:t>
        </w:r>
        <w:r w:rsidRPr="00C3377D">
          <w:rPr>
            <w:rStyle w:val="Hyperlink"/>
            <w:rFonts w:asciiTheme="minorHAnsi" w:hAnsiTheme="minorHAnsi" w:cstheme="minorHAnsi"/>
            <w:i/>
            <w:sz w:val="16"/>
            <w:szCs w:val="16"/>
          </w:rPr>
          <w:t>Krings</w:t>
        </w:r>
      </w:hyperlink>
      <w:r w:rsidRPr="00C3377D">
        <w:rPr>
          <w:rFonts w:asciiTheme="minorHAnsi" w:hAnsiTheme="minorHAnsi" w:cstheme="minorHAnsi"/>
          <w:sz w:val="16"/>
          <w:szCs w:val="16"/>
        </w:rPr>
        <w:t xml:space="preserve">, 93 Ohio St.3d 654, 660; </w:t>
      </w:r>
      <w:hyperlink r:id="rId152" w:history="1">
        <w:r w:rsidRPr="00C3377D">
          <w:rPr>
            <w:rStyle w:val="Hyperlink"/>
            <w:rFonts w:asciiTheme="minorHAnsi" w:hAnsiTheme="minorHAnsi" w:cstheme="minorHAnsi"/>
            <w:i/>
            <w:sz w:val="16"/>
            <w:szCs w:val="16"/>
          </w:rPr>
          <w:t>State ex rel. Gannett Satellite Info. Network v. Shirey</w:t>
        </w:r>
      </w:hyperlink>
      <w:r w:rsidRPr="00C3377D">
        <w:rPr>
          <w:rFonts w:asciiTheme="minorHAnsi" w:hAnsiTheme="minorHAnsi" w:cstheme="minorHAnsi"/>
          <w:sz w:val="16"/>
          <w:szCs w:val="16"/>
        </w:rPr>
        <w:t>, 76 Ohio St.3d 1224 (1996);</w:t>
      </w:r>
      <w:hyperlink r:id="rId153"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State ex rel. Armatas v. Plain Twp.</w:t>
        </w:r>
      </w:hyperlink>
      <w:r w:rsidRPr="00C3377D">
        <w:rPr>
          <w:rFonts w:asciiTheme="minorHAnsi" w:hAnsiTheme="minorHAnsi" w:cstheme="minorHAnsi"/>
          <w:sz w:val="16"/>
          <w:szCs w:val="16"/>
        </w:rPr>
        <w:t>, 163 Ohio St.3d 304, 2021-Ohio-1176, ¶ 14 (applying quasi-agency test to hold that private law firm to which township delegated legal work was a “person responsible” for public records).</w:t>
      </w:r>
    </w:p>
  </w:endnote>
  <w:endnote w:id="87">
    <w:p w14:paraId="6AC7610A" w14:textId="0C84C4E0"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4"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Carr v. City of Akron</w:t>
        </w:r>
      </w:hyperlink>
      <w:r w:rsidRPr="00C3377D">
        <w:rPr>
          <w:rFonts w:asciiTheme="minorHAnsi" w:hAnsiTheme="minorHAnsi" w:cstheme="minorHAnsi"/>
          <w:sz w:val="16"/>
          <w:szCs w:val="16"/>
        </w:rPr>
        <w:t xml:space="preserve">, 112 Ohio St.3d 351, 2006-Ohio-6714, ¶ 37 (finding that firefighter promotional examinations kept by testing contractor were still public records); </w:t>
      </w:r>
      <w:hyperlink r:id="rId155" w:history="1">
        <w:r w:rsidRPr="00C3377D">
          <w:rPr>
            <w:rStyle w:val="Hyperlink"/>
            <w:rFonts w:asciiTheme="minorHAnsi" w:hAnsiTheme="minorHAnsi" w:cstheme="minorHAnsi"/>
            <w:i/>
            <w:sz w:val="16"/>
            <w:szCs w:val="16"/>
          </w:rPr>
          <w:t>State ex rel. Cincinnati Enquirer v. Krings</w:t>
        </w:r>
      </w:hyperlink>
      <w:r w:rsidRPr="00C3377D">
        <w:rPr>
          <w:rFonts w:asciiTheme="minorHAnsi" w:hAnsiTheme="minorHAnsi" w:cstheme="minorHAnsi"/>
          <w:sz w:val="16"/>
          <w:szCs w:val="16"/>
        </w:rPr>
        <w:t xml:space="preserve">, 93 Ohio St.3d 654, 657.  </w:t>
      </w:r>
      <w:r w:rsidRPr="00C3377D">
        <w:rPr>
          <w:rFonts w:asciiTheme="minorHAnsi" w:hAnsiTheme="minorHAnsi" w:cstheme="minorHAnsi"/>
          <w:i/>
          <w:sz w:val="16"/>
          <w:szCs w:val="16"/>
        </w:rPr>
        <w:t xml:space="preserve">But see </w:t>
      </w:r>
      <w:hyperlink r:id="rId156" w:history="1">
        <w:r w:rsidRPr="00C3377D">
          <w:rPr>
            <w:rStyle w:val="Hyperlink"/>
            <w:rFonts w:asciiTheme="minorHAnsi" w:hAnsiTheme="minorHAnsi" w:cstheme="minorHAnsi"/>
            <w:i/>
            <w:sz w:val="16"/>
            <w:szCs w:val="16"/>
          </w:rPr>
          <w:t>State ex rel. Am. Civ. Liberties Union of Ohio v. Cuyahoga Cty. Bd. Commrs.</w:t>
        </w:r>
      </w:hyperlink>
      <w:r w:rsidRPr="00C3377D">
        <w:rPr>
          <w:rFonts w:asciiTheme="minorHAnsi" w:hAnsiTheme="minorHAnsi" w:cstheme="minorHAnsi"/>
          <w:sz w:val="16"/>
          <w:szCs w:val="16"/>
        </w:rPr>
        <w:t>, 128 Ohio St.3d 256, 2011-Ohio-625, ¶ 52-54 (quasi-agency theory did not apply when private citizen group submitted recommendations but owed no duty to government office to do so).</w:t>
      </w:r>
    </w:p>
  </w:endnote>
  <w:endnote w:id="88">
    <w:p w14:paraId="7DE2BA82" w14:textId="769DE8D3"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7" w:history="1">
        <w:r w:rsidRPr="00C3377D">
          <w:rPr>
            <w:rStyle w:val="Hyperlink"/>
            <w:rFonts w:asciiTheme="minorHAnsi" w:hAnsiTheme="minorHAnsi" w:cstheme="minorHAnsi"/>
            <w:i/>
            <w:sz w:val="16"/>
            <w:szCs w:val="16"/>
          </w:rPr>
          <w:t xml:space="preserve">State ex rel. Ames v. Baker, </w:t>
        </w:r>
        <w:r w:rsidRPr="00C3377D">
          <w:rPr>
            <w:rStyle w:val="Hyperlink"/>
            <w:rFonts w:asciiTheme="minorHAnsi" w:hAnsiTheme="minorHAnsi" w:cstheme="minorHAnsi"/>
            <w:i/>
            <w:sz w:val="16"/>
            <w:szCs w:val="16"/>
          </w:rPr>
          <w:t>Dublikar, Beck, Wiley &amp; Mathews</w:t>
        </w:r>
      </w:hyperlink>
      <w:r w:rsidRPr="00C3377D">
        <w:rPr>
          <w:rFonts w:asciiTheme="minorHAnsi" w:hAnsiTheme="minorHAnsi" w:cstheme="minorHAnsi"/>
          <w:sz w:val="16"/>
          <w:szCs w:val="16"/>
        </w:rPr>
        <w:t>, 170 Ohio St.3d 239, 2022-Ohio-3990, ¶ 7 (applying a modified version of the quasi-agency test and holding that when a requester has adequately proved the first prong of the quasi-agency test, the requester has met his burden of proving that a delegated public duty establishes that the documents relating to the delegated functions are public records).</w:t>
      </w:r>
    </w:p>
  </w:endnote>
  <w:endnote w:id="89">
    <w:p w14:paraId="7E1A136B" w14:textId="354E88EE"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The legal definition of “person” “includes an individual, corporation, business trust, estate, trust, partnership, and association.” </w:t>
      </w:r>
      <w:hyperlink r:id="rId158" w:history="1">
        <w:r w:rsidRPr="00E01643">
          <w:rPr>
            <w:rStyle w:val="Hyperlink"/>
            <w:rFonts w:asciiTheme="minorHAnsi" w:hAnsiTheme="minorHAnsi" w:cstheme="minorHAnsi"/>
            <w:sz w:val="16"/>
            <w:szCs w:val="16"/>
          </w:rPr>
          <w:t>R.C. 1.59</w:t>
        </w:r>
        <w:r w:rsidR="00E01643" w:rsidRPr="00E01643">
          <w:rPr>
            <w:rStyle w:val="Hyperlink"/>
            <w:rFonts w:asciiTheme="minorHAnsi" w:hAnsiTheme="minorHAnsi" w:cstheme="minorHAnsi"/>
            <w:sz w:val="16"/>
            <w:szCs w:val="16"/>
          </w:rPr>
          <w:t>(C)</w:t>
        </w:r>
      </w:hyperlink>
      <w:r w:rsidRPr="00C3377D">
        <w:rPr>
          <w:rFonts w:asciiTheme="minorHAnsi" w:hAnsiTheme="minorHAnsi" w:cstheme="minorHAnsi"/>
          <w:sz w:val="16"/>
          <w:szCs w:val="16"/>
        </w:rPr>
        <w:t>.</w:t>
      </w:r>
    </w:p>
  </w:endnote>
  <w:endnote w:id="90">
    <w:p w14:paraId="4967FC5D" w14:textId="07A9F37B"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59" w:history="1">
        <w:r w:rsidRPr="00C3377D">
          <w:rPr>
            <w:rStyle w:val="Hyperlink"/>
            <w:rFonts w:asciiTheme="minorHAnsi" w:hAnsiTheme="minorHAnsi" w:cstheme="minorHAnsi"/>
            <w:i/>
            <w:sz w:val="16"/>
            <w:szCs w:val="16"/>
          </w:rPr>
          <w:t>State ex rel. Toledo Blade Co. v. Ohio Bur. of Workers’ Comp.</w:t>
        </w:r>
      </w:hyperlink>
      <w:r w:rsidRPr="00C3377D">
        <w:rPr>
          <w:rFonts w:asciiTheme="minorHAnsi" w:hAnsiTheme="minorHAnsi" w:cstheme="minorHAnsi"/>
          <w:sz w:val="16"/>
          <w:szCs w:val="16"/>
        </w:rPr>
        <w:t xml:space="preserve">, 106 Ohio St.3d 113, 2005-Ohio-3549, ¶ 20 (“R.C. 149.43(C) permits a mandamus action against either ‘a public office or the person responsible for the public record’ to compel compliance with the Public Records Act.  This provision ‘manifests an intent to afford access to public records, even when a private entity is responsible for the records.’”); </w:t>
      </w:r>
      <w:hyperlink r:id="rId160" w:history="1">
        <w:r w:rsidRPr="00C3377D">
          <w:rPr>
            <w:rStyle w:val="Hyperlink"/>
            <w:rFonts w:asciiTheme="minorHAnsi" w:hAnsiTheme="minorHAnsi" w:cstheme="minorHAnsi"/>
            <w:i/>
            <w:sz w:val="16"/>
            <w:szCs w:val="16"/>
          </w:rPr>
          <w:t xml:space="preserve">State ex rel. Cincinnati Enquirer v. </w:t>
        </w:r>
        <w:r w:rsidRPr="00C3377D">
          <w:rPr>
            <w:rStyle w:val="Hyperlink"/>
            <w:rFonts w:asciiTheme="minorHAnsi" w:hAnsiTheme="minorHAnsi" w:cstheme="minorHAnsi"/>
            <w:i/>
            <w:sz w:val="16"/>
            <w:szCs w:val="16"/>
          </w:rPr>
          <w:t>Krings</w:t>
        </w:r>
      </w:hyperlink>
      <w:r w:rsidRPr="00C3377D">
        <w:rPr>
          <w:rFonts w:asciiTheme="minorHAnsi" w:hAnsiTheme="minorHAnsi" w:cstheme="minorHAnsi"/>
          <w:sz w:val="16"/>
          <w:szCs w:val="16"/>
        </w:rPr>
        <w:t xml:space="preserve">, 93 Ohio St.3d 654, 658 (2001); </w:t>
      </w:r>
      <w:hyperlink r:id="rId161" w:history="1">
        <w:r w:rsidRPr="00C3377D">
          <w:rPr>
            <w:rStyle w:val="Hyperlink"/>
            <w:rFonts w:asciiTheme="minorHAnsi" w:hAnsiTheme="minorHAnsi" w:cstheme="minorHAnsi"/>
            <w:i/>
            <w:sz w:val="16"/>
            <w:szCs w:val="16"/>
          </w:rPr>
          <w:t>State ex rel. Dist. Eight Regional Org. Comm. v. Cincinnati-Hamilton Cty</w:t>
        </w:r>
        <w:r w:rsidR="00E01643">
          <w:rPr>
            <w:rStyle w:val="Hyperlink"/>
            <w:rFonts w:asciiTheme="minorHAnsi" w:hAnsiTheme="minorHAnsi" w:cstheme="minorHAnsi"/>
            <w:i/>
            <w:sz w:val="16"/>
            <w:szCs w:val="16"/>
          </w:rPr>
          <w:t>.</w:t>
        </w:r>
        <w:r w:rsidRPr="00C3377D">
          <w:rPr>
            <w:rStyle w:val="Hyperlink"/>
            <w:rFonts w:asciiTheme="minorHAnsi" w:hAnsiTheme="minorHAnsi" w:cstheme="minorHAnsi"/>
            <w:i/>
            <w:sz w:val="16"/>
            <w:szCs w:val="16"/>
          </w:rPr>
          <w:t xml:space="preserve"> Cmty. Action Agency</w:t>
        </w:r>
      </w:hyperlink>
      <w:r w:rsidRPr="00C3377D">
        <w:rPr>
          <w:rFonts w:asciiTheme="minorHAnsi" w:hAnsiTheme="minorHAnsi" w:cstheme="minorHAnsi"/>
          <w:sz w:val="16"/>
          <w:szCs w:val="16"/>
        </w:rPr>
        <w:t xml:space="preserve">, 192 Ohio App.3d 553, 2011-Ohio-312 (1st Dist.) (home weatherization program administered by private non-profit community action agency is not a person responsible for public records); </w:t>
      </w:r>
      <w:hyperlink r:id="rId162" w:history="1">
        <w:r w:rsidRPr="00C3377D">
          <w:rPr>
            <w:rStyle w:val="Hyperlink"/>
            <w:rFonts w:asciiTheme="minorHAnsi" w:hAnsiTheme="minorHAnsi" w:cstheme="minorHAnsi"/>
            <w:i/>
            <w:sz w:val="16"/>
            <w:szCs w:val="16"/>
          </w:rPr>
          <w:t>State ex rel. Doe v. Tetrault</w:t>
        </w:r>
      </w:hyperlink>
      <w:r w:rsidRPr="00C3377D">
        <w:rPr>
          <w:rFonts w:asciiTheme="minorHAnsi" w:hAnsiTheme="minorHAnsi" w:cstheme="minorHAnsi"/>
          <w:sz w:val="16"/>
          <w:szCs w:val="16"/>
        </w:rPr>
        <w:t xml:space="preserve">, 12th Dist. Clermont No. CA2011-10-070, 2012-Ohio-3879, ¶ 26 (township employee who tracked hours on online management website and then submitted those hours was not “particular official” charged with duty to oversee public records and cannot be the “‘person responsible’ for the records requested under R.C. 149.43”); </w:t>
      </w:r>
      <w:hyperlink r:id="rId163" w:history="1">
        <w:r w:rsidRPr="00C3377D">
          <w:rPr>
            <w:rStyle w:val="Hyperlink"/>
            <w:rFonts w:asciiTheme="minorHAnsi" w:hAnsiTheme="minorHAnsi" w:cstheme="minorHAnsi"/>
            <w:i/>
            <w:sz w:val="16"/>
            <w:szCs w:val="16"/>
          </w:rPr>
          <w:t>S</w:t>
        </w:r>
        <w:r w:rsidR="00E01643">
          <w:rPr>
            <w:rStyle w:val="Hyperlink"/>
            <w:rFonts w:asciiTheme="minorHAnsi" w:hAnsiTheme="minorHAnsi" w:cstheme="minorHAnsi"/>
            <w:i/>
            <w:sz w:val="16"/>
            <w:szCs w:val="16"/>
          </w:rPr>
          <w:t>tate</w:t>
        </w:r>
        <w:r w:rsidRPr="00C3377D">
          <w:rPr>
            <w:rStyle w:val="Hyperlink"/>
            <w:rFonts w:asciiTheme="minorHAnsi" w:hAnsiTheme="minorHAnsi" w:cstheme="minorHAnsi"/>
            <w:i/>
            <w:sz w:val="16"/>
            <w:szCs w:val="16"/>
          </w:rPr>
          <w:t xml:space="preserve"> ex rel. Am. Ctr. for Econ. Equal. v. Jackson</w:t>
        </w:r>
      </w:hyperlink>
      <w:r w:rsidRPr="00C3377D">
        <w:rPr>
          <w:rFonts w:asciiTheme="minorHAnsi" w:hAnsiTheme="minorHAnsi" w:cstheme="minorHAnsi"/>
          <w:sz w:val="16"/>
          <w:szCs w:val="16"/>
        </w:rPr>
        <w:t xml:space="preserve">, </w:t>
      </w:r>
      <w:r w:rsidR="00367F58">
        <w:rPr>
          <w:rFonts w:asciiTheme="minorHAnsi" w:hAnsiTheme="minorHAnsi" w:cstheme="minorHAnsi"/>
          <w:sz w:val="16"/>
          <w:szCs w:val="16"/>
        </w:rPr>
        <w:t xml:space="preserve">8th Dist. Cuyahoga </w:t>
      </w:r>
      <w:r w:rsidR="00367F58" w:rsidRPr="00367F58">
        <w:rPr>
          <w:rFonts w:asciiTheme="minorHAnsi" w:hAnsiTheme="minorHAnsi" w:cstheme="minorHAnsi"/>
          <w:sz w:val="16"/>
          <w:szCs w:val="16"/>
        </w:rPr>
        <w:t>No. 102298</w:t>
      </w:r>
      <w:r w:rsidR="00367F58">
        <w:rPr>
          <w:rFonts w:asciiTheme="minorHAnsi" w:hAnsiTheme="minorHAnsi" w:cstheme="minorHAnsi"/>
          <w:sz w:val="16"/>
          <w:szCs w:val="16"/>
        </w:rPr>
        <w:t xml:space="preserve">, </w:t>
      </w:r>
      <w:r w:rsidRPr="00C3377D">
        <w:rPr>
          <w:rFonts w:asciiTheme="minorHAnsi" w:hAnsiTheme="minorHAnsi" w:cstheme="minorHAnsi"/>
          <w:sz w:val="16"/>
          <w:szCs w:val="16"/>
        </w:rPr>
        <w:t xml:space="preserve">2015-Ohio-4981, ¶ 33 (8th Dist.) (private company that entered into contract with city to conduct study and make recommendations to ensure equal opportunities for minorities is a person responsible for records); </w:t>
      </w:r>
      <w:hyperlink r:id="rId164" w:history="1">
        <w:r w:rsidRPr="00C3377D">
          <w:rPr>
            <w:rStyle w:val="Hyperlink"/>
            <w:rFonts w:asciiTheme="minorHAnsi" w:hAnsiTheme="minorHAnsi" w:cstheme="minorHAnsi"/>
            <w:i/>
            <w:sz w:val="16"/>
            <w:szCs w:val="16"/>
          </w:rPr>
          <w:t>S</w:t>
        </w:r>
        <w:r w:rsidR="00E01643">
          <w:rPr>
            <w:rStyle w:val="Hyperlink"/>
            <w:rFonts w:asciiTheme="minorHAnsi" w:hAnsiTheme="minorHAnsi" w:cstheme="minorHAnsi"/>
            <w:i/>
            <w:sz w:val="16"/>
            <w:szCs w:val="16"/>
          </w:rPr>
          <w:t>tate ex rel. S</w:t>
        </w:r>
        <w:r w:rsidRPr="00C3377D">
          <w:rPr>
            <w:rStyle w:val="Hyperlink"/>
            <w:rFonts w:asciiTheme="minorHAnsi" w:hAnsiTheme="minorHAnsi" w:cstheme="minorHAnsi"/>
            <w:i/>
            <w:sz w:val="16"/>
            <w:szCs w:val="16"/>
          </w:rPr>
          <w:t>heil v. Horton</w:t>
        </w:r>
      </w:hyperlink>
      <w:r w:rsidRPr="00C3377D">
        <w:rPr>
          <w:rFonts w:asciiTheme="minorHAnsi" w:hAnsiTheme="minorHAnsi" w:cstheme="minorHAnsi"/>
          <w:sz w:val="16"/>
          <w:szCs w:val="16"/>
        </w:rPr>
        <w:t xml:space="preserve">, </w:t>
      </w:r>
      <w:r w:rsidR="00367F58" w:rsidRPr="00367F58">
        <w:rPr>
          <w:rFonts w:asciiTheme="minorHAnsi" w:hAnsiTheme="minorHAnsi" w:cstheme="minorHAnsi"/>
          <w:sz w:val="16"/>
          <w:szCs w:val="16"/>
        </w:rPr>
        <w:t>8th Dist. Cuyahoga No. 107329</w:t>
      </w:r>
      <w:r w:rsidR="00367F58">
        <w:rPr>
          <w:rFonts w:asciiTheme="minorHAnsi" w:hAnsiTheme="minorHAnsi" w:cstheme="minorHAnsi"/>
          <w:sz w:val="16"/>
          <w:szCs w:val="16"/>
        </w:rPr>
        <w:t xml:space="preserve">, </w:t>
      </w:r>
      <w:r w:rsidRPr="00C3377D">
        <w:rPr>
          <w:rFonts w:asciiTheme="minorHAnsi" w:hAnsiTheme="minorHAnsi" w:cstheme="minorHAnsi"/>
          <w:sz w:val="16"/>
          <w:szCs w:val="16"/>
        </w:rPr>
        <w:t>2018-Ohio-5240, ¶ 17-42 (community college foundation met the elements to qualify as a “person responsible for records” of community college, but concluded this issue moot).</w:t>
      </w:r>
    </w:p>
  </w:endnote>
  <w:endnote w:id="91">
    <w:p w14:paraId="35494571"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165" w:history="1">
        <w:r w:rsidRPr="00C3377D">
          <w:rPr>
            <w:rStyle w:val="Hyperlink"/>
            <w:rFonts w:asciiTheme="minorHAnsi" w:hAnsiTheme="minorHAnsi" w:cstheme="minorHAnsi"/>
            <w:sz w:val="16"/>
            <w:szCs w:val="16"/>
          </w:rPr>
          <w:t>R.C. 149.43(B)(1)-(9), (C)(1), (C)(2).</w:t>
        </w:r>
      </w:hyperlink>
    </w:p>
  </w:endnote>
  <w:endnote w:id="92">
    <w:p w14:paraId="56F9C8BB" w14:textId="30F7D865"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6" w:history="1">
        <w:r w:rsidRPr="00C3377D">
          <w:rPr>
            <w:rStyle w:val="Hyperlink"/>
            <w:rFonts w:asciiTheme="minorHAnsi" w:hAnsiTheme="minorHAnsi" w:cstheme="minorHAnsi"/>
            <w:i/>
            <w:sz w:val="16"/>
            <w:szCs w:val="16"/>
          </w:rPr>
          <w:t xml:space="preserve">State ex rel. Gannett Satellite Info. Network v. </w:t>
        </w:r>
        <w:r w:rsidRPr="00C3377D">
          <w:rPr>
            <w:rStyle w:val="Hyperlink"/>
            <w:rFonts w:asciiTheme="minorHAnsi" w:hAnsiTheme="minorHAnsi" w:cstheme="minorHAnsi"/>
            <w:i/>
            <w:sz w:val="16"/>
            <w:szCs w:val="16"/>
          </w:rPr>
          <w:t>Shirey</w:t>
        </w:r>
      </w:hyperlink>
      <w:r w:rsidRPr="00C3377D">
        <w:rPr>
          <w:rFonts w:asciiTheme="minorHAnsi" w:hAnsiTheme="minorHAnsi" w:cstheme="minorHAnsi"/>
          <w:sz w:val="16"/>
          <w:szCs w:val="16"/>
        </w:rPr>
        <w:t xml:space="preserve">, 78 Ohio St.3d 400, 403-404 (1997); </w:t>
      </w:r>
      <w:hyperlink r:id="rId167" w:history="1">
        <w:r w:rsidRPr="00C3377D">
          <w:rPr>
            <w:rStyle w:val="Hyperlink"/>
            <w:rFonts w:asciiTheme="minorHAnsi" w:hAnsiTheme="minorHAnsi" w:cstheme="minorHAnsi"/>
            <w:i/>
            <w:sz w:val="16"/>
            <w:szCs w:val="16"/>
          </w:rPr>
          <w:t>State ex rel. Carr v Akron</w:t>
        </w:r>
      </w:hyperlink>
      <w:r w:rsidRPr="00C3377D">
        <w:rPr>
          <w:rFonts w:asciiTheme="minorHAnsi" w:hAnsiTheme="minorHAnsi" w:cstheme="minorHAnsi"/>
          <w:sz w:val="16"/>
          <w:szCs w:val="16"/>
        </w:rPr>
        <w:t>, 112 Ohio St.3d 351, 2006-Ohio-6714, ¶ 36-37; for additional discussion, see Chapter Five: A. “Employment Records.”</w:t>
      </w:r>
    </w:p>
  </w:endnote>
  <w:endnote w:id="93">
    <w:p w14:paraId="47968F1E" w14:textId="32EC2778"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8" w:history="1">
        <w:r w:rsidRPr="00C3377D">
          <w:rPr>
            <w:rStyle w:val="Hyperlink"/>
            <w:rFonts w:asciiTheme="minorHAnsi" w:hAnsiTheme="minorHAnsi" w:cstheme="minorHAnsi"/>
            <w:i/>
            <w:sz w:val="16"/>
            <w:szCs w:val="16"/>
          </w:rPr>
          <w:t xml:space="preserve">State ex rel. Gannett Satellite Info. Network v. </w:t>
        </w:r>
        <w:r w:rsidRPr="00C3377D">
          <w:rPr>
            <w:rStyle w:val="Hyperlink"/>
            <w:rFonts w:asciiTheme="minorHAnsi" w:hAnsiTheme="minorHAnsi" w:cstheme="minorHAnsi"/>
            <w:i/>
            <w:sz w:val="16"/>
            <w:szCs w:val="16"/>
          </w:rPr>
          <w:t>Shirey</w:t>
        </w:r>
      </w:hyperlink>
      <w:r w:rsidRPr="00C3377D">
        <w:rPr>
          <w:rFonts w:asciiTheme="minorHAnsi" w:hAnsiTheme="minorHAnsi" w:cstheme="minorHAnsi"/>
          <w:sz w:val="16"/>
          <w:szCs w:val="16"/>
        </w:rPr>
        <w:t>, 78 Ohio St.3d 400, 402-03 (1997) (finding that, despite a lack of proof of public office’s ability to access search firm’s records or monitor performance, requested resumes were still public records).</w:t>
      </w:r>
    </w:p>
  </w:endnote>
  <w:endnote w:id="94">
    <w:p w14:paraId="75FD3BED" w14:textId="715969A6"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69" w:history="1">
        <w:r w:rsidRPr="00C3377D">
          <w:rPr>
            <w:rStyle w:val="Hyperlink"/>
            <w:rFonts w:asciiTheme="minorHAnsi" w:hAnsiTheme="minorHAnsi" w:cstheme="minorHAnsi"/>
            <w:i/>
            <w:sz w:val="16"/>
            <w:szCs w:val="16"/>
          </w:rPr>
          <w:t xml:space="preserve">State ex rel. Cincinnati Enquirer v. </w:t>
        </w:r>
        <w:r w:rsidRPr="00C3377D">
          <w:rPr>
            <w:rStyle w:val="Hyperlink"/>
            <w:rFonts w:asciiTheme="minorHAnsi" w:hAnsiTheme="minorHAnsi" w:cstheme="minorHAnsi"/>
            <w:i/>
            <w:sz w:val="16"/>
            <w:szCs w:val="16"/>
          </w:rPr>
          <w:t>Krings</w:t>
        </w:r>
      </w:hyperlink>
      <w:r w:rsidRPr="00C3377D">
        <w:rPr>
          <w:rFonts w:asciiTheme="minorHAnsi" w:hAnsiTheme="minorHAnsi" w:cstheme="minorHAnsi"/>
          <w:sz w:val="16"/>
          <w:szCs w:val="16"/>
        </w:rPr>
        <w:t xml:space="preserve">, 93 Ohio St.3d 654, 659 (2001); </w:t>
      </w:r>
      <w:hyperlink r:id="rId170" w:history="1">
        <w:r w:rsidRPr="00C3377D">
          <w:rPr>
            <w:rStyle w:val="Hyperlink"/>
            <w:rFonts w:asciiTheme="minorHAnsi" w:hAnsiTheme="minorHAnsi" w:cstheme="minorHAnsi"/>
            <w:i/>
            <w:sz w:val="16"/>
            <w:szCs w:val="16"/>
          </w:rPr>
          <w:t>State ex rel. Gannett Satellite Info. Network v. Shirey</w:t>
        </w:r>
      </w:hyperlink>
      <w:r w:rsidRPr="00C3377D">
        <w:rPr>
          <w:rFonts w:asciiTheme="minorHAnsi" w:hAnsiTheme="minorHAnsi" w:cstheme="minorHAnsi"/>
          <w:sz w:val="16"/>
          <w:szCs w:val="16"/>
        </w:rPr>
        <w:t>, 78 Ohio St.3d 400, 403 (1997).</w:t>
      </w:r>
    </w:p>
  </w:endnote>
  <w:endnote w:id="95">
    <w:p w14:paraId="0EF0DEA0" w14:textId="56B39BE3"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1"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Rittner v. Foley</w:t>
        </w:r>
      </w:hyperlink>
      <w:r w:rsidRPr="00C3377D">
        <w:rPr>
          <w:rFonts w:asciiTheme="minorHAnsi" w:hAnsiTheme="minorHAnsi" w:cstheme="minorHAnsi"/>
          <w:sz w:val="16"/>
          <w:szCs w:val="16"/>
        </w:rPr>
        <w:t xml:space="preserve">, 6th Dist. Lucas No. L-08-1328, 2009-Ohio-520 (finding school system not responsible for alumni rosters kept only by private alumni organizations); </w:t>
      </w:r>
      <w:hyperlink r:id="rId172" w:history="1">
        <w:r w:rsidR="0070578D">
          <w:rPr>
            <w:rStyle w:val="Hyperlink"/>
            <w:rFonts w:asciiTheme="minorHAnsi" w:hAnsiTheme="minorHAnsi" w:cstheme="minorHAnsi"/>
            <w:i/>
            <w:sz w:val="16"/>
            <w:szCs w:val="16"/>
          </w:rPr>
          <w:t>State ex rel. H</w:t>
        </w:r>
        <w:r w:rsidRPr="00C3377D">
          <w:rPr>
            <w:rStyle w:val="Hyperlink"/>
            <w:rFonts w:asciiTheme="minorHAnsi" w:hAnsiTheme="minorHAnsi" w:cstheme="minorHAnsi"/>
            <w:i/>
            <w:sz w:val="16"/>
            <w:szCs w:val="16"/>
          </w:rPr>
          <w:t>urt v. Liberty Twp.</w:t>
        </w:r>
      </w:hyperlink>
      <w:r w:rsidRPr="00C3377D">
        <w:rPr>
          <w:rFonts w:asciiTheme="minorHAnsi" w:hAnsiTheme="minorHAnsi" w:cstheme="minorHAnsi"/>
          <w:sz w:val="16"/>
          <w:szCs w:val="16"/>
        </w:rPr>
        <w:t>, 2017-Ohio-7820, ¶ 51 (5th Dist.) (investigator was “a person responsible for records” because he was performing a governmental function and was even paid by the township with public tax dollars).</w:t>
      </w:r>
    </w:p>
  </w:endnote>
  <w:endnote w:id="96">
    <w:p w14:paraId="4999466A"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3" w:history="1">
        <w:r w:rsidRPr="00C3377D">
          <w:rPr>
            <w:rStyle w:val="Hyperlink"/>
            <w:rFonts w:asciiTheme="minorHAnsi" w:hAnsiTheme="minorHAnsi" w:cstheme="minorHAnsi"/>
            <w:i/>
            <w:sz w:val="16"/>
            <w:szCs w:val="16"/>
          </w:rPr>
          <w:t xml:space="preserve">State ex rel. Keating v. </w:t>
        </w:r>
        <w:r w:rsidRPr="00C3377D">
          <w:rPr>
            <w:rStyle w:val="Hyperlink"/>
            <w:rFonts w:asciiTheme="minorHAnsi" w:hAnsiTheme="minorHAnsi" w:cstheme="minorHAnsi"/>
            <w:i/>
            <w:sz w:val="16"/>
            <w:szCs w:val="16"/>
          </w:rPr>
          <w:t>Skeldon</w:t>
        </w:r>
      </w:hyperlink>
      <w:r w:rsidRPr="00C3377D">
        <w:rPr>
          <w:rFonts w:asciiTheme="minorHAnsi" w:hAnsiTheme="minorHAnsi" w:cstheme="minorHAnsi"/>
          <w:sz w:val="16"/>
          <w:szCs w:val="16"/>
        </w:rPr>
        <w:t>, 6th Dist. Lucas No. L-08-1414, 2009-Ohio-2052 (assistant prosecutor and county public affairs liaison not “persons responsible” for records of county dog warden).</w:t>
      </w:r>
    </w:p>
  </w:endnote>
  <w:endnote w:id="97">
    <w:p w14:paraId="182F2362" w14:textId="4C963361"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74" w:history="1">
        <w:r w:rsidRPr="00C3377D">
          <w:rPr>
            <w:rStyle w:val="Hyperlink"/>
            <w:rFonts w:asciiTheme="minorHAnsi" w:hAnsiTheme="minorHAnsi" w:cstheme="minorHAnsi"/>
            <w:i/>
            <w:iCs/>
            <w:sz w:val="16"/>
            <w:szCs w:val="16"/>
          </w:rPr>
          <w:t xml:space="preserve"> Geauga </w:t>
        </w:r>
        <w:r w:rsidRPr="00C3377D">
          <w:rPr>
            <w:rStyle w:val="Hyperlink"/>
            <w:rFonts w:asciiTheme="minorHAnsi" w:hAnsiTheme="minorHAnsi" w:cstheme="minorHAnsi"/>
            <w:i/>
            <w:iCs/>
            <w:sz w:val="16"/>
            <w:szCs w:val="16"/>
          </w:rPr>
          <w:t>Cty. Prosecutor’s Office v. Munson Fire Dept</w:t>
        </w:r>
      </w:hyperlink>
      <w:r w:rsidR="0070578D">
        <w:rPr>
          <w:rStyle w:val="Hyperlink"/>
          <w:rFonts w:asciiTheme="minorHAnsi" w:hAnsiTheme="minorHAnsi" w:cstheme="minorHAnsi"/>
          <w:i/>
          <w:iCs/>
          <w:sz w:val="16"/>
          <w:szCs w:val="16"/>
        </w:rPr>
        <w:t>.</w:t>
      </w:r>
      <w:r w:rsidRPr="00C3377D">
        <w:rPr>
          <w:rFonts w:asciiTheme="minorHAnsi" w:hAnsiTheme="minorHAnsi" w:cstheme="minorHAnsi"/>
          <w:sz w:val="16"/>
          <w:szCs w:val="16"/>
        </w:rPr>
        <w:t>, Ct. of Cl. No. 2023-00502PQ, 2023-Ohio-3958, ¶ 34 (</w:t>
      </w:r>
      <w:r w:rsidR="0070578D">
        <w:rPr>
          <w:rFonts w:asciiTheme="minorHAnsi" w:hAnsiTheme="minorHAnsi" w:cstheme="minorHAnsi"/>
          <w:sz w:val="16"/>
          <w:szCs w:val="16"/>
        </w:rPr>
        <w:t xml:space="preserve">when </w:t>
      </w:r>
      <w:r w:rsidRPr="00C3377D">
        <w:rPr>
          <w:rFonts w:asciiTheme="minorHAnsi" w:hAnsiTheme="minorHAnsi" w:cstheme="minorHAnsi"/>
          <w:sz w:val="16"/>
          <w:szCs w:val="16"/>
        </w:rPr>
        <w:t>nonprofit corporation contracted with</w:t>
      </w:r>
      <w:r w:rsidR="0070578D">
        <w:rPr>
          <w:rFonts w:asciiTheme="minorHAnsi" w:hAnsiTheme="minorHAnsi" w:cstheme="minorHAnsi"/>
          <w:sz w:val="16"/>
          <w:szCs w:val="16"/>
        </w:rPr>
        <w:t xml:space="preserve"> t</w:t>
      </w:r>
      <w:r w:rsidRPr="00C3377D">
        <w:rPr>
          <w:rFonts w:asciiTheme="minorHAnsi" w:hAnsiTheme="minorHAnsi" w:cstheme="minorHAnsi"/>
          <w:sz w:val="16"/>
          <w:szCs w:val="16"/>
        </w:rPr>
        <w:t>ownship to perform fire protection and emergency services, quasi-agency test</w:t>
      </w:r>
      <w:r w:rsidR="0070578D">
        <w:rPr>
          <w:rFonts w:asciiTheme="minorHAnsi" w:hAnsiTheme="minorHAnsi" w:cstheme="minorHAnsi"/>
          <w:sz w:val="16"/>
          <w:szCs w:val="16"/>
        </w:rPr>
        <w:t xml:space="preserve"> satisfied</w:t>
      </w:r>
      <w:r w:rsidRPr="00C3377D">
        <w:rPr>
          <w:rFonts w:asciiTheme="minorHAnsi" w:hAnsiTheme="minorHAnsi" w:cstheme="minorHAnsi"/>
          <w:sz w:val="16"/>
          <w:szCs w:val="16"/>
        </w:rPr>
        <w:t xml:space="preserve"> because the records sought, documents pertaining to the compensation to individuals who provide fire protection, relate to a government function).</w:t>
      </w:r>
    </w:p>
  </w:endnote>
  <w:endnote w:id="98">
    <w:p w14:paraId="636D1608" w14:textId="77777777"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5" w:history="1">
        <w:r w:rsidRPr="00C3377D">
          <w:rPr>
            <w:rStyle w:val="Hyperlink"/>
            <w:rFonts w:asciiTheme="minorHAnsi" w:hAnsiTheme="minorHAnsi" w:cstheme="minorHAnsi"/>
            <w:i/>
            <w:sz w:val="16"/>
            <w:szCs w:val="16"/>
          </w:rPr>
          <w:t>Cvijetinovic v. Cuyahoga Cty. Aud.</w:t>
        </w:r>
      </w:hyperlink>
      <w:r w:rsidRPr="00C3377D">
        <w:rPr>
          <w:rFonts w:asciiTheme="minorHAnsi" w:hAnsiTheme="minorHAnsi" w:cstheme="minorHAnsi"/>
          <w:sz w:val="16"/>
          <w:szCs w:val="16"/>
        </w:rPr>
        <w:t>, 8th Dist. Cuyahoga No. 96055, 2011-Ohio-1754.</w:t>
      </w:r>
    </w:p>
  </w:endnote>
  <w:endnote w:id="99">
    <w:p w14:paraId="6AF309EB" w14:textId="7467CBA6"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MADD v. </w:t>
      </w:r>
      <w:r w:rsidRPr="00C3377D">
        <w:rPr>
          <w:rFonts w:asciiTheme="minorHAnsi" w:hAnsiTheme="minorHAnsi" w:cstheme="minorHAnsi"/>
          <w:i/>
          <w:sz w:val="16"/>
          <w:szCs w:val="16"/>
        </w:rPr>
        <w:t>Gosser</w:t>
      </w:r>
      <w:r w:rsidRPr="00C3377D">
        <w:rPr>
          <w:rFonts w:asciiTheme="minorHAnsi" w:hAnsiTheme="minorHAnsi" w:cstheme="minorHAnsi"/>
          <w:sz w:val="16"/>
          <w:szCs w:val="16"/>
        </w:rPr>
        <w:t>, 20 Ohio St.3d 30 (1985), paragraph two of the syllabus.</w:t>
      </w:r>
    </w:p>
  </w:endnote>
  <w:endnote w:id="100">
    <w:p w14:paraId="08D0747C" w14:textId="5C887EA3"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6" w:history="1">
        <w:r w:rsidRPr="00C3377D">
          <w:rPr>
            <w:rStyle w:val="Hyperlink"/>
            <w:rFonts w:asciiTheme="minorHAnsi" w:hAnsiTheme="minorHAnsi" w:cstheme="minorHAnsi"/>
            <w:i/>
            <w:sz w:val="16"/>
            <w:szCs w:val="16"/>
          </w:rPr>
          <w:t xml:space="preserve">State ex rel. ACLU of Ohio v. Cuyahoga </w:t>
        </w:r>
        <w:r w:rsidRPr="00C3377D">
          <w:rPr>
            <w:rStyle w:val="Hyperlink"/>
            <w:rFonts w:asciiTheme="minorHAnsi" w:hAnsiTheme="minorHAnsi" w:cstheme="minorHAnsi"/>
            <w:i/>
            <w:sz w:val="16"/>
            <w:szCs w:val="16"/>
          </w:rPr>
          <w:t>Cty. Bd. Commrs.</w:t>
        </w:r>
      </w:hyperlink>
      <w:r w:rsidRPr="00C3377D">
        <w:rPr>
          <w:rFonts w:asciiTheme="minorHAnsi" w:hAnsiTheme="minorHAnsi" w:cstheme="minorHAnsi"/>
          <w:sz w:val="16"/>
          <w:szCs w:val="16"/>
        </w:rPr>
        <w:t>, 128 Ohio St.3d 256, 2011-Ohio-625, ¶ 33-34.</w:t>
      </w:r>
    </w:p>
  </w:endnote>
  <w:endnote w:id="101">
    <w:p w14:paraId="4011731E" w14:textId="4E0B0AAB" w:rsidR="009966FC" w:rsidRPr="00C3377D"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v. Sanchez</w:t>
      </w:r>
      <w:r w:rsidRPr="00C3377D">
        <w:rPr>
          <w:rFonts w:asciiTheme="minorHAnsi" w:hAnsiTheme="minorHAnsi" w:cstheme="minorHAnsi"/>
          <w:sz w:val="16"/>
          <w:szCs w:val="16"/>
        </w:rPr>
        <w:t>, 79 Ohio App.3d 133, 136 (6th Dist. 1992).</w:t>
      </w:r>
    </w:p>
  </w:endnote>
  <w:endnote w:id="102">
    <w:p w14:paraId="787A16F8" w14:textId="6D566AFE" w:rsidR="009966FC" w:rsidRPr="00B42E67" w:rsidRDefault="009966FC"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7" w:history="1">
        <w:r w:rsidRPr="00C3377D">
          <w:rPr>
            <w:rStyle w:val="Hyperlink"/>
            <w:rFonts w:asciiTheme="minorHAnsi" w:hAnsiTheme="minorHAnsi" w:cstheme="minorHAnsi"/>
            <w:i/>
            <w:sz w:val="16"/>
            <w:szCs w:val="16"/>
          </w:rPr>
          <w:t>State ex rel. Cushion v. Massillon</w:t>
        </w:r>
      </w:hyperlink>
      <w:r w:rsidRPr="00C3377D">
        <w:rPr>
          <w:rFonts w:asciiTheme="minorHAnsi" w:hAnsiTheme="minorHAnsi" w:cstheme="minorHAnsi"/>
          <w:sz w:val="16"/>
          <w:szCs w:val="16"/>
        </w:rPr>
        <w:t>, 5th Dist. Stark No. 2010CA00199, 2011-Ohio-4749, ¶ 81-86.</w:t>
      </w:r>
    </w:p>
  </w:endnote>
  <w:endnote w:id="103">
    <w:p w14:paraId="7B0D3855" w14:textId="7F5A847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8" w:history="1">
        <w:r w:rsidRPr="00C3377D">
          <w:rPr>
            <w:rStyle w:val="Hyperlink"/>
            <w:rFonts w:asciiTheme="minorHAnsi" w:hAnsiTheme="minorHAnsi" w:cstheme="minorHAnsi"/>
            <w:sz w:val="16"/>
            <w:szCs w:val="16"/>
          </w:rPr>
          <w:t>R.C. 149.43(B)(2).</w:t>
        </w:r>
      </w:hyperlink>
    </w:p>
  </w:endnote>
  <w:endnote w:id="104">
    <w:p w14:paraId="453705A5" w14:textId="64FB1DD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79"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Zidonis v. Columbus State Community College</w:t>
        </w:r>
      </w:hyperlink>
      <w:r w:rsidRPr="00C3377D">
        <w:rPr>
          <w:rFonts w:asciiTheme="minorHAnsi" w:hAnsiTheme="minorHAnsi" w:cstheme="minorHAnsi"/>
          <w:sz w:val="16"/>
          <w:szCs w:val="16"/>
        </w:rPr>
        <w:t xml:space="preserve">, 133 Ohio St.3d 122, 2012-Ohio-4228, ¶ 30 (the Public Records Act “does not expressly require public offices to maintain e-mail records so that they can be retrieved based on sender and recipient status”); </w:t>
      </w:r>
      <w:hyperlink r:id="rId180" w:history="1">
        <w:r w:rsidRPr="00C3377D">
          <w:rPr>
            <w:rStyle w:val="Hyperlink"/>
            <w:rFonts w:asciiTheme="minorHAnsi" w:hAnsiTheme="minorHAnsi" w:cstheme="minorHAnsi"/>
            <w:i/>
            <w:sz w:val="16"/>
            <w:szCs w:val="16"/>
          </w:rPr>
          <w:t>State ex rel. Bardwell v. City of Cleveland</w:t>
        </w:r>
      </w:hyperlink>
      <w:r w:rsidRPr="00C3377D">
        <w:rPr>
          <w:rFonts w:asciiTheme="minorHAnsi" w:hAnsiTheme="minorHAnsi" w:cstheme="minorHAnsi"/>
          <w:sz w:val="16"/>
          <w:szCs w:val="16"/>
        </w:rPr>
        <w:t>, 126 Ohio St.3d 195, 2010-Ohio-3267, ¶ 5 (</w:t>
      </w:r>
      <w:r w:rsidR="00322507">
        <w:rPr>
          <w:rFonts w:asciiTheme="minorHAnsi" w:hAnsiTheme="minorHAnsi" w:cstheme="minorHAnsi"/>
          <w:sz w:val="16"/>
          <w:szCs w:val="16"/>
        </w:rPr>
        <w:t xml:space="preserve">when </w:t>
      </w:r>
      <w:r w:rsidRPr="00C3377D">
        <w:rPr>
          <w:rFonts w:asciiTheme="minorHAnsi" w:hAnsiTheme="minorHAnsi" w:cstheme="minorHAnsi"/>
          <w:sz w:val="16"/>
          <w:szCs w:val="16"/>
        </w:rPr>
        <w:t>police department kept pawnbroker reports on 3x5 notecards</w:t>
      </w:r>
      <w:r w:rsidR="00322507">
        <w:rPr>
          <w:rFonts w:asciiTheme="minorHAnsi" w:hAnsiTheme="minorHAnsi" w:cstheme="minorHAnsi"/>
          <w:sz w:val="16"/>
          <w:szCs w:val="16"/>
        </w:rPr>
        <w:t>, there was no requirement to adopt a more efficient or updated system</w:t>
      </w:r>
      <w:r w:rsidRPr="00C3377D">
        <w:rPr>
          <w:rFonts w:asciiTheme="minorHAnsi" w:hAnsiTheme="minorHAnsi" w:cstheme="minorHAnsi"/>
          <w:sz w:val="16"/>
          <w:szCs w:val="16"/>
        </w:rPr>
        <w:t>).</w:t>
      </w:r>
    </w:p>
  </w:endnote>
  <w:endnote w:id="105">
    <w:p w14:paraId="6AE07304" w14:textId="28D7C10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1" w:history="1">
        <w:r w:rsidRPr="00C3377D">
          <w:rPr>
            <w:rStyle w:val="Hyperlink"/>
            <w:rFonts w:asciiTheme="minorHAnsi" w:hAnsiTheme="minorHAnsi" w:cstheme="minorHAnsi"/>
            <w:i/>
            <w:sz w:val="16"/>
            <w:szCs w:val="16"/>
          </w:rPr>
          <w:t>State ex rel. Evans v. City of Parma</w:t>
        </w:r>
      </w:hyperlink>
      <w:r w:rsidRPr="00C3377D">
        <w:rPr>
          <w:rFonts w:asciiTheme="minorHAnsi" w:hAnsiTheme="minorHAnsi" w:cstheme="minorHAnsi"/>
          <w:sz w:val="16"/>
          <w:szCs w:val="16"/>
        </w:rPr>
        <w:t>, 8th Dist. Cuyahoga No. 81236, 2003-Ohio-1159, ¶ 15</w:t>
      </w:r>
      <w:r w:rsidR="00EE4FEF" w:rsidRPr="00C3377D">
        <w:rPr>
          <w:rFonts w:asciiTheme="minorHAnsi" w:hAnsiTheme="minorHAnsi" w:cstheme="minorHAnsi"/>
          <w:sz w:val="16"/>
          <w:szCs w:val="16"/>
        </w:rPr>
        <w:t>.</w:t>
      </w:r>
    </w:p>
  </w:endnote>
  <w:endnote w:id="106">
    <w:p w14:paraId="3FA945C2" w14:textId="542A2F3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2" w:history="1">
        <w:r w:rsidRPr="00C3377D">
          <w:rPr>
            <w:rStyle w:val="Hyperlink"/>
            <w:rFonts w:asciiTheme="minorHAnsi" w:hAnsiTheme="minorHAnsi" w:cstheme="minorHAnsi"/>
            <w:i/>
            <w:sz w:val="16"/>
            <w:szCs w:val="16"/>
          </w:rPr>
          <w:t>State ex rel. Patton v. Rhodes</w:t>
        </w:r>
      </w:hyperlink>
      <w:r w:rsidRPr="00C3377D">
        <w:rPr>
          <w:rFonts w:asciiTheme="minorHAnsi" w:hAnsiTheme="minorHAnsi" w:cstheme="minorHAnsi"/>
          <w:sz w:val="16"/>
          <w:szCs w:val="16"/>
        </w:rPr>
        <w:t>, 129 Ohio St.3d 182, 2011-Ohio-3093, ¶ 15-17.</w:t>
      </w:r>
    </w:p>
  </w:endnote>
  <w:endnote w:id="107">
    <w:p w14:paraId="5BE5ED21" w14:textId="4FA8C6A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3" w:history="1">
        <w:r w:rsidRPr="00C3377D">
          <w:rPr>
            <w:rStyle w:val="Hyperlink"/>
            <w:rFonts w:asciiTheme="minorHAnsi" w:hAnsiTheme="minorHAnsi" w:cstheme="minorHAnsi"/>
            <w:i/>
            <w:sz w:val="16"/>
            <w:szCs w:val="16"/>
          </w:rPr>
          <w:t>State ex rel. White v. Goldsberry</w:t>
        </w:r>
      </w:hyperlink>
      <w:r w:rsidRPr="00C3377D">
        <w:rPr>
          <w:rFonts w:asciiTheme="minorHAnsi" w:hAnsiTheme="minorHAnsi" w:cstheme="minorHAnsi"/>
          <w:sz w:val="16"/>
          <w:szCs w:val="16"/>
        </w:rPr>
        <w:t xml:space="preserve">, 85 Ohio St.3d 153, 154 (1999); </w:t>
      </w:r>
      <w:r w:rsidRPr="00C3377D">
        <w:rPr>
          <w:rFonts w:asciiTheme="minorHAnsi" w:hAnsiTheme="minorHAnsi" w:cstheme="minorHAnsi"/>
          <w:i/>
          <w:sz w:val="16"/>
          <w:szCs w:val="16"/>
        </w:rPr>
        <w:t xml:space="preserve">State ex rel. Griffin v. </w:t>
      </w:r>
      <w:r w:rsidRPr="00C3377D">
        <w:rPr>
          <w:rFonts w:asciiTheme="minorHAnsi" w:hAnsiTheme="minorHAnsi" w:cstheme="minorHAnsi"/>
          <w:i/>
          <w:sz w:val="16"/>
          <w:szCs w:val="16"/>
        </w:rPr>
        <w:t xml:space="preserve">Sehlmeyer, </w:t>
      </w:r>
      <w:r w:rsidRPr="00C3377D">
        <w:rPr>
          <w:rFonts w:asciiTheme="minorHAnsi" w:hAnsiTheme="minorHAnsi" w:cstheme="minorHAnsi"/>
          <w:sz w:val="16"/>
          <w:szCs w:val="16"/>
        </w:rPr>
        <w:t>166 Ohio St.</w:t>
      </w:r>
      <w:r w:rsidR="00EE4FEF" w:rsidRPr="00C3377D">
        <w:rPr>
          <w:rFonts w:asciiTheme="minorHAnsi" w:hAnsiTheme="minorHAnsi" w:cstheme="minorHAnsi"/>
          <w:sz w:val="16"/>
          <w:szCs w:val="16"/>
        </w:rPr>
        <w:t>3d 25</w:t>
      </w:r>
      <w:r w:rsidRPr="00C3377D">
        <w:rPr>
          <w:rFonts w:asciiTheme="minorHAnsi" w:hAnsiTheme="minorHAnsi" w:cstheme="minorHAnsi"/>
          <w:sz w:val="16"/>
          <w:szCs w:val="16"/>
        </w:rPr>
        <w:t>8, 2021-Ohio-3624, ¶ 5.</w:t>
      </w:r>
    </w:p>
  </w:endnote>
  <w:endnote w:id="108">
    <w:p w14:paraId="1EC6FA09" w14:textId="2EEA1A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4" w:history="1">
        <w:r w:rsidRPr="00C3377D">
          <w:rPr>
            <w:rStyle w:val="Hyperlink"/>
            <w:rFonts w:asciiTheme="minorHAnsi" w:hAnsiTheme="minorHAnsi" w:cstheme="minorHAnsi"/>
            <w:sz w:val="16"/>
            <w:szCs w:val="16"/>
          </w:rPr>
          <w:t>R.C. 149.43(B)(2)</w:t>
        </w:r>
      </w:hyperlink>
      <w:r w:rsidRPr="00C3377D">
        <w:rPr>
          <w:rFonts w:asciiTheme="minorHAnsi" w:hAnsiTheme="minorHAnsi" w:cstheme="minorHAnsi"/>
          <w:sz w:val="16"/>
          <w:szCs w:val="16"/>
        </w:rPr>
        <w:t xml:space="preserve">; for additional discussion,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Chapter </w:t>
      </w:r>
      <w:r w:rsidR="006F2F1F" w:rsidRPr="00C3377D">
        <w:rPr>
          <w:rFonts w:asciiTheme="minorHAnsi" w:hAnsiTheme="minorHAnsi" w:cstheme="minorHAnsi"/>
          <w:sz w:val="16"/>
          <w:szCs w:val="16"/>
        </w:rPr>
        <w:t>Seven</w:t>
      </w:r>
      <w:r w:rsidRPr="00C3377D">
        <w:rPr>
          <w:rFonts w:asciiTheme="minorHAnsi" w:hAnsiTheme="minorHAnsi" w:cstheme="minorHAnsi"/>
          <w:sz w:val="16"/>
          <w:szCs w:val="16"/>
        </w:rPr>
        <w:t>:  A. “Records Management.”</w:t>
      </w:r>
    </w:p>
  </w:endnote>
  <w:endnote w:id="109">
    <w:p w14:paraId="5272E616" w14:textId="580FB20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5" w:history="1">
        <w:r w:rsidRPr="00C3377D">
          <w:rPr>
            <w:rStyle w:val="Hyperlink"/>
            <w:rFonts w:asciiTheme="minorHAnsi" w:hAnsiTheme="minorHAnsi" w:cstheme="minorHAnsi"/>
            <w:sz w:val="16"/>
            <w:szCs w:val="16"/>
          </w:rPr>
          <w:t xml:space="preserve">2006 Ohio </w:t>
        </w:r>
        <w:r w:rsidRPr="00C3377D">
          <w:rPr>
            <w:rStyle w:val="Hyperlink"/>
            <w:rFonts w:asciiTheme="minorHAnsi" w:hAnsiTheme="minorHAnsi" w:cstheme="minorHAnsi"/>
            <w:sz w:val="16"/>
            <w:szCs w:val="16"/>
          </w:rPr>
          <w:t>Atty.Gen.Ops. No. 038.</w:t>
        </w:r>
      </w:hyperlink>
    </w:p>
  </w:endnote>
  <w:endnote w:id="110">
    <w:p w14:paraId="1CF1CA63" w14:textId="6650B5A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6" w:history="1">
        <w:r w:rsidRPr="00C3377D">
          <w:rPr>
            <w:rStyle w:val="Hyperlink"/>
            <w:rFonts w:asciiTheme="minorHAnsi" w:hAnsiTheme="minorHAnsi" w:cstheme="minorHAnsi"/>
            <w:sz w:val="16"/>
            <w:szCs w:val="16"/>
          </w:rPr>
          <w:t>R.C. 1.59(C)</w:t>
        </w:r>
      </w:hyperlink>
      <w:r w:rsidRPr="00C3377D">
        <w:rPr>
          <w:rFonts w:asciiTheme="minorHAnsi" w:hAnsiTheme="minorHAnsi" w:cstheme="minorHAnsi"/>
          <w:sz w:val="16"/>
          <w:szCs w:val="16"/>
        </w:rPr>
        <w:t xml:space="preserve">; </w:t>
      </w:r>
      <w:hyperlink r:id="rId187" w:history="1">
        <w:r w:rsidRPr="00C3377D">
          <w:rPr>
            <w:rStyle w:val="Hyperlink"/>
            <w:rFonts w:asciiTheme="minorHAnsi" w:hAnsiTheme="minorHAnsi" w:cstheme="minorHAnsi"/>
            <w:sz w:val="16"/>
            <w:szCs w:val="16"/>
          </w:rPr>
          <w:t xml:space="preserve">1990 Ohio </w:t>
        </w:r>
        <w:r w:rsidRPr="00C3377D">
          <w:rPr>
            <w:rStyle w:val="Hyperlink"/>
            <w:rFonts w:asciiTheme="minorHAnsi" w:hAnsiTheme="minorHAnsi" w:cstheme="minorHAnsi"/>
            <w:sz w:val="16"/>
            <w:szCs w:val="16"/>
          </w:rPr>
          <w:t>Atty.Gen.Ops. No. 050.</w:t>
        </w:r>
      </w:hyperlink>
    </w:p>
  </w:endnote>
  <w:endnote w:id="111">
    <w:p w14:paraId="02EDFD21" w14:textId="24C9D50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8" w:history="1">
        <w:r w:rsidRPr="00C3377D">
          <w:rPr>
            <w:rStyle w:val="Hyperlink"/>
            <w:rFonts w:asciiTheme="minorHAnsi" w:hAnsiTheme="minorHAnsi" w:cstheme="minorHAnsi"/>
            <w:i/>
            <w:sz w:val="16"/>
            <w:szCs w:val="16"/>
          </w:rPr>
          <w:t>State ex rel. Taxpayers Coalition v. Lakewood</w:t>
        </w:r>
      </w:hyperlink>
      <w:r w:rsidRPr="00C3377D">
        <w:rPr>
          <w:rFonts w:asciiTheme="minorHAnsi" w:hAnsiTheme="minorHAnsi" w:cstheme="minorHAnsi"/>
          <w:sz w:val="16"/>
          <w:szCs w:val="16"/>
        </w:rPr>
        <w:t>, 86 Ohio St.3d 385, 389-90 (1999) (no duty to provide records that do not exist).</w:t>
      </w:r>
    </w:p>
  </w:endnote>
  <w:endnote w:id="112">
    <w:p w14:paraId="22C3FCA2" w14:textId="70DD3E2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89" w:history="1">
        <w:r w:rsidRPr="00C3377D">
          <w:rPr>
            <w:rStyle w:val="Hyperlink"/>
            <w:rFonts w:asciiTheme="minorHAnsi" w:hAnsiTheme="minorHAnsi" w:cstheme="minorHAnsi"/>
            <w:i/>
            <w:sz w:val="16"/>
            <w:szCs w:val="16"/>
          </w:rPr>
          <w:t xml:space="preserve">State ex rel. Toledo Blade Co. v. Seneca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120 Ohio St.3d 372, 2008-Ohio-6253, ¶ 23 (</w:t>
      </w:r>
      <w:r w:rsidR="00F70134">
        <w:rPr>
          <w:rFonts w:asciiTheme="minorHAnsi" w:hAnsiTheme="minorHAnsi" w:cstheme="minorHAnsi"/>
          <w:sz w:val="16"/>
          <w:szCs w:val="16"/>
        </w:rPr>
        <w:t xml:space="preserve">when </w:t>
      </w:r>
      <w:r w:rsidRPr="00C3377D">
        <w:rPr>
          <w:rFonts w:asciiTheme="minorHAnsi" w:hAnsiTheme="minorHAnsi" w:cstheme="minorHAnsi"/>
          <w:sz w:val="16"/>
          <w:szCs w:val="16"/>
        </w:rPr>
        <w:t>“public records</w:t>
      </w:r>
      <w:r w:rsidR="00BC2F0F" w:rsidRPr="00C3377D">
        <w:rPr>
          <w:rFonts w:asciiTheme="minorHAnsi" w:hAnsiTheme="minorHAnsi" w:cstheme="minorHAnsi"/>
          <w:sz w:val="16"/>
          <w:szCs w:val="16"/>
        </w:rPr>
        <w:t xml:space="preserve"> . . . </w:t>
      </w:r>
      <w:r w:rsidRPr="00C3377D">
        <w:rPr>
          <w:rFonts w:asciiTheme="minorHAnsi" w:hAnsiTheme="minorHAnsi" w:cstheme="minorHAnsi"/>
          <w:sz w:val="16"/>
          <w:szCs w:val="16"/>
        </w:rPr>
        <w:t>are properly disposed of in accordance with a duly adopted records retention policy, there is no entitlement to these records”).</w:t>
      </w:r>
    </w:p>
  </w:endnote>
  <w:endnote w:id="113">
    <w:p w14:paraId="7F148133" w14:textId="71314B4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0"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Kesterson v. Kent State Univ.</w:t>
        </w:r>
      </w:hyperlink>
      <w:r w:rsidRPr="00C3377D">
        <w:rPr>
          <w:rFonts w:asciiTheme="minorHAnsi" w:hAnsiTheme="minorHAnsi" w:cstheme="minorHAnsi"/>
          <w:sz w:val="16"/>
          <w:szCs w:val="16"/>
        </w:rPr>
        <w:t>, 156 Ohio St.3d 22, 2018-Ohio-5110, ¶ 28-30 (requests for all records regarding employee’s departure from university and restrictions or limitations placed on employee after her departure impermissibly seek information, not specific records);</w:t>
      </w:r>
      <w:r w:rsidRPr="00C3377D">
        <w:rPr>
          <w:rFonts w:asciiTheme="minorHAnsi" w:hAnsiTheme="minorHAnsi" w:cstheme="minorHAnsi"/>
          <w:i/>
          <w:sz w:val="16"/>
          <w:szCs w:val="16"/>
        </w:rPr>
        <w:t xml:space="preserve"> </w:t>
      </w:r>
      <w:hyperlink r:id="rId191" w:history="1">
        <w:r w:rsidRPr="00C3377D">
          <w:rPr>
            <w:rStyle w:val="Hyperlink"/>
            <w:rFonts w:asciiTheme="minorHAnsi" w:hAnsiTheme="minorHAnsi" w:cstheme="minorHAnsi"/>
            <w:i/>
            <w:sz w:val="16"/>
            <w:szCs w:val="16"/>
          </w:rPr>
          <w:t>State ex rel. Griffin v. Sehlmeyer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167 Ohio St.3d 566, 2022-Ohio-2189, ¶</w:t>
      </w:r>
      <w:r w:rsidR="00BC2F0F" w:rsidRPr="00C3377D">
        <w:rPr>
          <w:rFonts w:asciiTheme="minorHAnsi" w:hAnsiTheme="minorHAnsi" w:cstheme="minorHAnsi"/>
          <w:sz w:val="16"/>
          <w:szCs w:val="16"/>
        </w:rPr>
        <w:t xml:space="preserve"> 3,</w:t>
      </w:r>
      <w:r w:rsidRPr="00C3377D">
        <w:rPr>
          <w:rFonts w:asciiTheme="minorHAnsi" w:hAnsiTheme="minorHAnsi" w:cstheme="minorHAnsi"/>
          <w:sz w:val="16"/>
          <w:szCs w:val="16"/>
        </w:rPr>
        <w:t xml:space="preserve"> 11-12 (request for “documented records and or filed on the actual amount of state and/or federal funding that [the public office] has approved to</w:t>
      </w:r>
      <w:r w:rsidR="007561D0" w:rsidRPr="00C3377D">
        <w:rPr>
          <w:rFonts w:asciiTheme="minorHAnsi" w:hAnsiTheme="minorHAnsi" w:cstheme="minorHAnsi"/>
          <w:sz w:val="16"/>
          <w:szCs w:val="16"/>
        </w:rPr>
        <w:t xml:space="preserve"> . . . </w:t>
      </w:r>
      <w:r w:rsidRPr="00C3377D">
        <w:rPr>
          <w:rFonts w:asciiTheme="minorHAnsi" w:hAnsiTheme="minorHAnsi" w:cstheme="minorHAnsi"/>
          <w:sz w:val="16"/>
          <w:szCs w:val="16"/>
        </w:rPr>
        <w:t xml:space="preserve"> fight COVID-19, at the </w:t>
      </w:r>
      <w:r w:rsidRPr="00C3377D">
        <w:rPr>
          <w:rFonts w:asciiTheme="minorHAnsi" w:hAnsiTheme="minorHAnsi" w:cstheme="minorHAnsi"/>
          <w:sz w:val="16"/>
          <w:szCs w:val="16"/>
        </w:rPr>
        <w:t>prison</w:t>
      </w:r>
      <w:r w:rsidR="007561D0" w:rsidRPr="00C3377D">
        <w:rPr>
          <w:rFonts w:asciiTheme="minorHAnsi" w:hAnsiTheme="minorHAnsi" w:cstheme="minorHAnsi"/>
          <w:sz w:val="16"/>
          <w:szCs w:val="16"/>
        </w:rPr>
        <w:t>[,]</w:t>
      </w:r>
      <w:r w:rsidRPr="00C3377D">
        <w:rPr>
          <w:rFonts w:asciiTheme="minorHAnsi" w:hAnsiTheme="minorHAnsi" w:cstheme="minorHAnsi"/>
          <w:sz w:val="16"/>
          <w:szCs w:val="16"/>
        </w:rPr>
        <w:t>” was a request for information and not a request for specific, existing records).</w:t>
      </w:r>
    </w:p>
  </w:endnote>
  <w:endnote w:id="114">
    <w:p w14:paraId="58316EF6" w14:textId="1AE0D5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2" w:history="1">
        <w:r w:rsidRPr="0063244B">
          <w:rPr>
            <w:rFonts w:asciiTheme="minorHAnsi" w:eastAsia="Calibri" w:hAnsiTheme="minorHAnsi" w:cstheme="minorHAnsi"/>
            <w:i/>
            <w:iCs/>
            <w:color w:val="0000FF"/>
            <w:sz w:val="16"/>
            <w:szCs w:val="16"/>
          </w:rPr>
          <w:t xml:space="preserve">State ex rel. Cioffi v. </w:t>
        </w:r>
        <w:r w:rsidRPr="0063244B">
          <w:rPr>
            <w:rFonts w:asciiTheme="minorHAnsi" w:eastAsia="Calibri" w:hAnsiTheme="minorHAnsi" w:cstheme="minorHAnsi"/>
            <w:i/>
            <w:iCs/>
            <w:color w:val="0000FF"/>
            <w:sz w:val="16"/>
            <w:szCs w:val="16"/>
          </w:rPr>
          <w:t>Stuard</w:t>
        </w:r>
      </w:hyperlink>
      <w:r w:rsidRPr="00C3377D">
        <w:rPr>
          <w:rFonts w:asciiTheme="minorHAnsi" w:eastAsia="Calibri" w:hAnsiTheme="minorHAnsi" w:cstheme="minorHAnsi"/>
          <w:sz w:val="16"/>
          <w:szCs w:val="16"/>
        </w:rPr>
        <w:t xml:space="preserve">, 11th Dist. Trumbull No. 2009-T-0057, 2010-Ohio-829, ¶ 21-23 (no violation of the Public Records Act when clerk of courts failed to provide a hearing transcript that had never been created); </w:t>
      </w:r>
      <w:hyperlink r:id="rId193" w:history="1">
        <w:r w:rsidRPr="0063244B">
          <w:rPr>
            <w:rFonts w:asciiTheme="minorHAnsi" w:eastAsia="Calibri" w:hAnsiTheme="minorHAnsi" w:cstheme="minorHAnsi"/>
            <w:i/>
            <w:iCs/>
            <w:color w:val="0000FF"/>
            <w:sz w:val="16"/>
            <w:szCs w:val="16"/>
          </w:rPr>
          <w:t>State ex rel. White v. Goldsberry</w:t>
        </w:r>
      </w:hyperlink>
      <w:r w:rsidRPr="00C3377D">
        <w:rPr>
          <w:rFonts w:asciiTheme="minorHAnsi" w:eastAsia="Calibri" w:hAnsiTheme="minorHAnsi" w:cstheme="minorHAnsi"/>
          <w:sz w:val="16"/>
          <w:szCs w:val="16"/>
        </w:rPr>
        <w:t>, 85 Ohio St.3d 153,</w:t>
      </w:r>
      <w:r w:rsidR="007561D0" w:rsidRPr="00C3377D">
        <w:rPr>
          <w:rFonts w:asciiTheme="minorHAnsi" w:eastAsia="Calibri" w:hAnsiTheme="minorHAnsi" w:cstheme="minorHAnsi"/>
          <w:sz w:val="16"/>
          <w:szCs w:val="16"/>
        </w:rPr>
        <w:t xml:space="preserve"> 154</w:t>
      </w:r>
      <w:r w:rsidRPr="00C3377D">
        <w:rPr>
          <w:rFonts w:asciiTheme="minorHAnsi" w:eastAsia="Calibri" w:hAnsiTheme="minorHAnsi" w:cstheme="minorHAnsi"/>
          <w:sz w:val="16"/>
          <w:szCs w:val="16"/>
        </w:rPr>
        <w:t xml:space="preserve"> (1999) (a public office has no duty </w:t>
      </w:r>
      <w:r w:rsidR="0063244B">
        <w:rPr>
          <w:rFonts w:asciiTheme="minorHAnsi" w:eastAsia="Calibri" w:hAnsiTheme="minorHAnsi" w:cstheme="minorHAnsi"/>
          <w:sz w:val="16"/>
          <w:szCs w:val="16"/>
        </w:rPr>
        <w:t>“</w:t>
      </w:r>
      <w:r w:rsidRPr="00C3377D">
        <w:rPr>
          <w:rFonts w:asciiTheme="minorHAnsi" w:eastAsia="Calibri" w:hAnsiTheme="minorHAnsi" w:cstheme="minorHAnsi"/>
          <w:sz w:val="16"/>
          <w:szCs w:val="16"/>
        </w:rPr>
        <w:t>to create new records by searching for and compiling information from existing records”)</w:t>
      </w:r>
      <w:r w:rsidR="007561D0" w:rsidRPr="00C3377D">
        <w:rPr>
          <w:rFonts w:asciiTheme="minorHAnsi" w:eastAsia="Calibri" w:hAnsiTheme="minorHAnsi" w:cstheme="minorHAnsi"/>
          <w:sz w:val="16"/>
          <w:szCs w:val="16"/>
        </w:rPr>
        <w:t>.</w:t>
      </w:r>
    </w:p>
  </w:endnote>
  <w:endnote w:id="115">
    <w:p w14:paraId="50AD73CB" w14:textId="23621D65" w:rsidR="002F23BE" w:rsidRPr="00C3377D" w:rsidRDefault="002F23BE" w:rsidP="00C3377D">
      <w:pPr>
        <w:pStyle w:val="EndnoteText"/>
        <w:spacing w:line="160" w:lineRule="exact"/>
        <w:jc w:val="both"/>
        <w:rPr>
          <w:rFonts w:asciiTheme="minorHAnsi" w:hAnsiTheme="minorHAnsi" w:cstheme="minorHAnsi"/>
          <w:sz w:val="16"/>
          <w:szCs w:val="16"/>
        </w:rPr>
      </w:pPr>
      <w:bookmarkStart w:id="31" w:name="_Hlk127265279"/>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Fant v. Mengel</w:t>
      </w:r>
      <w:r w:rsidRPr="00C3377D">
        <w:rPr>
          <w:rFonts w:asciiTheme="minorHAnsi" w:hAnsiTheme="minorHAnsi" w:cstheme="minorHAnsi"/>
          <w:sz w:val="16"/>
          <w:szCs w:val="16"/>
        </w:rPr>
        <w:t xml:space="preserve">, 62 Ohio St.3d 197, 198 (1991) (no duty to create documents to respond to request); </w:t>
      </w:r>
      <w:hyperlink r:id="rId194" w:history="1">
        <w:r w:rsidRPr="00C3377D">
          <w:rPr>
            <w:rStyle w:val="Hyperlink"/>
            <w:rFonts w:asciiTheme="minorHAnsi" w:hAnsiTheme="minorHAnsi" w:cstheme="minorHAnsi"/>
            <w:i/>
            <w:sz w:val="16"/>
            <w:szCs w:val="16"/>
          </w:rPr>
          <w:t>State ex rel. Welden v. Ohio State Med. Bd.</w:t>
        </w:r>
      </w:hyperlink>
      <w:r w:rsidRPr="00C3377D">
        <w:rPr>
          <w:rFonts w:asciiTheme="minorHAnsi" w:hAnsiTheme="minorHAnsi" w:cstheme="minorHAnsi"/>
          <w:sz w:val="16"/>
          <w:szCs w:val="16"/>
        </w:rPr>
        <w:t xml:space="preserve">, 10th Dist. Franklin No. 11AP139, 2011-Ohio-6560, ¶ 9 (because </w:t>
      </w:r>
      <w:r w:rsidR="0063244B">
        <w:rPr>
          <w:rFonts w:asciiTheme="minorHAnsi" w:hAnsiTheme="minorHAnsi" w:cstheme="minorHAnsi"/>
          <w:sz w:val="16"/>
          <w:szCs w:val="16"/>
        </w:rPr>
        <w:t>requested</w:t>
      </w:r>
      <w:r w:rsidRPr="00C3377D">
        <w:rPr>
          <w:rFonts w:asciiTheme="minorHAnsi" w:hAnsiTheme="minorHAnsi" w:cstheme="minorHAnsi"/>
          <w:sz w:val="16"/>
          <w:szCs w:val="16"/>
        </w:rPr>
        <w:t xml:space="preserve"> list of addresses of every licensed physician did not exist, there was no clear legal duty to create such a record).  </w:t>
      </w:r>
    </w:p>
    <w:bookmarkEnd w:id="31"/>
  </w:endnote>
  <w:endnote w:id="116">
    <w:p w14:paraId="294023AA" w14:textId="5BA0135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5" w:history="1">
        <w:r w:rsidRPr="00C3377D">
          <w:rPr>
            <w:rStyle w:val="Hyperlink"/>
            <w:rFonts w:asciiTheme="minorHAnsi" w:hAnsiTheme="minorHAnsi" w:cstheme="minorHAnsi"/>
            <w:i/>
            <w:sz w:val="16"/>
            <w:szCs w:val="16"/>
          </w:rPr>
          <w:t xml:space="preserve">State ex rel. McCaffrey v. Mahoning </w:t>
        </w:r>
        <w:r w:rsidRPr="00C3377D">
          <w:rPr>
            <w:rStyle w:val="Hyperlink"/>
            <w:rFonts w:asciiTheme="minorHAnsi" w:hAnsiTheme="minorHAnsi" w:cstheme="minorHAnsi"/>
            <w:i/>
            <w:sz w:val="16"/>
            <w:szCs w:val="16"/>
          </w:rPr>
          <w:t>Cty. Prosecutor’s Office</w:t>
        </w:r>
      </w:hyperlink>
      <w:r w:rsidRPr="00C3377D">
        <w:rPr>
          <w:rFonts w:asciiTheme="minorHAnsi" w:hAnsiTheme="minorHAnsi" w:cstheme="minorHAnsi"/>
          <w:sz w:val="16"/>
          <w:szCs w:val="16"/>
        </w:rPr>
        <w:t>, 133 Ohio St.3d 139, 2012-Ohio-4246, ¶ 22-26.</w:t>
      </w:r>
    </w:p>
  </w:endnote>
  <w:endnote w:id="117">
    <w:p w14:paraId="1CA50056" w14:textId="006317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6" w:history="1">
        <w:r w:rsidRPr="00C3377D">
          <w:rPr>
            <w:rStyle w:val="Hyperlink"/>
            <w:rFonts w:asciiTheme="minorHAnsi" w:hAnsiTheme="minorHAnsi" w:cstheme="minorHAnsi"/>
            <w:i/>
            <w:sz w:val="16"/>
            <w:szCs w:val="16"/>
          </w:rPr>
          <w:t xml:space="preserve">State ex rel. Chatfield v. </w:t>
        </w:r>
        <w:r w:rsidRPr="00C3377D">
          <w:rPr>
            <w:rStyle w:val="Hyperlink"/>
            <w:rFonts w:asciiTheme="minorHAnsi" w:hAnsiTheme="minorHAnsi" w:cstheme="minorHAnsi"/>
            <w:i/>
            <w:sz w:val="16"/>
            <w:szCs w:val="16"/>
          </w:rPr>
          <w:t>Gammill</w:t>
        </w:r>
      </w:hyperlink>
      <w:r w:rsidRPr="00C3377D">
        <w:rPr>
          <w:rFonts w:asciiTheme="minorHAnsi" w:hAnsiTheme="minorHAnsi" w:cstheme="minorHAnsi"/>
          <w:sz w:val="16"/>
          <w:szCs w:val="16"/>
        </w:rPr>
        <w:t xml:space="preserve">, 132 Ohio St.3d 36, 2012-Ohio-1862, ¶ 3; </w:t>
      </w:r>
      <w:hyperlink r:id="rId197" w:history="1">
        <w:r w:rsidRPr="00C3377D">
          <w:rPr>
            <w:rStyle w:val="Hyperlink"/>
            <w:rFonts w:asciiTheme="minorHAnsi" w:hAnsiTheme="minorHAnsi" w:cstheme="minorHAnsi"/>
            <w:i/>
            <w:sz w:val="16"/>
            <w:szCs w:val="16"/>
          </w:rPr>
          <w:t>State ex rel. Gooden v. Kagel</w:t>
        </w:r>
      </w:hyperlink>
      <w:r w:rsidRPr="00C3377D">
        <w:rPr>
          <w:rFonts w:asciiTheme="minorHAnsi" w:hAnsiTheme="minorHAnsi" w:cstheme="minorHAnsi"/>
          <w:sz w:val="16"/>
          <w:szCs w:val="16"/>
        </w:rPr>
        <w:t>, 138 Ohio St.3d 343, 2014-Ohio-869, ¶ 5, 8-9 (respondent denied that records had been filed with her, and relator provided no evidence to the contrary).</w:t>
      </w:r>
    </w:p>
  </w:endnote>
  <w:endnote w:id="118">
    <w:p w14:paraId="10AD32E6" w14:textId="3DA91E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198" w:history="1">
        <w:r w:rsidRPr="00C3377D">
          <w:rPr>
            <w:rStyle w:val="Hyperlink"/>
            <w:rFonts w:asciiTheme="minorHAnsi" w:hAnsiTheme="minorHAnsi" w:cstheme="minorHAnsi"/>
            <w:i/>
            <w:sz w:val="16"/>
            <w:szCs w:val="16"/>
          </w:rPr>
          <w:t>State ex rel. Hogan Lovells U.S., LLP v. Dept. of Rehab. &amp; Corr.</w:t>
        </w:r>
      </w:hyperlink>
      <w:r w:rsidRPr="00C3377D">
        <w:rPr>
          <w:rFonts w:asciiTheme="minorHAnsi" w:hAnsiTheme="minorHAnsi" w:cstheme="minorHAnsi"/>
          <w:sz w:val="16"/>
          <w:szCs w:val="16"/>
        </w:rPr>
        <w:t>, 156 Ohio St.3d 56, 2018-Ohio-5133, ¶ 29</w:t>
      </w:r>
      <w:r w:rsidR="007561D0" w:rsidRPr="00C3377D">
        <w:rPr>
          <w:rFonts w:asciiTheme="minorHAnsi" w:hAnsiTheme="minorHAnsi" w:cstheme="minorHAnsi"/>
          <w:sz w:val="16"/>
          <w:szCs w:val="16"/>
        </w:rPr>
        <w:t>.</w:t>
      </w:r>
    </w:p>
  </w:endnote>
  <w:endnote w:id="119">
    <w:p w14:paraId="3AABA160" w14:textId="2F447533" w:rsidR="00D96E27" w:rsidRPr="00C3377D" w:rsidRDefault="00D96E27"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199"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iCs/>
            <w:sz w:val="16"/>
            <w:szCs w:val="16"/>
          </w:rPr>
          <w:t>Lerussi v. Calcutta</w:t>
        </w:r>
        <w:r w:rsidR="006F2912" w:rsidRPr="00C3377D">
          <w:rPr>
            <w:rStyle w:val="Hyperlink"/>
            <w:rFonts w:asciiTheme="minorHAnsi" w:hAnsiTheme="minorHAnsi" w:cstheme="minorHAnsi"/>
            <w:i/>
            <w:iCs/>
            <w:sz w:val="16"/>
            <w:szCs w:val="16"/>
          </w:rPr>
          <w:t xml:space="preserve"> Volunteer Fire Dept.</w:t>
        </w:r>
      </w:hyperlink>
      <w:r w:rsidR="006F2912" w:rsidRPr="00C3377D">
        <w:rPr>
          <w:rFonts w:asciiTheme="minorHAnsi" w:hAnsiTheme="minorHAnsi" w:cstheme="minorHAnsi"/>
          <w:sz w:val="16"/>
          <w:szCs w:val="16"/>
        </w:rPr>
        <w:t>, Ct. of Cl. No. 2022-00657PQ, 2023-Ohio-626, ¶ 5.</w:t>
      </w:r>
    </w:p>
  </w:endnote>
  <w:endnote w:id="120">
    <w:p w14:paraId="0DB528FC" w14:textId="731BB43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0"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17</w:t>
      </w:r>
      <w:r w:rsidR="007561D0" w:rsidRPr="00C3377D">
        <w:rPr>
          <w:rFonts w:asciiTheme="minorHAnsi" w:hAnsiTheme="minorHAnsi" w:cstheme="minorHAnsi"/>
          <w:sz w:val="16"/>
          <w:szCs w:val="16"/>
        </w:rPr>
        <w:t>.</w:t>
      </w:r>
    </w:p>
  </w:endnote>
  <w:endnote w:id="121">
    <w:p w14:paraId="79F20CCF" w14:textId="2F243C4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1" w:history="1">
        <w:r w:rsidRPr="00C3377D">
          <w:rPr>
            <w:rStyle w:val="Hyperlink"/>
            <w:rFonts w:asciiTheme="minorHAnsi" w:hAnsiTheme="minorHAnsi" w:cstheme="minorHAnsi"/>
            <w:i/>
            <w:sz w:val="16"/>
            <w:szCs w:val="16"/>
          </w:rPr>
          <w:t>State ex rel. Morgan v. Strickland</w:t>
        </w:r>
      </w:hyperlink>
      <w:r w:rsidRPr="00C3377D">
        <w:rPr>
          <w:rFonts w:asciiTheme="minorHAnsi" w:hAnsiTheme="minorHAnsi" w:cstheme="minorHAnsi"/>
          <w:sz w:val="16"/>
          <w:szCs w:val="16"/>
        </w:rPr>
        <w:t>, 121 Ohio St.3d 600, 2009-Ohio-1901, ¶ 18</w:t>
      </w:r>
      <w:r w:rsidR="007561D0" w:rsidRPr="00C3377D">
        <w:rPr>
          <w:rFonts w:asciiTheme="minorHAnsi" w:hAnsiTheme="minorHAnsi" w:cstheme="minorHAnsi"/>
          <w:sz w:val="16"/>
          <w:szCs w:val="16"/>
        </w:rPr>
        <w:t>.</w:t>
      </w:r>
    </w:p>
  </w:endnote>
  <w:endnote w:id="122">
    <w:p w14:paraId="55E24E8E" w14:textId="06F63AA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2"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Kesterson v. Kent State Univ.</w:t>
        </w:r>
      </w:hyperlink>
      <w:r w:rsidRPr="00C3377D">
        <w:rPr>
          <w:rFonts w:asciiTheme="minorHAnsi" w:hAnsiTheme="minorHAnsi" w:cstheme="minorHAnsi"/>
          <w:sz w:val="16"/>
          <w:szCs w:val="16"/>
        </w:rPr>
        <w:t>, 156 Ohio St.3d 22, 2018-Ohio-5110, ¶ 23-30.</w:t>
      </w:r>
    </w:p>
  </w:endnote>
  <w:endnote w:id="123">
    <w:p w14:paraId="65EC8EA7" w14:textId="39F25C8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3" w:history="1">
        <w:r w:rsidRPr="00C3377D">
          <w:rPr>
            <w:rStyle w:val="Hyperlink"/>
            <w:rFonts w:asciiTheme="minorHAnsi" w:hAnsiTheme="minorHAnsi" w:cstheme="minorHAnsi"/>
            <w:sz w:val="16"/>
            <w:szCs w:val="16"/>
          </w:rPr>
          <w:t>R.C. 149.43(B)(2)</w:t>
        </w:r>
      </w:hyperlink>
      <w:r w:rsidRPr="00C3377D">
        <w:rPr>
          <w:rFonts w:asciiTheme="minorHAnsi" w:hAnsiTheme="minorHAnsi" w:cstheme="minorHAnsi"/>
          <w:sz w:val="16"/>
          <w:szCs w:val="16"/>
        </w:rPr>
        <w:t xml:space="preserve">; </w:t>
      </w:r>
      <w:hyperlink r:id="rId204"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xml:space="preserve">, 119 Ohio St.3d 391, 2008-Ohio-4788, ¶ 19; </w:t>
      </w:r>
      <w:hyperlink r:id="rId205"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Zidonis v. Columbus State Community College</w:t>
        </w:r>
      </w:hyperlink>
      <w:r w:rsidRPr="00C3377D">
        <w:rPr>
          <w:rFonts w:asciiTheme="minorHAnsi" w:hAnsiTheme="minorHAnsi" w:cstheme="minorHAnsi"/>
          <w:sz w:val="16"/>
          <w:szCs w:val="16"/>
        </w:rPr>
        <w:t>, 133 Ohio St.3d 122, 2012-Ohio-4228, ¶ 27, 32</w:t>
      </w:r>
      <w:r w:rsidR="00B36FC3" w:rsidRPr="00C3377D">
        <w:rPr>
          <w:rFonts w:asciiTheme="minorHAnsi" w:hAnsiTheme="minorHAnsi" w:cstheme="minorHAnsi"/>
          <w:sz w:val="16"/>
          <w:szCs w:val="16"/>
        </w:rPr>
        <w:t>.</w:t>
      </w:r>
    </w:p>
  </w:endnote>
  <w:endnote w:id="124">
    <w:p w14:paraId="50BA8433" w14:textId="485AC587"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6"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Dillery v. Icsman</w:t>
        </w:r>
      </w:hyperlink>
      <w:r w:rsidRPr="00C3377D">
        <w:rPr>
          <w:rFonts w:asciiTheme="minorHAnsi" w:hAnsiTheme="minorHAnsi" w:cstheme="minorHAnsi"/>
          <w:sz w:val="16"/>
          <w:szCs w:val="16"/>
        </w:rPr>
        <w:t xml:space="preserve">, 92 Ohio St.3d 312, 314-15 (2001) (request for all records “containing any reference whatsoever” to requester was overly broad); </w:t>
      </w:r>
      <w:hyperlink r:id="rId207" w:history="1">
        <w:r w:rsidRPr="00C3377D">
          <w:rPr>
            <w:rStyle w:val="Hyperlink"/>
            <w:rFonts w:asciiTheme="minorHAnsi" w:hAnsiTheme="minorHAnsi" w:cstheme="minorHAnsi"/>
            <w:i/>
            <w:sz w:val="16"/>
            <w:szCs w:val="16"/>
          </w:rPr>
          <w:t>Kanter v. City of Cleveland Hts.</w:t>
        </w:r>
      </w:hyperlink>
      <w:r w:rsidRPr="00C3377D">
        <w:rPr>
          <w:rFonts w:asciiTheme="minorHAnsi" w:hAnsiTheme="minorHAnsi" w:cstheme="minorHAnsi"/>
          <w:sz w:val="16"/>
          <w:szCs w:val="16"/>
        </w:rPr>
        <w:t>, Ct. of Cl. No. 2018-01092PQ, 2018-Ohio-4592, ¶ 8-12 (request for “all” “communications, messages, schedules, logs, and documents shared” between City of Cleveland Heights and a newspaper “regarding” requester and over a specific date range was overly broad).</w:t>
      </w:r>
    </w:p>
  </w:endnote>
  <w:endnote w:id="125">
    <w:p w14:paraId="172A43DD" w14:textId="11F28A76"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08"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Zidonis v. Columbus State Community College</w:t>
        </w:r>
      </w:hyperlink>
      <w:r w:rsidRPr="00C3377D">
        <w:rPr>
          <w:rFonts w:asciiTheme="minorHAnsi" w:hAnsiTheme="minorHAnsi" w:cstheme="minorHAnsi"/>
          <w:sz w:val="16"/>
          <w:szCs w:val="16"/>
        </w:rPr>
        <w:t xml:space="preserve">, 133 Ohio St.3d 122, 2012-Ohio-4228, ¶ 20-32 (regarding request for all litigation files and all grievance files for a period over six years, and for all emails between two employees during joint employment); </w:t>
      </w:r>
      <w:hyperlink r:id="rId209" w:history="1">
        <w:r w:rsidRPr="00C3377D">
          <w:rPr>
            <w:rStyle w:val="Hyperlink"/>
            <w:rFonts w:asciiTheme="minorHAnsi" w:hAnsiTheme="minorHAnsi" w:cstheme="minorHAnsi"/>
            <w:i/>
            <w:sz w:val="16"/>
            <w:szCs w:val="16"/>
          </w:rPr>
          <w:t>State ex rel. Dehler v. Spatny</w:t>
        </w:r>
      </w:hyperlink>
      <w:r w:rsidRPr="00C3377D">
        <w:rPr>
          <w:rFonts w:asciiTheme="minorHAnsi" w:hAnsiTheme="minorHAnsi" w:cstheme="minorHAnsi"/>
          <w:sz w:val="16"/>
          <w:szCs w:val="16"/>
        </w:rPr>
        <w:t xml:space="preserve">, 127 Ohio St.3d 312, 2010-Ohio-5711, ¶ 1-3 (regarding request for prison quartermaster’s orders and receipts for clothing over seven years); </w:t>
      </w:r>
      <w:hyperlink r:id="rId210" w:history="1">
        <w:r w:rsidRPr="00C3377D">
          <w:rPr>
            <w:rStyle w:val="Hyperlink"/>
            <w:rFonts w:asciiTheme="minorHAnsi" w:hAnsiTheme="minorHAnsi" w:cstheme="minorHAnsi"/>
            <w:i/>
            <w:sz w:val="16"/>
            <w:szCs w:val="16"/>
          </w:rPr>
          <w:t>State ex rel. Glasgow v. Jones</w:t>
        </w:r>
      </w:hyperlink>
      <w:r w:rsidRPr="00C3377D">
        <w:rPr>
          <w:rFonts w:asciiTheme="minorHAnsi" w:hAnsiTheme="minorHAnsi" w:cstheme="minorHAnsi"/>
          <w:sz w:val="16"/>
          <w:szCs w:val="16"/>
        </w:rPr>
        <w:t>, 119 Ohio St.3d 391, 2008-Ohio-4788, ¶ 19 (regarding request for all work-related emails, texts, and correspondence of an elected official during six months in office).</w:t>
      </w:r>
    </w:p>
  </w:endnote>
  <w:endnote w:id="126">
    <w:p w14:paraId="21A6E4E3" w14:textId="4CE089C1"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Zauderer v. Joseph</w:t>
      </w:r>
      <w:r w:rsidRPr="00C3377D">
        <w:rPr>
          <w:rFonts w:asciiTheme="minorHAnsi" w:hAnsiTheme="minorHAnsi" w:cstheme="minorHAnsi"/>
          <w:sz w:val="16"/>
          <w:szCs w:val="16"/>
        </w:rPr>
        <w:t>, 62 Ohio App.3d 752, 755 (10th Dist. 1989).</w:t>
      </w:r>
    </w:p>
  </w:endnote>
  <w:endnote w:id="127">
    <w:p w14:paraId="5CFCB769" w14:textId="77777777"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1" w:history="1">
        <w:r w:rsidRPr="00C3377D">
          <w:rPr>
            <w:rStyle w:val="Hyperlink"/>
            <w:rFonts w:asciiTheme="minorHAnsi" w:hAnsiTheme="minorHAnsi" w:cstheme="minorHAnsi"/>
            <w:i/>
            <w:sz w:val="16"/>
            <w:szCs w:val="16"/>
          </w:rPr>
          <w:t>Paramount Advantage v. Ohio Dept. of Medicaid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2021-00262PQ, 2021-Ohio-4180, ¶ 19, 21-22 (request for documents “reflecting . . . internal communications” between individuals an overly broad discovery-style request).</w:t>
      </w:r>
    </w:p>
  </w:endnote>
  <w:endnote w:id="128">
    <w:p w14:paraId="68B42A10" w14:textId="77777777" w:rsidR="00971900" w:rsidRPr="00C3377D" w:rsidRDefault="00971900"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2" w:history="1">
        <w:r w:rsidRPr="00C3377D">
          <w:rPr>
            <w:rStyle w:val="Hyperlink"/>
            <w:rFonts w:asciiTheme="minorHAnsi" w:hAnsiTheme="minorHAnsi" w:cstheme="minorHAnsi"/>
            <w:i/>
            <w:sz w:val="16"/>
            <w:szCs w:val="16"/>
          </w:rPr>
          <w:t>Paramount Advantage v. Ohio Dept. of Medicaid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2021-00262PQ, 2021-Ohio-4180, ¶ 19, 21-22 (request for documents “reflecting . . . internal communications” between individuals an overly broad discovery-style request).</w:t>
      </w:r>
    </w:p>
  </w:endnote>
  <w:endnote w:id="129">
    <w:p w14:paraId="3F476E79" w14:textId="77777777" w:rsidR="00971900" w:rsidRPr="00C3377D" w:rsidRDefault="00971900"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3" w:history="1">
        <w:r w:rsidRPr="00C3377D">
          <w:rPr>
            <w:rStyle w:val="Hyperlink"/>
            <w:rFonts w:asciiTheme="minorHAnsi" w:hAnsiTheme="minorHAnsi" w:cstheme="minorHAnsi"/>
            <w:i/>
            <w:iCs/>
            <w:sz w:val="16"/>
            <w:szCs w:val="16"/>
          </w:rPr>
          <w:t>State ex rel. Cleveland Assn. of Rescue Employees. v. City of Cleveland</w:t>
        </w:r>
      </w:hyperlink>
      <w:r w:rsidRPr="00C3377D">
        <w:rPr>
          <w:rFonts w:asciiTheme="minorHAnsi" w:hAnsiTheme="minorHAnsi" w:cstheme="minorHAnsi"/>
          <w:sz w:val="16"/>
          <w:szCs w:val="16"/>
        </w:rPr>
        <w:t>, S. Ct. No. 2022-1091, 2023-Ohio-3112, ¶ 24-25.</w:t>
      </w:r>
    </w:p>
  </w:endnote>
  <w:endnote w:id="130">
    <w:p w14:paraId="0EFEACD3" w14:textId="3063389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4" w:history="1">
        <w:r w:rsidR="00D35C8E" w:rsidRPr="00C3377D">
          <w:rPr>
            <w:rStyle w:val="Hyperlink"/>
            <w:rFonts w:asciiTheme="minorHAnsi" w:hAnsiTheme="minorHAnsi" w:cstheme="minorHAnsi"/>
            <w:i/>
            <w:iCs/>
            <w:sz w:val="16"/>
            <w:szCs w:val="16"/>
          </w:rPr>
          <w:t xml:space="preserve">State ex rel. </w:t>
        </w:r>
        <w:r w:rsidR="00D35C8E" w:rsidRPr="00C3377D">
          <w:rPr>
            <w:rStyle w:val="Hyperlink"/>
            <w:rFonts w:asciiTheme="minorHAnsi" w:hAnsiTheme="minorHAnsi" w:cstheme="minorHAnsi"/>
            <w:i/>
            <w:iCs/>
            <w:sz w:val="16"/>
            <w:szCs w:val="16"/>
          </w:rPr>
          <w:t>Summers v. Fox</w:t>
        </w:r>
      </w:hyperlink>
      <w:r w:rsidR="00D35C8E" w:rsidRPr="00C3377D">
        <w:rPr>
          <w:rStyle w:val="Hyperlink"/>
          <w:rFonts w:asciiTheme="minorHAnsi" w:hAnsiTheme="minorHAnsi" w:cstheme="minorHAnsi"/>
          <w:i/>
          <w:iCs/>
          <w:sz w:val="16"/>
          <w:szCs w:val="16"/>
        </w:rPr>
        <w:t xml:space="preserve">, </w:t>
      </w:r>
      <w:r w:rsidRPr="00C3377D">
        <w:rPr>
          <w:rFonts w:asciiTheme="minorHAnsi" w:hAnsiTheme="minorHAnsi" w:cstheme="minorHAnsi"/>
          <w:sz w:val="16"/>
          <w:szCs w:val="16"/>
        </w:rPr>
        <w:t>163 Ohio St.3d 217, 2020-Ohio-5585, ¶ 74 (“[P]</w:t>
      </w:r>
      <w:r w:rsidRPr="00C3377D">
        <w:rPr>
          <w:rFonts w:asciiTheme="minorHAnsi" w:hAnsiTheme="minorHAnsi" w:cstheme="minorHAnsi"/>
          <w:sz w:val="16"/>
          <w:szCs w:val="16"/>
        </w:rPr>
        <w:t>ermitting a public official to oppose a request as overbroad for the first time in litigation would enable the official to avoid the duty” to negotiate with the requester.).</w:t>
      </w:r>
    </w:p>
  </w:endnote>
  <w:endnote w:id="131">
    <w:p w14:paraId="6BE28572" w14:textId="507382F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5" w:history="1">
        <w:r w:rsidRPr="00C3377D">
          <w:rPr>
            <w:rStyle w:val="Hyperlink"/>
            <w:rFonts w:asciiTheme="minorHAnsi" w:hAnsiTheme="minorHAnsi" w:cstheme="minorHAnsi"/>
            <w:sz w:val="16"/>
            <w:szCs w:val="16"/>
          </w:rPr>
          <w:t>R.C. 149.43(B)(2)</w:t>
        </w:r>
      </w:hyperlink>
      <w:r w:rsidRPr="00C3377D">
        <w:rPr>
          <w:rFonts w:asciiTheme="minorHAnsi" w:hAnsiTheme="minorHAnsi" w:cstheme="minorHAnsi"/>
          <w:sz w:val="16"/>
          <w:szCs w:val="16"/>
        </w:rPr>
        <w:t xml:space="preserve">; </w:t>
      </w:r>
      <w:hyperlink r:id="rId216" w:history="1">
        <w:r w:rsidRPr="00C3377D">
          <w:rPr>
            <w:rStyle w:val="Hyperlink"/>
            <w:rFonts w:asciiTheme="minorHAnsi" w:hAnsiTheme="minorHAnsi" w:cstheme="minorHAnsi"/>
            <w:i/>
            <w:sz w:val="16"/>
            <w:szCs w:val="16"/>
          </w:rPr>
          <w:t>State ex rel. ESPN v. Ohio State Univ.</w:t>
        </w:r>
      </w:hyperlink>
      <w:r w:rsidRPr="00C3377D">
        <w:rPr>
          <w:rFonts w:asciiTheme="minorHAnsi" w:hAnsiTheme="minorHAnsi" w:cstheme="minorHAnsi"/>
          <w:sz w:val="16"/>
          <w:szCs w:val="16"/>
        </w:rPr>
        <w:t xml:space="preserve">, 132 Ohio St.3d 212, 2012-Ohio-2690, ¶ 11; </w:t>
      </w:r>
      <w:hyperlink r:id="rId217"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Huth v. Animal Welfare League of Trumbull Cty., Inc.</w:t>
        </w:r>
      </w:hyperlink>
      <w:r w:rsidRPr="00C3377D">
        <w:rPr>
          <w:rFonts w:asciiTheme="minorHAnsi" w:hAnsiTheme="minorHAnsi" w:cstheme="minorHAnsi"/>
          <w:i/>
          <w:sz w:val="16"/>
          <w:szCs w:val="16"/>
        </w:rPr>
        <w:t xml:space="preserve">, </w:t>
      </w:r>
      <w:r w:rsidR="00B36FC3" w:rsidRPr="00C3377D">
        <w:rPr>
          <w:rFonts w:asciiTheme="minorHAnsi" w:hAnsiTheme="minorHAnsi" w:cstheme="minorHAnsi"/>
          <w:sz w:val="16"/>
          <w:szCs w:val="16"/>
        </w:rPr>
        <w:t>168 Ohio St.3d 574</w:t>
      </w:r>
      <w:r w:rsidRPr="00C3377D">
        <w:rPr>
          <w:rFonts w:asciiTheme="minorHAnsi" w:hAnsiTheme="minorHAnsi" w:cstheme="minorHAnsi"/>
          <w:sz w:val="16"/>
          <w:szCs w:val="16"/>
        </w:rPr>
        <w:t xml:space="preserve">, 2022-Ohio-3583, ¶ 11-12 (in informing requester how the public office maintains and accesses its records, office is not required to explain software and databases to requester); </w:t>
      </w:r>
      <w:hyperlink r:id="rId218" w:history="1">
        <w:r w:rsidRPr="00C3377D">
          <w:rPr>
            <w:rStyle w:val="Hyperlink"/>
            <w:rFonts w:asciiTheme="minorHAnsi" w:hAnsiTheme="minorHAnsi" w:cstheme="minorHAnsi"/>
            <w:i/>
            <w:sz w:val="16"/>
            <w:szCs w:val="16"/>
          </w:rPr>
          <w:t>Wellin v. City of Hamilton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2021-00748PQ, 2022-Ohio-2661, ¶ 17 (public office failed to inform requester how the office maintained and accessed its records when it merely offered to requester to “contact” the office “[i]f you would like to clarify or revise your request”).</w:t>
      </w:r>
    </w:p>
  </w:endnote>
  <w:endnote w:id="132">
    <w:p w14:paraId="6C265575" w14:textId="102DCF3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19"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Zidonis v. Columbus State Community College</w:t>
        </w:r>
      </w:hyperlink>
      <w:r w:rsidRPr="00C3377D">
        <w:rPr>
          <w:rFonts w:asciiTheme="minorHAnsi" w:hAnsiTheme="minorHAnsi" w:cstheme="minorHAnsi"/>
          <w:sz w:val="16"/>
          <w:szCs w:val="16"/>
        </w:rPr>
        <w:t>, 133 Ohio St.3d 122, 2012-Ohio-4228, ¶ 13-16, 33-38 (noting a requester may also possess preexisting knowledge of the public office’s records organization, which helps satisfy this requirement).</w:t>
      </w:r>
    </w:p>
  </w:endnote>
  <w:endnote w:id="133">
    <w:p w14:paraId="15A94AD7" w14:textId="2E2F1E3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0"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Zidonis v. Columbus State Community College</w:t>
        </w:r>
      </w:hyperlink>
      <w:r w:rsidRPr="00C3377D">
        <w:rPr>
          <w:rFonts w:asciiTheme="minorHAnsi" w:hAnsiTheme="minorHAnsi" w:cstheme="minorHAnsi"/>
          <w:sz w:val="16"/>
          <w:szCs w:val="16"/>
        </w:rPr>
        <w:t>, 133 Ohio St.3d 122, 2012-Ohio-4228, ¶ 15, 26, 36-37.</w:t>
      </w:r>
    </w:p>
  </w:endnote>
  <w:endnote w:id="134">
    <w:p w14:paraId="1AA8CBC9" w14:textId="37DB2AA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1"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Zidonis v. Columbus State Community College</w:t>
        </w:r>
      </w:hyperlink>
      <w:r w:rsidRPr="00C3377D">
        <w:rPr>
          <w:rFonts w:asciiTheme="minorHAnsi" w:hAnsiTheme="minorHAnsi" w:cstheme="minorHAnsi"/>
          <w:sz w:val="16"/>
          <w:szCs w:val="16"/>
        </w:rPr>
        <w:t xml:space="preserve">, 133 Ohio St.3d 122, 2012-Ohio-4228, ¶ 40; </w:t>
      </w:r>
      <w:hyperlink r:id="rId222" w:history="1">
        <w:r w:rsidRPr="00C3377D">
          <w:rPr>
            <w:rStyle w:val="Hyperlink"/>
            <w:rFonts w:asciiTheme="minorHAnsi" w:hAnsiTheme="minorHAnsi" w:cstheme="minorHAnsi"/>
            <w:i/>
            <w:sz w:val="16"/>
            <w:szCs w:val="16"/>
          </w:rPr>
          <w:t>Ziegler v. Ohio Dept. of Pub. Safety</w:t>
        </w:r>
      </w:hyperlink>
      <w:r w:rsidRPr="00C3377D">
        <w:rPr>
          <w:rFonts w:asciiTheme="minorHAnsi" w:hAnsiTheme="minorHAnsi" w:cstheme="minorHAnsi"/>
          <w:sz w:val="16"/>
          <w:szCs w:val="16"/>
        </w:rPr>
        <w:t>, 11th Dist. Lake No. 2014-L-064, 2015-Ohio-139 (“Although repeatedly encouraged by respondent…, relator never revised her request to clarify any of the ambiguities.”)</w:t>
      </w:r>
      <w:r w:rsidR="00B36FC3" w:rsidRPr="00C3377D">
        <w:rPr>
          <w:rFonts w:asciiTheme="minorHAnsi" w:hAnsiTheme="minorHAnsi" w:cstheme="minorHAnsi"/>
          <w:sz w:val="16"/>
          <w:szCs w:val="16"/>
        </w:rPr>
        <w:t>.</w:t>
      </w:r>
    </w:p>
  </w:endnote>
  <w:endnote w:id="135">
    <w:p w14:paraId="589EA1E7" w14:textId="1E41AEE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3" w:history="1">
        <w:r w:rsidRPr="00C3377D">
          <w:rPr>
            <w:rStyle w:val="Hyperlink"/>
            <w:rFonts w:asciiTheme="minorHAnsi" w:hAnsiTheme="minorHAnsi" w:cstheme="minorHAnsi"/>
            <w:sz w:val="16"/>
            <w:szCs w:val="16"/>
          </w:rPr>
          <w:t>R.C. 149.43(B)(4)</w:t>
        </w:r>
        <w:r w:rsidR="0063244B">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(5).</w:t>
        </w:r>
      </w:hyperlink>
    </w:p>
  </w:endnote>
  <w:endnote w:id="136">
    <w:p w14:paraId="58B60A7C" w14:textId="731E230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4" w:history="1">
        <w:r w:rsidRPr="00C3377D">
          <w:rPr>
            <w:rStyle w:val="Hyperlink"/>
            <w:rFonts w:asciiTheme="minorHAnsi" w:hAnsiTheme="minorHAnsi" w:cstheme="minorHAnsi"/>
            <w:sz w:val="16"/>
            <w:szCs w:val="16"/>
          </w:rPr>
          <w:t>R.C. 149.43(B)(4)</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225" w:history="1">
        <w:r w:rsidR="0063244B">
          <w:rPr>
            <w:rStyle w:val="Hyperlink"/>
            <w:rFonts w:asciiTheme="minorHAnsi" w:hAnsiTheme="minorHAnsi" w:cstheme="minorHAnsi"/>
            <w:i/>
            <w:sz w:val="16"/>
            <w:szCs w:val="16"/>
          </w:rPr>
          <w:t>State ex rel. G</w:t>
        </w:r>
        <w:r w:rsidRPr="00C3377D">
          <w:rPr>
            <w:rStyle w:val="Hyperlink"/>
            <w:rFonts w:asciiTheme="minorHAnsi" w:hAnsiTheme="minorHAnsi" w:cstheme="minorHAnsi"/>
            <w:i/>
            <w:sz w:val="16"/>
            <w:szCs w:val="16"/>
          </w:rPr>
          <w:t xml:space="preserve">ilbert v. Summit </w:t>
        </w:r>
        <w:r w:rsidRPr="00C3377D">
          <w:rPr>
            <w:rStyle w:val="Hyperlink"/>
            <w:rFonts w:asciiTheme="minorHAnsi" w:hAnsiTheme="minorHAnsi" w:cstheme="minorHAnsi"/>
            <w:i/>
            <w:sz w:val="16"/>
            <w:szCs w:val="16"/>
          </w:rPr>
          <w:t>Cty.</w:t>
        </w:r>
      </w:hyperlink>
      <w:r w:rsidRPr="00C3377D">
        <w:rPr>
          <w:rFonts w:asciiTheme="minorHAnsi" w:hAnsiTheme="minorHAnsi" w:cstheme="minorHAnsi"/>
          <w:sz w:val="16"/>
          <w:szCs w:val="16"/>
        </w:rPr>
        <w:t>, 104 Ohio St.3d 660, 2004-Ohio-7108, ¶ 10 (“[A] person may inspect and copy a ‘public record’</w:t>
      </w:r>
      <w:r w:rsidR="00B36FC3" w:rsidRPr="00C3377D">
        <w:rPr>
          <w:rFonts w:asciiTheme="minorHAnsi" w:hAnsiTheme="minorHAnsi" w:cstheme="minorHAnsi"/>
          <w:sz w:val="16"/>
          <w:szCs w:val="16"/>
        </w:rPr>
        <w:t xml:space="preserve"> . . . </w:t>
      </w:r>
      <w:r w:rsidRPr="00C3377D">
        <w:rPr>
          <w:rFonts w:asciiTheme="minorHAnsi" w:hAnsiTheme="minorHAnsi" w:cstheme="minorHAnsi"/>
          <w:sz w:val="16"/>
          <w:szCs w:val="16"/>
        </w:rPr>
        <w:t xml:space="preserve">irrespective of his or her purpose for doing so.”); </w:t>
      </w:r>
      <w:hyperlink r:id="rId226" w:history="1">
        <w:r w:rsidRPr="00C3377D">
          <w:rPr>
            <w:rStyle w:val="Hyperlink"/>
            <w:rFonts w:asciiTheme="minorHAnsi" w:hAnsiTheme="minorHAnsi" w:cstheme="minorHAnsi"/>
            <w:i/>
            <w:sz w:val="16"/>
            <w:szCs w:val="16"/>
          </w:rPr>
          <w:t>State ex rel. Consumer News Servs., v. Worthington City Bd. of Edn.</w:t>
        </w:r>
      </w:hyperlink>
      <w:r w:rsidRPr="00C3377D">
        <w:rPr>
          <w:rFonts w:asciiTheme="minorHAnsi" w:hAnsiTheme="minorHAnsi" w:cstheme="minorHAnsi"/>
          <w:sz w:val="16"/>
          <w:szCs w:val="16"/>
        </w:rPr>
        <w:t xml:space="preserve">, 97 Ohio St.3d 58, 2002-Ohio-5311, ¶ 45 (noting that purpose behind request to “inspect and copy public records is irrelevant”).  </w:t>
      </w:r>
      <w:r w:rsidRPr="00C3377D">
        <w:rPr>
          <w:rFonts w:asciiTheme="minorHAnsi" w:hAnsiTheme="minorHAnsi" w:cstheme="minorHAnsi"/>
          <w:i/>
          <w:sz w:val="16"/>
          <w:szCs w:val="16"/>
        </w:rPr>
        <w:t xml:space="preserve">But see </w:t>
      </w:r>
      <w:hyperlink r:id="rId227" w:history="1">
        <w:r w:rsidRPr="00C3377D">
          <w:rPr>
            <w:rStyle w:val="Hyperlink"/>
            <w:rFonts w:asciiTheme="minorHAnsi" w:hAnsiTheme="minorHAnsi" w:cstheme="minorHAnsi"/>
            <w:i/>
            <w:sz w:val="16"/>
            <w:szCs w:val="16"/>
          </w:rPr>
          <w:t>State ex rel. Keller v. Cox</w:t>
        </w:r>
      </w:hyperlink>
      <w:r w:rsidRPr="00C3377D">
        <w:rPr>
          <w:rFonts w:asciiTheme="minorHAnsi" w:hAnsiTheme="minorHAnsi" w:cstheme="minorHAnsi"/>
          <w:sz w:val="16"/>
          <w:szCs w:val="16"/>
        </w:rPr>
        <w:t>, 85 Ohio St.3d 279, 1999-Ohio-264 (police officer’s personal information was properly withheld from a criminal defendant who might use the information for “nefarious ends,” implicating constitutional right of privacy). For additional discussion, see Chapter Two: B.4</w:t>
      </w:r>
      <w:r w:rsidR="00F26F91">
        <w:rPr>
          <w:rFonts w:asciiTheme="minorHAnsi" w:hAnsiTheme="minorHAnsi" w:cstheme="minorHAnsi"/>
          <w:sz w:val="16"/>
          <w:szCs w:val="16"/>
        </w:rPr>
        <w:t>.c.</w:t>
      </w:r>
      <w:r w:rsidRPr="00C3377D">
        <w:rPr>
          <w:rFonts w:asciiTheme="minorHAnsi" w:hAnsiTheme="minorHAnsi" w:cstheme="minorHAnsi"/>
          <w:sz w:val="16"/>
          <w:szCs w:val="16"/>
        </w:rPr>
        <w:t xml:space="preserve"> “Journalists.”</w:t>
      </w:r>
    </w:p>
  </w:endnote>
  <w:endnote w:id="137">
    <w:p w14:paraId="5ABD22A5" w14:textId="4EC8CCF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Franklin </w:t>
      </w:r>
      <w:r w:rsidRPr="00C3377D">
        <w:rPr>
          <w:rFonts w:asciiTheme="minorHAnsi" w:hAnsiTheme="minorHAnsi" w:cstheme="minorHAnsi"/>
          <w:i/>
          <w:sz w:val="16"/>
          <w:szCs w:val="16"/>
        </w:rPr>
        <w:t>Cty. Sheriff’s Dept. v. State Emp. Relations Bd.</w:t>
      </w:r>
      <w:r w:rsidRPr="00C3377D">
        <w:rPr>
          <w:rFonts w:asciiTheme="minorHAnsi" w:hAnsiTheme="minorHAnsi" w:cstheme="minorHAnsi"/>
          <w:sz w:val="16"/>
          <w:szCs w:val="16"/>
        </w:rPr>
        <w:t>, 63 Ohio St.3d 498, 504 (1992) (“No specific form of request is required by R.C. 149.43.”).</w:t>
      </w:r>
    </w:p>
  </w:endnote>
  <w:endnote w:id="138">
    <w:p w14:paraId="24E6E77D" w14:textId="064F5F6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8" w:history="1">
        <w:r w:rsidRPr="00C3377D">
          <w:rPr>
            <w:rStyle w:val="Hyperlink"/>
            <w:rFonts w:asciiTheme="minorHAnsi" w:hAnsiTheme="minorHAnsi" w:cstheme="minorHAnsi"/>
            <w:sz w:val="16"/>
            <w:szCs w:val="16"/>
          </w:rPr>
          <w:t>R.C. 149.43(B)(4).</w:t>
        </w:r>
      </w:hyperlink>
    </w:p>
  </w:endnote>
  <w:endnote w:id="139">
    <w:p w14:paraId="494B6E31" w14:textId="69775B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29" w:history="1">
        <w:r w:rsidRPr="00C3377D">
          <w:rPr>
            <w:rStyle w:val="Hyperlink"/>
            <w:rFonts w:asciiTheme="minorHAnsi" w:hAnsiTheme="minorHAnsi" w:cstheme="minorHAnsi"/>
            <w:sz w:val="16"/>
            <w:szCs w:val="16"/>
          </w:rPr>
          <w:t>R.C. 149.43(B)(5).</w:t>
        </w:r>
      </w:hyperlink>
    </w:p>
  </w:endnote>
  <w:endnote w:id="140">
    <w:p w14:paraId="6DCF2816" w14:textId="1724D6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0"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w:t>
      </w:r>
    </w:p>
  </w:endnote>
  <w:endnote w:id="141">
    <w:p w14:paraId="3F41CF79" w14:textId="230F2D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1" w:history="1">
        <w:r w:rsidRPr="00C3377D">
          <w:rPr>
            <w:rStyle w:val="Hyperlink"/>
            <w:rFonts w:asciiTheme="minorHAnsi" w:hAnsiTheme="minorHAnsi" w:cstheme="minorHAnsi"/>
            <w:sz w:val="16"/>
            <w:szCs w:val="16"/>
          </w:rPr>
          <w:t>R.C. 149.43(B)(6)</w:t>
        </w:r>
      </w:hyperlink>
      <w:r w:rsidRPr="00C3377D">
        <w:rPr>
          <w:rFonts w:asciiTheme="minorHAnsi" w:hAnsiTheme="minorHAnsi" w:cstheme="minorHAnsi"/>
          <w:sz w:val="16"/>
          <w:szCs w:val="16"/>
        </w:rPr>
        <w:t xml:space="preserve">; </w:t>
      </w:r>
      <w:hyperlink r:id="rId232" w:history="1">
        <w:r w:rsidRPr="00C3377D">
          <w:rPr>
            <w:rStyle w:val="Hyperlink"/>
            <w:rFonts w:asciiTheme="minorHAnsi" w:hAnsiTheme="minorHAnsi" w:cstheme="minorHAnsi"/>
            <w:i/>
            <w:sz w:val="16"/>
            <w:szCs w:val="16"/>
          </w:rPr>
          <w:t xml:space="preserve">State ex rel. Dispatch Printing Co. v. Morrow </w:t>
        </w:r>
        <w:r w:rsidRPr="00C3377D">
          <w:rPr>
            <w:rStyle w:val="Hyperlink"/>
            <w:rFonts w:asciiTheme="minorHAnsi" w:hAnsiTheme="minorHAnsi" w:cstheme="minorHAnsi"/>
            <w:i/>
            <w:sz w:val="16"/>
            <w:szCs w:val="16"/>
          </w:rPr>
          <w:t>Cty. Prosecutor’s Office</w:t>
        </w:r>
      </w:hyperlink>
      <w:r w:rsidRPr="00C3377D">
        <w:rPr>
          <w:rFonts w:asciiTheme="minorHAnsi" w:hAnsiTheme="minorHAnsi" w:cstheme="minorHAnsi"/>
          <w:sz w:val="16"/>
          <w:szCs w:val="16"/>
        </w:rPr>
        <w:t>, 105 Ohio St.3d 172, 2005-Ohio-685, ¶ 12-13</w:t>
      </w:r>
      <w:r w:rsidR="00CB2FE5" w:rsidRPr="00C3377D">
        <w:rPr>
          <w:rFonts w:asciiTheme="minorHAnsi" w:hAnsiTheme="minorHAnsi" w:cstheme="minorHAnsi"/>
          <w:sz w:val="16"/>
          <w:szCs w:val="16"/>
        </w:rPr>
        <w:t xml:space="preserve"> (public office did not fulfill its duty to provide copies of records by allowing requester to listen to 911 tapes).</w:t>
      </w:r>
    </w:p>
  </w:endnote>
  <w:endnote w:id="142">
    <w:p w14:paraId="5AC13BFB" w14:textId="31FDAF5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Style w:val="Hyperlink"/>
          <w:rFonts w:asciiTheme="minorHAnsi" w:hAnsiTheme="minorHAnsi" w:cstheme="minorHAnsi"/>
          <w:i/>
          <w:sz w:val="16"/>
          <w:szCs w:val="16"/>
        </w:rPr>
        <w:t>State v. Court of Common Pleas</w:t>
      </w:r>
      <w:r w:rsidRPr="00C3377D">
        <w:rPr>
          <w:rFonts w:asciiTheme="minorHAnsi" w:hAnsiTheme="minorHAnsi" w:cstheme="minorHAnsi"/>
          <w:sz w:val="16"/>
          <w:szCs w:val="16"/>
        </w:rPr>
        <w:t>, 7th Dist. Noble No. 07-NO-341, 2007-Ohio-6433, ¶ 30-31 (although direct copies could not be made because the original recording device was no longer available, requester is still entitled to copies in available alternative format).</w:t>
      </w:r>
    </w:p>
  </w:endnote>
  <w:endnote w:id="143">
    <w:p w14:paraId="42270305" w14:textId="0C2B97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3" w:history="1">
        <w:r w:rsidRPr="00C3377D">
          <w:rPr>
            <w:rStyle w:val="Hyperlink"/>
            <w:rFonts w:asciiTheme="minorHAnsi" w:hAnsiTheme="minorHAnsi" w:cstheme="minorHAnsi"/>
            <w:sz w:val="16"/>
            <w:szCs w:val="16"/>
          </w:rPr>
          <w:t>R.C. 149.43(B)(6)</w:t>
        </w:r>
      </w:hyperlink>
      <w:r w:rsidRPr="00C3377D">
        <w:rPr>
          <w:rFonts w:asciiTheme="minorHAnsi" w:hAnsiTheme="minorHAnsi" w:cstheme="minorHAnsi"/>
          <w:sz w:val="16"/>
          <w:szCs w:val="16"/>
        </w:rPr>
        <w:t xml:space="preserve">; </w:t>
      </w:r>
      <w:hyperlink r:id="rId234" w:history="1">
        <w:r w:rsidRPr="00C3377D">
          <w:rPr>
            <w:rStyle w:val="Hyperlink"/>
            <w:rFonts w:asciiTheme="minorHAnsi" w:hAnsiTheme="minorHAnsi" w:cstheme="minorHAnsi"/>
            <w:i/>
            <w:sz w:val="16"/>
            <w:szCs w:val="16"/>
          </w:rPr>
          <w:t>State ex rel. Reese v. Ohio Dept. Rehab. &amp; Corr. Legal Dept.</w:t>
        </w:r>
      </w:hyperlink>
      <w:r w:rsidRPr="00C3377D">
        <w:rPr>
          <w:rFonts w:asciiTheme="minorHAnsi" w:hAnsiTheme="minorHAnsi" w:cstheme="minorHAnsi"/>
          <w:i/>
          <w:sz w:val="16"/>
          <w:szCs w:val="16"/>
        </w:rPr>
        <w:t xml:space="preserve">, </w:t>
      </w:r>
      <w:r w:rsidR="00CB2FE5" w:rsidRPr="00C3377D">
        <w:rPr>
          <w:rFonts w:asciiTheme="minorHAnsi" w:hAnsiTheme="minorHAnsi" w:cstheme="minorHAnsi"/>
          <w:sz w:val="16"/>
          <w:szCs w:val="16"/>
        </w:rPr>
        <w:t>168 Ohio St.3d 647</w:t>
      </w:r>
      <w:r w:rsidRPr="00C3377D">
        <w:rPr>
          <w:rFonts w:asciiTheme="minorHAnsi" w:hAnsiTheme="minorHAnsi" w:cstheme="minorHAnsi"/>
          <w:sz w:val="16"/>
          <w:szCs w:val="16"/>
        </w:rPr>
        <w:t>, 2022-Ohio-2105, ¶ 15-17 (when public office did not maintain requested video footage “in photo clip form,” office was not required to produce records in that format).</w:t>
      </w:r>
    </w:p>
  </w:endnote>
  <w:endnote w:id="144">
    <w:p w14:paraId="6DABB3CD" w14:textId="07C49C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235" w:history="1">
        <w:r w:rsidRPr="00C3377D">
          <w:rPr>
            <w:rStyle w:val="Hyperlink"/>
            <w:rFonts w:asciiTheme="minorHAnsi" w:hAnsiTheme="minorHAnsi" w:cstheme="minorHAnsi"/>
            <w:sz w:val="16"/>
            <w:szCs w:val="16"/>
          </w:rPr>
          <w:t xml:space="preserve"> R.C. 149.43(B)(1), (B)(6)</w:t>
        </w:r>
      </w:hyperlink>
      <w:r w:rsidRPr="00C3377D">
        <w:rPr>
          <w:rFonts w:asciiTheme="minorHAnsi" w:hAnsiTheme="minorHAnsi" w:cstheme="minorHAnsi"/>
          <w:sz w:val="16"/>
          <w:szCs w:val="16"/>
        </w:rPr>
        <w:t xml:space="preserve">; </w:t>
      </w:r>
      <w:hyperlink r:id="rId236"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(a public office complies with the Public Records Act when it identifies the cost of copies and offers to provide copies upon the payment of costs).</w:t>
      </w:r>
    </w:p>
  </w:endnote>
  <w:endnote w:id="145">
    <w:p w14:paraId="6F1DA945" w14:textId="58F79CE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7"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Sevayega v. Reis</w:t>
        </w:r>
      </w:hyperlink>
      <w:r w:rsidRPr="00C3377D">
        <w:rPr>
          <w:rFonts w:asciiTheme="minorHAnsi" w:hAnsiTheme="minorHAnsi" w:cstheme="minorHAnsi"/>
          <w:sz w:val="16"/>
          <w:szCs w:val="16"/>
        </w:rPr>
        <w:t>, 88 Ohio St.3d 458, 459 (2000).</w:t>
      </w:r>
    </w:p>
  </w:endnote>
  <w:endnote w:id="146">
    <w:p w14:paraId="5FF3A830" w14:textId="3941280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8" w:history="1">
        <w:r w:rsidRPr="00C3377D">
          <w:rPr>
            <w:rStyle w:val="Hyperlink"/>
            <w:rFonts w:asciiTheme="minorHAnsi" w:hAnsiTheme="minorHAnsi" w:cstheme="minorHAnsi"/>
            <w:sz w:val="16"/>
            <w:szCs w:val="16"/>
          </w:rPr>
          <w:t>R.C. 149.43(B)(7).</w:t>
        </w:r>
      </w:hyperlink>
    </w:p>
  </w:endnote>
  <w:endnote w:id="147">
    <w:p w14:paraId="2188177A" w14:textId="2BAA9372"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39" w:history="1">
        <w:r w:rsidRPr="00C3377D">
          <w:rPr>
            <w:rStyle w:val="Hyperlink"/>
            <w:rFonts w:asciiTheme="minorHAnsi" w:hAnsiTheme="minorHAnsi" w:cstheme="minorHAnsi"/>
            <w:i/>
            <w:sz w:val="16"/>
            <w:szCs w:val="16"/>
          </w:rPr>
          <w:t>State ex rel. Patton v Rhodes</w:t>
        </w:r>
      </w:hyperlink>
      <w:r w:rsidRPr="00C3377D">
        <w:rPr>
          <w:rFonts w:asciiTheme="minorHAnsi" w:hAnsiTheme="minorHAnsi" w:cstheme="minorHAnsi"/>
          <w:sz w:val="16"/>
          <w:szCs w:val="16"/>
        </w:rPr>
        <w:t xml:space="preserve">, 129 Ohio St.3d 182, 2011-Ohio-3093, ¶ 15-20; </w:t>
      </w:r>
      <w:hyperlink r:id="rId240" w:history="1">
        <w:r w:rsidRPr="00C3377D">
          <w:rPr>
            <w:rStyle w:val="Hyperlink"/>
            <w:rFonts w:asciiTheme="minorHAnsi" w:hAnsiTheme="minorHAnsi" w:cstheme="minorHAnsi"/>
            <w:sz w:val="16"/>
            <w:szCs w:val="16"/>
          </w:rPr>
          <w:t xml:space="preserve">2014 Ohio </w:t>
        </w:r>
        <w:r w:rsidRPr="00C3377D">
          <w:rPr>
            <w:rStyle w:val="Hyperlink"/>
            <w:rFonts w:asciiTheme="minorHAnsi" w:hAnsiTheme="minorHAnsi" w:cstheme="minorHAnsi"/>
            <w:sz w:val="16"/>
            <w:szCs w:val="16"/>
          </w:rPr>
          <w:t>Atty.Gen.Ops. No. 009.</w:t>
        </w:r>
      </w:hyperlink>
    </w:p>
  </w:endnote>
  <w:endnote w:id="148">
    <w:p w14:paraId="7CF95538" w14:textId="4985A7E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1" w:history="1">
        <w:r w:rsidRPr="00C3377D">
          <w:rPr>
            <w:rStyle w:val="Hyperlink"/>
            <w:rFonts w:asciiTheme="minorHAnsi" w:hAnsiTheme="minorHAnsi" w:cstheme="minorHAnsi"/>
            <w:sz w:val="16"/>
            <w:szCs w:val="16"/>
          </w:rPr>
          <w:t xml:space="preserve">2014 Ohio </w:t>
        </w:r>
        <w:r w:rsidRPr="00C3377D">
          <w:rPr>
            <w:rStyle w:val="Hyperlink"/>
            <w:rFonts w:asciiTheme="minorHAnsi" w:hAnsiTheme="minorHAnsi" w:cstheme="minorHAnsi"/>
            <w:sz w:val="16"/>
            <w:szCs w:val="16"/>
          </w:rPr>
          <w:t>Atty.Gen.Ops. No. 009.</w:t>
        </w:r>
      </w:hyperlink>
    </w:p>
  </w:endnote>
  <w:endnote w:id="149">
    <w:p w14:paraId="04474480" w14:textId="553D5C5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2" w:history="1">
        <w:r w:rsidRPr="00C3377D">
          <w:rPr>
            <w:rStyle w:val="Hyperlink"/>
            <w:rFonts w:asciiTheme="minorHAnsi" w:hAnsiTheme="minorHAnsi" w:cstheme="minorHAnsi"/>
            <w:sz w:val="16"/>
            <w:szCs w:val="16"/>
          </w:rPr>
          <w:t>R.C. 149.43(B)(7).</w:t>
        </w:r>
      </w:hyperlink>
    </w:p>
  </w:endnote>
  <w:endnote w:id="150">
    <w:p w14:paraId="3D1B9F6B" w14:textId="64DA907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3"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w:t>
      </w:r>
    </w:p>
  </w:endnote>
  <w:endnote w:id="151">
    <w:p w14:paraId="67BF9932" w14:textId="357470B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4" w:history="1">
        <w:r w:rsidRPr="00C3377D">
          <w:rPr>
            <w:rStyle w:val="Hyperlink"/>
            <w:rFonts w:asciiTheme="minorHAnsi" w:hAnsiTheme="minorHAnsi" w:cstheme="minorHAnsi"/>
            <w:i/>
            <w:sz w:val="16"/>
            <w:szCs w:val="16"/>
          </w:rPr>
          <w:t xml:space="preserve">State ex rel. Consumer News Serv., Inc. v. Worthington City Bd. of </w:t>
        </w:r>
        <w:r w:rsidRPr="00C3377D">
          <w:rPr>
            <w:rStyle w:val="Hyperlink"/>
            <w:rFonts w:asciiTheme="minorHAnsi" w:hAnsiTheme="minorHAnsi" w:cstheme="minorHAnsi"/>
            <w:i/>
            <w:sz w:val="16"/>
            <w:szCs w:val="16"/>
          </w:rPr>
          <w:t>Edn.</w:t>
        </w:r>
      </w:hyperlink>
      <w:r w:rsidRPr="00C3377D">
        <w:rPr>
          <w:rFonts w:asciiTheme="minorHAnsi" w:hAnsiTheme="minorHAnsi" w:cstheme="minorHAnsi"/>
          <w:sz w:val="16"/>
          <w:szCs w:val="16"/>
        </w:rPr>
        <w:t xml:space="preserve">, 97 Ohio St.3d 58, 2002-Ohio-5311, ¶ 37; </w:t>
      </w:r>
      <w:r w:rsidRPr="00C3377D">
        <w:rPr>
          <w:rFonts w:asciiTheme="minorHAnsi" w:hAnsiTheme="minorHAnsi" w:cstheme="minorHAnsi"/>
          <w:i/>
          <w:sz w:val="16"/>
          <w:szCs w:val="16"/>
        </w:rPr>
        <w:t xml:space="preserve">see also </w:t>
      </w:r>
      <w:hyperlink r:id="rId245" w:history="1">
        <w:r w:rsidRPr="00C3377D">
          <w:rPr>
            <w:rStyle w:val="Hyperlink"/>
            <w:rFonts w:asciiTheme="minorHAnsi" w:hAnsiTheme="minorHAnsi" w:cstheme="minorHAnsi"/>
            <w:i/>
            <w:sz w:val="16"/>
            <w:szCs w:val="16"/>
          </w:rPr>
          <w:t>State ex rel. Wadd v. Cleveland</w:t>
        </w:r>
      </w:hyperlink>
      <w:r w:rsidRPr="00C3377D">
        <w:rPr>
          <w:rFonts w:asciiTheme="minorHAnsi" w:hAnsiTheme="minorHAnsi" w:cstheme="minorHAnsi"/>
          <w:sz w:val="16"/>
          <w:szCs w:val="16"/>
        </w:rPr>
        <w:t>, 81 Ohio St.3d 50, 53 (1997).</w:t>
      </w:r>
    </w:p>
  </w:endnote>
  <w:endnote w:id="152">
    <w:p w14:paraId="3C64FE63" w14:textId="31994BD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46" w:history="1">
        <w:r w:rsidRPr="00C3377D">
          <w:rPr>
            <w:rStyle w:val="Hyperlink"/>
            <w:rFonts w:asciiTheme="minorHAnsi" w:hAnsiTheme="minorHAnsi" w:cstheme="minorHAnsi"/>
            <w:sz w:val="16"/>
            <w:szCs w:val="16"/>
          </w:rPr>
          <w:t>R.C. 149.43(B)(1).</w:t>
        </w:r>
      </w:hyperlink>
    </w:p>
  </w:endnote>
  <w:endnote w:id="153">
    <w:p w14:paraId="3BAA0122" w14:textId="77777777" w:rsidR="001F15DE" w:rsidRDefault="002F23BE" w:rsidP="00C3377D">
      <w:pPr>
        <w:pStyle w:val="EndnoteText"/>
        <w:spacing w:line="160" w:lineRule="exact"/>
        <w:jc w:val="both"/>
        <w:rPr>
          <w:rFonts w:asciiTheme="minorHAnsi" w:hAnsiTheme="minorHAnsi" w:cstheme="minorHAnsi"/>
          <w:b/>
          <w:sz w:val="16"/>
          <w:szCs w:val="16"/>
        </w:rPr>
      </w:pPr>
      <w:r w:rsidRPr="001F15DE">
        <w:rPr>
          <w:rStyle w:val="EndnoteReference"/>
          <w:rFonts w:asciiTheme="minorHAnsi" w:hAnsiTheme="minorHAnsi" w:cstheme="minorHAnsi"/>
          <w:sz w:val="16"/>
          <w:szCs w:val="16"/>
        </w:rPr>
        <w:endnoteRef/>
      </w:r>
      <w:r w:rsidRPr="001F15DE">
        <w:rPr>
          <w:rFonts w:asciiTheme="minorHAnsi" w:hAnsiTheme="minorHAnsi" w:cstheme="minorHAnsi"/>
          <w:sz w:val="16"/>
          <w:szCs w:val="16"/>
        </w:rPr>
        <w:t xml:space="preserve"> </w:t>
      </w:r>
      <w:r w:rsidRPr="00C3377D">
        <w:rPr>
          <w:rFonts w:asciiTheme="minorHAnsi" w:hAnsiTheme="minorHAnsi" w:cstheme="minorHAnsi"/>
          <w:b/>
          <w:sz w:val="16"/>
          <w:szCs w:val="16"/>
        </w:rPr>
        <w:t xml:space="preserve">Reasonable </w:t>
      </w:r>
      <w:r w:rsidRPr="00C3377D">
        <w:rPr>
          <w:rFonts w:asciiTheme="minorHAnsi" w:hAnsiTheme="minorHAnsi" w:cstheme="minorHAnsi"/>
          <w:b/>
          <w:sz w:val="16"/>
          <w:szCs w:val="16"/>
        </w:rPr>
        <w:t>period of time under the facts and circumstances:</w:t>
      </w:r>
    </w:p>
    <w:p w14:paraId="59C2A9C2" w14:textId="7CFF637E" w:rsidR="002F23BE" w:rsidRPr="00C3377D" w:rsidRDefault="00000000" w:rsidP="00C3377D">
      <w:pPr>
        <w:pStyle w:val="EndnoteText"/>
        <w:spacing w:line="160" w:lineRule="exact"/>
        <w:jc w:val="both"/>
        <w:rPr>
          <w:rFonts w:asciiTheme="minorHAnsi" w:hAnsiTheme="minorHAnsi" w:cstheme="minorHAnsi"/>
          <w:sz w:val="16"/>
          <w:szCs w:val="16"/>
        </w:rPr>
      </w:pPr>
      <w:hyperlink r:id="rId247" w:history="1">
        <w:r w:rsidR="002F23BE" w:rsidRPr="00C3377D">
          <w:rPr>
            <w:rStyle w:val="Hyperlink"/>
            <w:rFonts w:asciiTheme="minorHAnsi" w:hAnsiTheme="minorHAnsi" w:cstheme="minorHAnsi"/>
            <w:i/>
            <w:sz w:val="16"/>
            <w:szCs w:val="16"/>
          </w:rPr>
          <w:t xml:space="preserve">State ex rel. Cincinnati Enquirer v. Pike </w:t>
        </w:r>
        <w:r w:rsidR="002F23BE" w:rsidRPr="00C3377D">
          <w:rPr>
            <w:rStyle w:val="Hyperlink"/>
            <w:rFonts w:asciiTheme="minorHAnsi" w:hAnsiTheme="minorHAnsi" w:cstheme="minorHAnsi"/>
            <w:i/>
            <w:sz w:val="16"/>
            <w:szCs w:val="16"/>
          </w:rPr>
          <w:t>Cty. Coroner’s Office</w:t>
        </w:r>
      </w:hyperlink>
      <w:r w:rsidR="002F23BE" w:rsidRPr="00C3377D">
        <w:rPr>
          <w:rFonts w:asciiTheme="minorHAnsi" w:hAnsiTheme="minorHAnsi" w:cstheme="minorHAnsi"/>
          <w:sz w:val="16"/>
          <w:szCs w:val="16"/>
        </w:rPr>
        <w:t xml:space="preserve">, 153 Ohio St. 3d 63, 2017-Ohio-8988, ¶ 59 (two months reasonable to produce redacted autopsy reports of homicide victims given “the magnitude of the investigation into the murders and the corresponding need to redact the reports with care”); </w:t>
      </w:r>
      <w:hyperlink r:id="rId248" w:history="1">
        <w:r w:rsidR="002F23BE" w:rsidRPr="00C3377D">
          <w:rPr>
            <w:rStyle w:val="Hyperlink"/>
            <w:rFonts w:asciiTheme="minorHAnsi" w:hAnsiTheme="minorHAnsi" w:cstheme="minorHAnsi"/>
            <w:i/>
            <w:sz w:val="16"/>
            <w:szCs w:val="16"/>
          </w:rPr>
          <w:t>State ex rel. Patituce &amp; Assocs., LLC v. City of Cleveland</w:t>
        </w:r>
      </w:hyperlink>
      <w:r w:rsidR="002F23BE" w:rsidRPr="00C3377D">
        <w:rPr>
          <w:rFonts w:asciiTheme="minorHAnsi" w:hAnsiTheme="minorHAnsi" w:cstheme="minorHAnsi"/>
          <w:sz w:val="16"/>
          <w:szCs w:val="16"/>
        </w:rPr>
        <w:t xml:space="preserve">, </w:t>
      </w:r>
      <w:r w:rsidR="00367F58">
        <w:rPr>
          <w:rFonts w:asciiTheme="minorHAnsi" w:hAnsiTheme="minorHAnsi" w:cstheme="minorHAnsi"/>
          <w:sz w:val="16"/>
          <w:szCs w:val="16"/>
        </w:rPr>
        <w:t xml:space="preserve">8th Dist. Cuyahoga </w:t>
      </w:r>
      <w:r w:rsidR="00367F58" w:rsidRPr="00367F58">
        <w:rPr>
          <w:rFonts w:asciiTheme="minorHAnsi" w:hAnsiTheme="minorHAnsi" w:cstheme="minorHAnsi"/>
          <w:sz w:val="16"/>
          <w:szCs w:val="16"/>
        </w:rPr>
        <w:t>No. 104837</w:t>
      </w:r>
      <w:r w:rsidR="00367F58">
        <w:rPr>
          <w:rFonts w:asciiTheme="minorHAnsi" w:hAnsiTheme="minorHAnsi" w:cstheme="minorHAnsi"/>
          <w:sz w:val="16"/>
          <w:szCs w:val="16"/>
        </w:rPr>
        <w:t xml:space="preserve">, </w:t>
      </w:r>
      <w:r w:rsidR="002F23BE" w:rsidRPr="00C3377D">
        <w:rPr>
          <w:rFonts w:asciiTheme="minorHAnsi" w:hAnsiTheme="minorHAnsi" w:cstheme="minorHAnsi"/>
          <w:sz w:val="16"/>
          <w:szCs w:val="16"/>
        </w:rPr>
        <w:t xml:space="preserve">2017-Ohio-300, ¶ 10 (delay of almost three months in responding to request for personnel files of police officers and other records was reasonable as requested records potentially contained information prohibited by disclosure); </w:t>
      </w:r>
      <w:hyperlink r:id="rId249" w:history="1">
        <w:r w:rsidR="002F23BE" w:rsidRPr="00C3377D">
          <w:rPr>
            <w:rStyle w:val="Hyperlink"/>
            <w:rFonts w:asciiTheme="minorHAnsi" w:hAnsiTheme="minorHAnsi" w:cstheme="minorHAnsi"/>
            <w:i/>
            <w:sz w:val="16"/>
            <w:szCs w:val="16"/>
          </w:rPr>
          <w:t>Strothers v. Norton</w:t>
        </w:r>
      </w:hyperlink>
      <w:r w:rsidR="002F23BE" w:rsidRPr="00C3377D">
        <w:rPr>
          <w:rFonts w:asciiTheme="minorHAnsi" w:hAnsiTheme="minorHAnsi" w:cstheme="minorHAnsi"/>
          <w:sz w:val="16"/>
          <w:szCs w:val="16"/>
        </w:rPr>
        <w:t xml:space="preserve">, 131 Ohio St.3d 359, 2012-Ohio-1007, ¶ 23 (45 days was reasonable when records responsive to multiple requests were voluminous); </w:t>
      </w:r>
      <w:hyperlink r:id="rId250" w:history="1">
        <w:r w:rsidR="002F23BE" w:rsidRPr="00C3377D">
          <w:rPr>
            <w:rStyle w:val="Hyperlink"/>
            <w:rFonts w:asciiTheme="minorHAnsi" w:hAnsiTheme="minorHAnsi" w:cstheme="minorHAnsi"/>
            <w:i/>
            <w:sz w:val="16"/>
            <w:szCs w:val="16"/>
          </w:rPr>
          <w:t>State ex rel. Davis v. Metzger</w:t>
        </w:r>
      </w:hyperlink>
      <w:r w:rsidR="002F23BE" w:rsidRPr="00C3377D">
        <w:rPr>
          <w:rFonts w:asciiTheme="minorHAnsi" w:hAnsiTheme="minorHAnsi" w:cstheme="minorHAnsi"/>
          <w:sz w:val="16"/>
          <w:szCs w:val="16"/>
        </w:rPr>
        <w:t>, 139 Ohio St.3d 423, 2014-Ohio-2329, ¶ 12 (three days was reasonable to respond to records request for the personnel files of six employees)</w:t>
      </w:r>
      <w:r w:rsidR="00CB2FE5" w:rsidRPr="00C3377D">
        <w:rPr>
          <w:rFonts w:asciiTheme="minorHAnsi" w:hAnsiTheme="minorHAnsi" w:cstheme="minorHAnsi"/>
          <w:sz w:val="16"/>
          <w:szCs w:val="16"/>
        </w:rPr>
        <w:t>.</w:t>
      </w:r>
    </w:p>
    <w:p w14:paraId="36384B67" w14:textId="77777777" w:rsidR="001F15DE" w:rsidRDefault="002F23BE" w:rsidP="001F15DE">
      <w:pPr>
        <w:pStyle w:val="EndnoteText"/>
        <w:spacing w:line="160" w:lineRule="exact"/>
        <w:jc w:val="both"/>
        <w:rPr>
          <w:rFonts w:asciiTheme="minorHAnsi" w:hAnsiTheme="minorHAnsi" w:cstheme="minorHAnsi"/>
          <w:sz w:val="16"/>
          <w:szCs w:val="16"/>
        </w:rPr>
      </w:pPr>
      <w:r w:rsidRPr="00C3377D">
        <w:rPr>
          <w:rFonts w:asciiTheme="minorHAnsi" w:hAnsiTheme="minorHAnsi" w:cstheme="minorHAnsi"/>
          <w:b/>
          <w:sz w:val="16"/>
          <w:szCs w:val="16"/>
        </w:rPr>
        <w:t>Not a reasonable period of time under the facts and circumstances:</w:t>
      </w:r>
      <w:r w:rsidRPr="00C3377D">
        <w:rPr>
          <w:rFonts w:asciiTheme="minorHAnsi" w:hAnsiTheme="minorHAnsi" w:cstheme="minorHAnsi"/>
          <w:sz w:val="16"/>
          <w:szCs w:val="16"/>
        </w:rPr>
        <w:t xml:space="preserve"> </w:t>
      </w:r>
    </w:p>
    <w:p w14:paraId="097FF309" w14:textId="24CA16CA" w:rsidR="002F23BE" w:rsidRPr="00C3377D" w:rsidRDefault="00000000" w:rsidP="001F15DE">
      <w:pPr>
        <w:pStyle w:val="EndnoteText"/>
        <w:spacing w:line="160" w:lineRule="exact"/>
        <w:jc w:val="both"/>
        <w:rPr>
          <w:rFonts w:asciiTheme="minorHAnsi" w:hAnsiTheme="minorHAnsi" w:cstheme="minorHAnsi"/>
          <w:sz w:val="16"/>
          <w:szCs w:val="16"/>
        </w:rPr>
      </w:pPr>
      <w:hyperlink r:id="rId251" w:history="1">
        <w:r w:rsidR="002F23BE" w:rsidRPr="00C3377D">
          <w:rPr>
            <w:rStyle w:val="Hyperlink"/>
            <w:rFonts w:asciiTheme="minorHAnsi" w:hAnsiTheme="minorHAnsi" w:cstheme="minorHAnsi"/>
            <w:i/>
            <w:sz w:val="16"/>
            <w:szCs w:val="16"/>
          </w:rPr>
          <w:t>State ex rel. Kesterson v. Kent State Univ.</w:t>
        </w:r>
      </w:hyperlink>
      <w:r w:rsidR="002F23BE" w:rsidRPr="00C3377D">
        <w:rPr>
          <w:rFonts w:asciiTheme="minorHAnsi" w:hAnsiTheme="minorHAnsi" w:cstheme="minorHAnsi"/>
          <w:sz w:val="16"/>
          <w:szCs w:val="16"/>
        </w:rPr>
        <w:t xml:space="preserve">, 156 Ohio St.3d 13, 2018-Ohio-5108, ¶ 14-20 (23 days was reasonable to produce over 700 pages of responsive records, but over eight-month delay </w:t>
      </w:r>
      <w:r w:rsidR="001F15DE">
        <w:rPr>
          <w:rFonts w:asciiTheme="minorHAnsi" w:hAnsiTheme="minorHAnsi" w:cstheme="minorHAnsi"/>
          <w:sz w:val="16"/>
          <w:szCs w:val="16"/>
        </w:rPr>
        <w:t>to</w:t>
      </w:r>
      <w:r w:rsidR="002F23BE" w:rsidRPr="00C3377D">
        <w:rPr>
          <w:rFonts w:asciiTheme="minorHAnsi" w:hAnsiTheme="minorHAnsi" w:cstheme="minorHAnsi"/>
          <w:sz w:val="16"/>
          <w:szCs w:val="16"/>
        </w:rPr>
        <w:t xml:space="preserve"> produc</w:t>
      </w:r>
      <w:r w:rsidR="001F15DE">
        <w:rPr>
          <w:rFonts w:asciiTheme="minorHAnsi" w:hAnsiTheme="minorHAnsi" w:cstheme="minorHAnsi"/>
          <w:sz w:val="16"/>
          <w:szCs w:val="16"/>
        </w:rPr>
        <w:t>e</w:t>
      </w:r>
      <w:r w:rsidR="002F23BE" w:rsidRPr="00C3377D">
        <w:rPr>
          <w:rFonts w:asciiTheme="minorHAnsi" w:hAnsiTheme="minorHAnsi" w:cstheme="minorHAnsi"/>
          <w:sz w:val="16"/>
          <w:szCs w:val="16"/>
        </w:rPr>
        <w:t xml:space="preserve"> other responsive records </w:t>
      </w:r>
      <w:r w:rsidR="001F15DE">
        <w:rPr>
          <w:rFonts w:asciiTheme="minorHAnsi" w:hAnsiTheme="minorHAnsi" w:cstheme="minorHAnsi"/>
          <w:sz w:val="16"/>
          <w:szCs w:val="16"/>
        </w:rPr>
        <w:t>was un</w:t>
      </w:r>
      <w:r w:rsidR="002F23BE" w:rsidRPr="00C3377D">
        <w:rPr>
          <w:rFonts w:asciiTheme="minorHAnsi" w:hAnsiTheme="minorHAnsi" w:cstheme="minorHAnsi"/>
          <w:sz w:val="16"/>
          <w:szCs w:val="16"/>
        </w:rPr>
        <w:t xml:space="preserve">reasonable); </w:t>
      </w:r>
      <w:hyperlink r:id="rId252" w:history="1">
        <w:r w:rsidR="002F23BE" w:rsidRPr="00C3377D">
          <w:rPr>
            <w:rStyle w:val="Hyperlink"/>
            <w:rFonts w:asciiTheme="minorHAnsi" w:hAnsiTheme="minorHAnsi" w:cstheme="minorHAnsi"/>
            <w:i/>
            <w:sz w:val="16"/>
            <w:szCs w:val="16"/>
          </w:rPr>
          <w:t>State ex rel. Hogan Lovells U.S., LLP v. Dept. of Rehab. &amp; Corr.</w:t>
        </w:r>
      </w:hyperlink>
      <w:r w:rsidR="002F23BE" w:rsidRPr="00C3377D">
        <w:rPr>
          <w:rFonts w:asciiTheme="minorHAnsi" w:hAnsiTheme="minorHAnsi" w:cstheme="minorHAnsi"/>
          <w:sz w:val="16"/>
          <w:szCs w:val="16"/>
        </w:rPr>
        <w:t xml:space="preserve">, 156 Ohio St.3d 56, 2018-Ohio-5133, ¶ 33 (ten months to respond to public records request when only explanation is inadvertence “is difficult to defend”); </w:t>
      </w:r>
      <w:hyperlink r:id="rId253" w:history="1">
        <w:r w:rsidR="002F23BE" w:rsidRPr="00C3377D">
          <w:rPr>
            <w:rStyle w:val="Hyperlink"/>
            <w:rFonts w:asciiTheme="minorHAnsi" w:hAnsiTheme="minorHAnsi" w:cstheme="minorHAnsi"/>
            <w:i/>
            <w:sz w:val="16"/>
            <w:szCs w:val="16"/>
          </w:rPr>
          <w:t>State ex rel. DiFranco v. S. Euclid</w:t>
        </w:r>
      </w:hyperlink>
      <w:r w:rsidR="002F23BE" w:rsidRPr="00C3377D">
        <w:rPr>
          <w:rFonts w:asciiTheme="minorHAnsi" w:hAnsiTheme="minorHAnsi" w:cstheme="minorHAnsi"/>
          <w:sz w:val="16"/>
          <w:szCs w:val="16"/>
        </w:rPr>
        <w:t xml:space="preserve">, 144 Ohio St.3d 565, 2015-Ohio-4914, ¶ 16, 18 (delay of approximately eight months to provide large amount of records was unreasonable when it “was not primarily due to a review for redaction” but caused by inadvertent omission of records from emails and producing other records before suit was filed); </w:t>
      </w:r>
      <w:hyperlink r:id="rId254" w:history="1">
        <w:r w:rsidR="002F23BE" w:rsidRPr="00C3377D">
          <w:rPr>
            <w:rStyle w:val="Hyperlink"/>
            <w:rFonts w:asciiTheme="minorHAnsi" w:hAnsiTheme="minorHAnsi" w:cstheme="minorHAnsi"/>
            <w:i/>
            <w:sz w:val="16"/>
            <w:szCs w:val="16"/>
          </w:rPr>
          <w:t>State ex rel. DiFranco v. S. Euclid</w:t>
        </w:r>
      </w:hyperlink>
      <w:r w:rsidR="002F23BE" w:rsidRPr="00C3377D">
        <w:rPr>
          <w:rFonts w:asciiTheme="minorHAnsi" w:hAnsiTheme="minorHAnsi" w:cstheme="minorHAnsi"/>
          <w:sz w:val="16"/>
          <w:szCs w:val="16"/>
        </w:rPr>
        <w:t xml:space="preserve">, 138 Ohio St.3d 367, 2014-Ohio-538, ¶ 21, </w:t>
      </w:r>
      <w:r w:rsidR="002F23BE" w:rsidRPr="00C3377D">
        <w:rPr>
          <w:rFonts w:asciiTheme="minorHAnsi" w:hAnsiTheme="minorHAnsi" w:cstheme="minorHAnsi"/>
          <w:i/>
          <w:sz w:val="16"/>
          <w:szCs w:val="16"/>
        </w:rPr>
        <w:t>superseded by statute on other grounds</w:t>
      </w:r>
      <w:r w:rsidR="002F23BE" w:rsidRPr="00C3377D">
        <w:rPr>
          <w:rFonts w:asciiTheme="minorHAnsi" w:hAnsiTheme="minorHAnsi" w:cstheme="minorHAnsi"/>
          <w:sz w:val="16"/>
          <w:szCs w:val="16"/>
        </w:rPr>
        <w:t xml:space="preserve"> (“It follows that the absence of any response over a two-month period constitutes a violation of the ‘obligation in accordance with division (B)’ to respond ‘within a reasonable period of time’ per R.C. 149.43(B)(7).”); </w:t>
      </w:r>
      <w:hyperlink r:id="rId255" w:history="1">
        <w:r w:rsidR="002F23BE" w:rsidRPr="00C3377D">
          <w:rPr>
            <w:rStyle w:val="Hyperlink"/>
            <w:rFonts w:asciiTheme="minorHAnsi" w:hAnsiTheme="minorHAnsi" w:cstheme="minorHAnsi"/>
            <w:i/>
            <w:sz w:val="16"/>
            <w:szCs w:val="16"/>
          </w:rPr>
          <w:t>State ex rel. Consumer News Serv., Inc. v. Worthington City Bd. of Edn.</w:t>
        </w:r>
      </w:hyperlink>
      <w:r w:rsidR="002F23BE" w:rsidRPr="00C3377D">
        <w:rPr>
          <w:rFonts w:asciiTheme="minorHAnsi" w:hAnsiTheme="minorHAnsi" w:cstheme="minorHAnsi"/>
          <w:sz w:val="16"/>
          <w:szCs w:val="16"/>
        </w:rPr>
        <w:t>, 97 Ohio St.3d 58, 2002-Ohio-5311, ¶ 38-47 (six-day delay in providing requested resumes unreasonable)</w:t>
      </w:r>
      <w:r w:rsidR="00CB2FE5" w:rsidRPr="00C3377D">
        <w:rPr>
          <w:rFonts w:asciiTheme="minorHAnsi" w:hAnsiTheme="minorHAnsi" w:cstheme="minorHAnsi"/>
          <w:sz w:val="16"/>
          <w:szCs w:val="16"/>
        </w:rPr>
        <w:t>.</w:t>
      </w:r>
    </w:p>
  </w:endnote>
  <w:endnote w:id="154">
    <w:p w14:paraId="0C9B564C" w14:textId="4FA92A0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6" w:history="1">
        <w:r w:rsidRPr="00C3377D">
          <w:rPr>
            <w:rStyle w:val="Hyperlink"/>
            <w:rFonts w:asciiTheme="minorHAnsi" w:hAnsiTheme="minorHAnsi" w:cstheme="minorHAnsi"/>
            <w:i/>
            <w:sz w:val="16"/>
            <w:szCs w:val="16"/>
          </w:rPr>
          <w:t xml:space="preserve">State ex rel. Montgomery </w:t>
        </w:r>
        <w:r w:rsidRPr="00C3377D">
          <w:rPr>
            <w:rStyle w:val="Hyperlink"/>
            <w:rFonts w:asciiTheme="minorHAnsi" w:hAnsiTheme="minorHAnsi" w:cstheme="minorHAnsi"/>
            <w:i/>
            <w:sz w:val="16"/>
            <w:szCs w:val="16"/>
          </w:rPr>
          <w:t>Cty. Pub. Defender v. Siroki</w:t>
        </w:r>
      </w:hyperlink>
      <w:r w:rsidRPr="00C3377D">
        <w:rPr>
          <w:rFonts w:asciiTheme="minorHAnsi" w:hAnsiTheme="minorHAnsi" w:cstheme="minorHAnsi"/>
          <w:sz w:val="16"/>
          <w:szCs w:val="16"/>
        </w:rPr>
        <w:t>, 108 Ohio St.3d 207, 2006-Ohio-662, ¶ 10.</w:t>
      </w:r>
    </w:p>
  </w:endnote>
  <w:endnote w:id="155">
    <w:p w14:paraId="3E4A53A9" w14:textId="36BB012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7" w:history="1">
        <w:r w:rsidRPr="00C3377D">
          <w:rPr>
            <w:rStyle w:val="Hyperlink"/>
            <w:rFonts w:asciiTheme="minorHAnsi" w:hAnsiTheme="minorHAnsi" w:cstheme="minorHAnsi"/>
            <w:i/>
            <w:sz w:val="16"/>
            <w:szCs w:val="16"/>
          </w:rPr>
          <w:t xml:space="preserve">State ex rel. Consumer News Serv., Inc. v. Worthington City Bd. of </w:t>
        </w:r>
        <w:r w:rsidRPr="00C3377D">
          <w:rPr>
            <w:rStyle w:val="Hyperlink"/>
            <w:rFonts w:asciiTheme="minorHAnsi" w:hAnsiTheme="minorHAnsi" w:cstheme="minorHAnsi"/>
            <w:i/>
            <w:sz w:val="16"/>
            <w:szCs w:val="16"/>
          </w:rPr>
          <w:t>Edn.</w:t>
        </w:r>
      </w:hyperlink>
      <w:r w:rsidRPr="00C3377D">
        <w:rPr>
          <w:rFonts w:asciiTheme="minorHAnsi" w:hAnsiTheme="minorHAnsi" w:cstheme="minorHAnsi"/>
          <w:sz w:val="16"/>
          <w:szCs w:val="16"/>
        </w:rPr>
        <w:t>, 97 Ohio St.3d 58, 2002-Ohio-5311, ¶ 38-47 (six-day delay in providing requested resumes unreasonable)</w:t>
      </w:r>
      <w:r w:rsidR="0096649E" w:rsidRPr="00C3377D">
        <w:rPr>
          <w:rFonts w:asciiTheme="minorHAnsi" w:hAnsiTheme="minorHAnsi" w:cstheme="minorHAnsi"/>
          <w:sz w:val="16"/>
          <w:szCs w:val="16"/>
        </w:rPr>
        <w:t>.</w:t>
      </w:r>
    </w:p>
  </w:endnote>
  <w:endnote w:id="156">
    <w:p w14:paraId="4478611F" w14:textId="1017F8E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8" w:history="1">
        <w:r w:rsidRPr="00C3377D">
          <w:rPr>
            <w:rStyle w:val="Hyperlink"/>
            <w:rFonts w:asciiTheme="minorHAnsi" w:hAnsiTheme="minorHAnsi" w:cstheme="minorHAnsi"/>
            <w:sz w:val="16"/>
            <w:szCs w:val="16"/>
          </w:rPr>
          <w:t>R.C. 149.43(B)(2), (5).</w:t>
        </w:r>
      </w:hyperlink>
    </w:p>
  </w:endnote>
  <w:endnote w:id="157">
    <w:p w14:paraId="5932BD39" w14:textId="1B93904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59" w:history="1">
        <w:r w:rsidRPr="00C3377D">
          <w:rPr>
            <w:rStyle w:val="Hyperlink"/>
            <w:rFonts w:asciiTheme="minorHAnsi" w:hAnsiTheme="minorHAnsi" w:cstheme="minorHAnsi"/>
            <w:sz w:val="16"/>
            <w:szCs w:val="16"/>
          </w:rPr>
          <w:t>R.C. 149.43(B)(2), (5).</w:t>
        </w:r>
      </w:hyperlink>
    </w:p>
  </w:endnote>
  <w:endnote w:id="158">
    <w:p w14:paraId="0A92212E" w14:textId="1F6E00D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0" w:history="1">
        <w:r w:rsidRPr="00C3377D">
          <w:rPr>
            <w:rStyle w:val="Hyperlink"/>
            <w:rFonts w:asciiTheme="minorHAnsi" w:hAnsiTheme="minorHAnsi" w:cstheme="minorHAnsi"/>
            <w:sz w:val="16"/>
            <w:szCs w:val="16"/>
          </w:rPr>
          <w:t>R.C. 149.43(B)(5).</w:t>
        </w:r>
      </w:hyperlink>
    </w:p>
  </w:endnote>
  <w:endnote w:id="159">
    <w:p w14:paraId="230FA3A6" w14:textId="4D552E5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1" w:history="1">
        <w:r w:rsidRPr="00C3377D">
          <w:rPr>
            <w:rStyle w:val="Hyperlink"/>
            <w:rFonts w:asciiTheme="minorHAnsi" w:hAnsiTheme="minorHAnsi" w:cstheme="minorHAnsi"/>
            <w:i/>
            <w:sz w:val="16"/>
            <w:szCs w:val="16"/>
          </w:rPr>
          <w:t>State ex rel. Morgan v. Strickland</w:t>
        </w:r>
      </w:hyperlink>
      <w:r w:rsidRPr="00C3377D">
        <w:rPr>
          <w:rFonts w:asciiTheme="minorHAnsi" w:hAnsiTheme="minorHAnsi" w:cstheme="minorHAnsi"/>
          <w:sz w:val="16"/>
          <w:szCs w:val="16"/>
        </w:rPr>
        <w:t>, 121 Ohio St.3d 600, 2009-Ohio-1901, ¶ 1</w:t>
      </w:r>
      <w:r w:rsidR="0096649E" w:rsidRPr="00C3377D">
        <w:rPr>
          <w:rFonts w:asciiTheme="minorHAnsi" w:hAnsiTheme="minorHAnsi" w:cstheme="minorHAnsi"/>
          <w:sz w:val="16"/>
          <w:szCs w:val="16"/>
        </w:rPr>
        <w:t>6.</w:t>
      </w:r>
    </w:p>
  </w:endnote>
  <w:endnote w:id="160">
    <w:p w14:paraId="2A05EB27" w14:textId="4B5A70D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2" w:history="1">
        <w:r w:rsidRPr="00C3377D">
          <w:rPr>
            <w:rStyle w:val="Hyperlink"/>
            <w:rFonts w:asciiTheme="minorHAnsi" w:hAnsiTheme="minorHAnsi" w:cstheme="minorHAnsi"/>
            <w:i/>
            <w:sz w:val="16"/>
            <w:szCs w:val="16"/>
          </w:rPr>
          <w:t>State ex rel. Morgan v. Strickland</w:t>
        </w:r>
      </w:hyperlink>
      <w:r w:rsidRPr="00C3377D">
        <w:rPr>
          <w:rFonts w:asciiTheme="minorHAnsi" w:hAnsiTheme="minorHAnsi" w:cstheme="minorHAnsi"/>
          <w:sz w:val="16"/>
          <w:szCs w:val="16"/>
        </w:rPr>
        <w:t>, 121 Ohio St.3d 600, 2009-Ohio-1901, ¶ 17.</w:t>
      </w:r>
    </w:p>
  </w:endnote>
  <w:endnote w:id="161">
    <w:p w14:paraId="401AF476" w14:textId="0897095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3"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hyperlink r:id="rId264" w:history="1">
        <w:r w:rsidRPr="00C3377D">
          <w:rPr>
            <w:rStyle w:val="Hyperlink"/>
            <w:rFonts w:asciiTheme="minorHAnsi" w:hAnsiTheme="minorHAnsi" w:cstheme="minorHAnsi"/>
            <w:i/>
            <w:sz w:val="16"/>
            <w:szCs w:val="16"/>
          </w:rPr>
          <w:t xml:space="preserve">State ex rel. Montgomery </w:t>
        </w:r>
        <w:r w:rsidRPr="00C3377D">
          <w:rPr>
            <w:rStyle w:val="Hyperlink"/>
            <w:rFonts w:asciiTheme="minorHAnsi" w:hAnsiTheme="minorHAnsi" w:cstheme="minorHAnsi"/>
            <w:i/>
            <w:sz w:val="16"/>
            <w:szCs w:val="16"/>
          </w:rPr>
          <w:t>Cty. Pub. Defender v. Siroki</w:t>
        </w:r>
      </w:hyperlink>
      <w:r w:rsidRPr="00C3377D">
        <w:rPr>
          <w:rFonts w:asciiTheme="minorHAnsi" w:hAnsiTheme="minorHAnsi" w:cstheme="minorHAnsi"/>
          <w:sz w:val="16"/>
          <w:szCs w:val="16"/>
        </w:rPr>
        <w:t>, 108 Ohio St.3d 207, 2006-Ohio-662, ¶ 17 (affording clerk of courts time to redact social security numbers from requested records).</w:t>
      </w:r>
    </w:p>
  </w:endnote>
  <w:endnote w:id="162">
    <w:p w14:paraId="65211CAB" w14:textId="4E8986C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5" w:history="1">
        <w:r w:rsidRPr="00C3377D">
          <w:rPr>
            <w:rStyle w:val="Hyperlink"/>
            <w:rFonts w:asciiTheme="minorHAnsi" w:hAnsiTheme="minorHAnsi" w:cstheme="minorHAnsi"/>
            <w:sz w:val="16"/>
            <w:szCs w:val="16"/>
          </w:rPr>
          <w:t>R.C. 149.43(B)(3).</w:t>
        </w:r>
      </w:hyperlink>
    </w:p>
  </w:endnote>
  <w:endnote w:id="163">
    <w:p w14:paraId="4255C91A" w14:textId="3695361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6" w:history="1">
        <w:r w:rsidRPr="00C3377D">
          <w:rPr>
            <w:rStyle w:val="Hyperlink"/>
            <w:rFonts w:asciiTheme="minorHAnsi" w:hAnsiTheme="minorHAnsi" w:cstheme="minorHAnsi"/>
            <w:sz w:val="16"/>
            <w:szCs w:val="16"/>
          </w:rPr>
          <w:t>R.C. 149.43(B)(6).</w:t>
        </w:r>
      </w:hyperlink>
    </w:p>
  </w:endnote>
  <w:endnote w:id="164">
    <w:p w14:paraId="7010C362" w14:textId="4319493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7" w:history="1">
        <w:r w:rsidRPr="00C3377D">
          <w:rPr>
            <w:rStyle w:val="Hyperlink"/>
            <w:rFonts w:asciiTheme="minorHAnsi" w:hAnsiTheme="minorHAnsi" w:cstheme="minorHAnsi"/>
            <w:sz w:val="16"/>
            <w:szCs w:val="16"/>
          </w:rPr>
          <w:t>R.C. 149.43(B)(1), (B)(6).</w:t>
        </w:r>
      </w:hyperlink>
    </w:p>
  </w:endnote>
  <w:endnote w:id="165">
    <w:p w14:paraId="4E2477BE" w14:textId="6E1E38C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68" w:history="1">
        <w:r w:rsidRPr="00C3377D">
          <w:rPr>
            <w:rStyle w:val="Hyperlink"/>
            <w:rFonts w:asciiTheme="minorHAnsi" w:hAnsiTheme="minorHAnsi" w:cstheme="minorHAnsi"/>
            <w:sz w:val="16"/>
            <w:szCs w:val="16"/>
          </w:rPr>
          <w:t>R.C. 149.43(B)(6), (B)(7)</w:t>
        </w:r>
      </w:hyperlink>
      <w:r w:rsidRPr="00C3377D">
        <w:rPr>
          <w:rFonts w:asciiTheme="minorHAnsi" w:hAnsiTheme="minorHAnsi" w:cstheme="minorHAnsi"/>
          <w:sz w:val="16"/>
          <w:szCs w:val="16"/>
        </w:rPr>
        <w:t xml:space="preserve">; </w:t>
      </w:r>
      <w:hyperlink r:id="rId269"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(a public office complies with the Public Records Act when it identifies the cost of copies and offers to provide copies upon the payment of costs).</w:t>
      </w:r>
    </w:p>
  </w:endnote>
  <w:endnote w:id="166">
    <w:p w14:paraId="681298A6" w14:textId="3256B28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0" w:history="1">
        <w:r w:rsidRPr="00C3377D">
          <w:rPr>
            <w:rStyle w:val="Hyperlink"/>
            <w:rFonts w:asciiTheme="minorHAnsi" w:hAnsiTheme="minorHAnsi" w:cstheme="minorHAnsi"/>
            <w:sz w:val="16"/>
            <w:szCs w:val="16"/>
          </w:rPr>
          <w:t>R.C. 149.43(B)(1).</w:t>
        </w:r>
      </w:hyperlink>
    </w:p>
  </w:endnote>
  <w:endnote w:id="167">
    <w:p w14:paraId="2C771656" w14:textId="0413D25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Beacon Journal Pub. Co. v. Andrews, </w:t>
      </w:r>
      <w:r w:rsidRPr="00C3377D">
        <w:rPr>
          <w:rFonts w:asciiTheme="minorHAnsi" w:hAnsiTheme="minorHAnsi" w:cstheme="minorHAnsi"/>
          <w:sz w:val="16"/>
          <w:szCs w:val="16"/>
        </w:rPr>
        <w:t>48 Ohio St.2d 283, 289 (1976).</w:t>
      </w:r>
    </w:p>
  </w:endnote>
  <w:endnote w:id="168">
    <w:p w14:paraId="6FA0A8A5" w14:textId="67A4298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1" w:history="1">
        <w:r w:rsidRPr="00C3377D">
          <w:rPr>
            <w:rStyle w:val="Hyperlink"/>
            <w:rFonts w:asciiTheme="minorHAnsi" w:hAnsiTheme="minorHAnsi" w:cstheme="minorHAnsi"/>
            <w:sz w:val="16"/>
            <w:szCs w:val="16"/>
          </w:rPr>
          <w:t>R.C. 149.43(B)(1).</w:t>
        </w:r>
      </w:hyperlink>
    </w:p>
  </w:endnote>
  <w:endnote w:id="169">
    <w:p w14:paraId="0172C61E" w14:textId="6B91D0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Butler </w:t>
      </w:r>
      <w:r w:rsidRPr="00C3377D">
        <w:rPr>
          <w:rFonts w:asciiTheme="minorHAnsi" w:hAnsiTheme="minorHAnsi" w:cstheme="minorHAnsi"/>
          <w:i/>
          <w:sz w:val="16"/>
          <w:szCs w:val="16"/>
        </w:rPr>
        <w:t>Cty. Bar Assn. v. Robb</w:t>
      </w:r>
      <w:r w:rsidRPr="00C3377D">
        <w:rPr>
          <w:rFonts w:asciiTheme="minorHAnsi" w:hAnsiTheme="minorHAnsi" w:cstheme="minorHAnsi"/>
          <w:sz w:val="16"/>
          <w:szCs w:val="16"/>
        </w:rPr>
        <w:t>, 62 Ohio App.3d 298, 300 (12th Dist. 1990) (rejecting requester’s demand that a clerk work certain hours different from the clerk’s regularly scheduled hours).</w:t>
      </w:r>
    </w:p>
  </w:endnote>
  <w:endnote w:id="170">
    <w:p w14:paraId="2B273043" w14:textId="1561B9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2"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622 (1994) (allowing records requests during all hours of the entire police department’s operations is unreasonable).</w:t>
      </w:r>
    </w:p>
  </w:endnote>
  <w:endnote w:id="171">
    <w:p w14:paraId="19733922" w14:textId="096F41C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3"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624 (1994);</w:t>
      </w:r>
      <w:r w:rsidRPr="00C3377D">
        <w:rPr>
          <w:rFonts w:asciiTheme="minorHAnsi" w:hAnsiTheme="minorHAnsi" w:cstheme="minorHAnsi"/>
          <w:i/>
          <w:sz w:val="16"/>
          <w:szCs w:val="16"/>
        </w:rPr>
        <w:t xml:space="preserve"> </w:t>
      </w:r>
      <w:hyperlink r:id="rId274" w:history="1">
        <w:r w:rsidRPr="00C3377D">
          <w:rPr>
            <w:rStyle w:val="Hyperlink"/>
            <w:rFonts w:asciiTheme="minorHAnsi" w:hAnsiTheme="minorHAnsi" w:cstheme="minorHAnsi"/>
            <w:i/>
            <w:sz w:val="16"/>
            <w:szCs w:val="16"/>
          </w:rPr>
          <w:t xml:space="preserve">State ex rel. Toledo Blade Co. v. Seneca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120 Ohio St.3d 372, 2008-Ohio-6253, ¶ 37 (“The right of inspection, as opposed to the right to request copies, is not conditioned on the payment of any fee under R.C. 149.43.”).</w:t>
      </w:r>
    </w:p>
  </w:endnote>
  <w:endnote w:id="172">
    <w:p w14:paraId="55456C71" w14:textId="45C6D2C3" w:rsidR="007B6355" w:rsidRPr="00C3377D" w:rsidRDefault="007B6355"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iCs/>
          <w:sz w:val="16"/>
          <w:szCs w:val="16"/>
        </w:rPr>
        <w:t xml:space="preserve">State ex rel. </w:t>
      </w:r>
      <w:r w:rsidRPr="00C3377D">
        <w:rPr>
          <w:rFonts w:asciiTheme="minorHAnsi" w:hAnsiTheme="minorHAnsi" w:cstheme="minorHAnsi"/>
          <w:i/>
          <w:iCs/>
          <w:sz w:val="16"/>
          <w:szCs w:val="16"/>
        </w:rPr>
        <w:t>Sevayega v. Reis</w:t>
      </w:r>
      <w:r w:rsidRPr="00C3377D">
        <w:rPr>
          <w:rFonts w:asciiTheme="minorHAnsi" w:hAnsiTheme="minorHAnsi" w:cstheme="minorHAnsi"/>
          <w:sz w:val="16"/>
          <w:szCs w:val="16"/>
        </w:rPr>
        <w:t>, 88 Ohio St.3d 458, 459 (2000).</w:t>
      </w:r>
    </w:p>
  </w:endnote>
  <w:endnote w:id="173">
    <w:p w14:paraId="74639491" w14:textId="07602F0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5" w:history="1">
        <w:r w:rsidRPr="00C3377D">
          <w:rPr>
            <w:rStyle w:val="Hyperlink"/>
            <w:rFonts w:asciiTheme="minorHAnsi" w:hAnsiTheme="minorHAnsi" w:cstheme="minorHAnsi"/>
            <w:i/>
            <w:sz w:val="16"/>
            <w:szCs w:val="16"/>
          </w:rPr>
          <w:t>Gupta v. City of Cleveland</w:t>
        </w:r>
      </w:hyperlink>
      <w:r w:rsidRPr="00C3377D">
        <w:rPr>
          <w:rFonts w:asciiTheme="minorHAnsi" w:hAnsiTheme="minorHAnsi" w:cstheme="minorHAnsi"/>
          <w:sz w:val="16"/>
          <w:szCs w:val="16"/>
        </w:rPr>
        <w:t xml:space="preserve">, Ct. of Cl. No. 2017-00840PQ, 2018-Ohio-3475, ¶ 10 (“When a requester asks only to inspect records, the public office has no duty to deliver the records to the requester’s doorstep.”); </w:t>
      </w:r>
      <w:hyperlink r:id="rId276" w:history="1">
        <w:r w:rsidRPr="00C3377D">
          <w:rPr>
            <w:rStyle w:val="Hyperlink"/>
            <w:rFonts w:asciiTheme="minorHAnsi" w:hAnsiTheme="minorHAnsi" w:cstheme="minorHAnsi"/>
            <w:i/>
            <w:sz w:val="16"/>
            <w:szCs w:val="16"/>
          </w:rPr>
          <w:t>State ex rel. Penland v. Ohio Dept of Corr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158 Ohio St.3d 15, 2019-Ohio-4130, ¶ 14 (“[the requester] has not shown that R.C. 149.43(B)(1) establishes a clear duty to transmit [the record] for inspection at a location other than the business office where it is maintained”).</w:t>
      </w:r>
    </w:p>
  </w:endnote>
  <w:endnote w:id="174">
    <w:p w14:paraId="09994B00" w14:textId="0AF32B34" w:rsidR="007B6355" w:rsidRPr="00C3377D" w:rsidRDefault="007B6355"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7" w:history="1">
        <w:r w:rsidR="00E24703" w:rsidRPr="00C3377D">
          <w:rPr>
            <w:rStyle w:val="Hyperlink"/>
            <w:rFonts w:asciiTheme="minorHAnsi" w:hAnsiTheme="minorHAnsi" w:cstheme="minorHAnsi"/>
            <w:i/>
            <w:iCs/>
            <w:sz w:val="16"/>
            <w:szCs w:val="16"/>
          </w:rPr>
          <w:t>State ex rel. Gilreath v. Cuyahoga Job &amp; Family Servs</w:t>
        </w:r>
        <w:r w:rsidR="00E24703" w:rsidRPr="00C3377D">
          <w:rPr>
            <w:rStyle w:val="Hyperlink"/>
            <w:rFonts w:asciiTheme="minorHAnsi" w:hAnsiTheme="minorHAnsi" w:cstheme="minorHAnsi"/>
            <w:sz w:val="16"/>
            <w:szCs w:val="16"/>
          </w:rPr>
          <w:t>.</w:t>
        </w:r>
      </w:hyperlink>
      <w:r w:rsidR="00E24703" w:rsidRPr="00C3377D">
        <w:rPr>
          <w:rFonts w:asciiTheme="minorHAnsi" w:hAnsiTheme="minorHAnsi" w:cstheme="minorHAnsi"/>
          <w:sz w:val="16"/>
          <w:szCs w:val="16"/>
        </w:rPr>
        <w:t>, S. Ct. No, 2022-0824, 2024-Ohio-103, ¶ 21.</w:t>
      </w:r>
    </w:p>
  </w:endnote>
  <w:endnote w:id="175">
    <w:p w14:paraId="2B47849D" w14:textId="4F95313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78" w:history="1">
        <w:r w:rsidRPr="00C3377D">
          <w:rPr>
            <w:rStyle w:val="Hyperlink"/>
            <w:rFonts w:asciiTheme="minorHAnsi" w:hAnsiTheme="minorHAnsi" w:cstheme="minorHAnsi"/>
            <w:sz w:val="16"/>
            <w:szCs w:val="16"/>
          </w:rPr>
          <w:t xml:space="preserve">2014 Ohio </w:t>
        </w:r>
        <w:r w:rsidRPr="00C3377D">
          <w:rPr>
            <w:rStyle w:val="Hyperlink"/>
            <w:rFonts w:asciiTheme="minorHAnsi" w:hAnsiTheme="minorHAnsi" w:cstheme="minorHAnsi"/>
            <w:sz w:val="16"/>
            <w:szCs w:val="16"/>
          </w:rPr>
          <w:t>Atty.Gen.Ops. No. 009.</w:t>
        </w:r>
      </w:hyperlink>
    </w:p>
  </w:endnote>
  <w:endnote w:id="176">
    <w:p w14:paraId="1C8E5D1C" w14:textId="73E394D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279" w:history="1">
        <w:r w:rsidRPr="00C3377D">
          <w:rPr>
            <w:rStyle w:val="Hyperlink"/>
            <w:rFonts w:asciiTheme="minorHAnsi" w:hAnsiTheme="minorHAnsi" w:cstheme="minorHAnsi"/>
            <w:sz w:val="16"/>
            <w:szCs w:val="16"/>
          </w:rPr>
          <w:t xml:space="preserve"> R.C. 149.43(B)(6), (B)(7)</w:t>
        </w:r>
      </w:hyperlink>
      <w:r w:rsidRPr="00C3377D">
        <w:rPr>
          <w:rFonts w:asciiTheme="minorHAnsi" w:hAnsiTheme="minorHAnsi" w:cstheme="minorHAnsi"/>
          <w:sz w:val="16"/>
          <w:szCs w:val="16"/>
        </w:rPr>
        <w:t xml:space="preserve">; </w:t>
      </w:r>
      <w:hyperlink r:id="rId280" w:history="1">
        <w:r w:rsidRPr="00C3377D">
          <w:rPr>
            <w:rStyle w:val="Hyperlink"/>
            <w:rFonts w:asciiTheme="minorHAnsi" w:hAnsiTheme="minorHAnsi" w:cstheme="minorHAnsi"/>
            <w:i/>
            <w:sz w:val="16"/>
            <w:szCs w:val="16"/>
          </w:rPr>
          <w:t>State ex rel. Watson v. Mohr</w:t>
        </w:r>
      </w:hyperlink>
      <w:r w:rsidRPr="00C3377D">
        <w:rPr>
          <w:rFonts w:asciiTheme="minorHAnsi" w:hAnsiTheme="minorHAnsi" w:cstheme="minorHAnsi"/>
          <w:sz w:val="16"/>
          <w:szCs w:val="16"/>
        </w:rPr>
        <w:t xml:space="preserve">, 131 Ohio St.3d 338, 2012-Ohio-1006, ¶ 2; </w:t>
      </w:r>
      <w:hyperlink r:id="rId281"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Dehler v. Mohr</w:t>
        </w:r>
      </w:hyperlink>
      <w:r w:rsidRPr="00C3377D">
        <w:rPr>
          <w:rFonts w:asciiTheme="minorHAnsi" w:hAnsiTheme="minorHAnsi" w:cstheme="minorHAnsi"/>
          <w:sz w:val="16"/>
          <w:szCs w:val="16"/>
        </w:rPr>
        <w:t xml:space="preserve">, 129 Ohio St.3d 37, 2011-Ohio-959, ¶ 3 (requester was not entitled to copies of requested records because he refused to submit prepayment); </w:t>
      </w:r>
      <w:hyperlink r:id="rId282"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(a public office complies with the Public Records Act when it identifies the cost of copies and offers to provide copies upon the payment of costs).</w:t>
      </w:r>
    </w:p>
  </w:endnote>
  <w:endnote w:id="177">
    <w:p w14:paraId="1C96AA74" w14:textId="0D42C07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3" w:history="1">
        <w:r w:rsidRPr="00C3377D">
          <w:rPr>
            <w:rStyle w:val="Hyperlink"/>
            <w:rFonts w:asciiTheme="minorHAnsi" w:hAnsiTheme="minorHAnsi" w:cstheme="minorHAnsi"/>
            <w:sz w:val="16"/>
            <w:szCs w:val="16"/>
          </w:rPr>
          <w:t>R.C. 149.43(B)(1)</w:t>
        </w:r>
      </w:hyperlink>
      <w:r w:rsidRPr="00C3377D">
        <w:rPr>
          <w:rFonts w:asciiTheme="minorHAnsi" w:hAnsiTheme="minorHAnsi" w:cstheme="minorHAnsi"/>
          <w:sz w:val="16"/>
          <w:szCs w:val="16"/>
        </w:rPr>
        <w:t xml:space="preserve"> (copies of public records must be made available “at cost”); </w:t>
      </w:r>
      <w:hyperlink r:id="rId284"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625-26, 640 (1994) (public office cannot charge $5.00 for initial page or for employee labor, but only for “actual cost” of final copies).</w:t>
      </w:r>
    </w:p>
  </w:endnote>
  <w:endnote w:id="178">
    <w:p w14:paraId="5B15EF38" w14:textId="63FC884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5" w:history="1">
        <w:r w:rsidRPr="00C3377D">
          <w:rPr>
            <w:rStyle w:val="Hyperlink"/>
            <w:rFonts w:asciiTheme="minorHAnsi" w:hAnsiTheme="minorHAnsi" w:cstheme="minorHAnsi"/>
            <w:sz w:val="16"/>
            <w:szCs w:val="16"/>
          </w:rPr>
          <w:t>R.C. 149.43(B)(7)</w:t>
        </w:r>
      </w:hyperlink>
      <w:r w:rsidRPr="00C3377D">
        <w:rPr>
          <w:rFonts w:asciiTheme="minorHAnsi" w:hAnsiTheme="minorHAnsi" w:cstheme="minorHAnsi"/>
          <w:sz w:val="16"/>
          <w:szCs w:val="16"/>
        </w:rPr>
        <w:t xml:space="preserve">; </w:t>
      </w:r>
      <w:hyperlink r:id="rId286" w:history="1">
        <w:r w:rsidRPr="00C3377D">
          <w:rPr>
            <w:rStyle w:val="Hyperlink"/>
            <w:rFonts w:asciiTheme="minorHAnsi" w:hAnsiTheme="minorHAnsi" w:cstheme="minorHAnsi"/>
            <w:i/>
            <w:sz w:val="16"/>
            <w:szCs w:val="16"/>
          </w:rPr>
          <w:t>State ex rel. Call v. Fragale</w:t>
        </w:r>
      </w:hyperlink>
      <w:r w:rsidRPr="00C3377D">
        <w:rPr>
          <w:rFonts w:asciiTheme="minorHAnsi" w:hAnsiTheme="minorHAnsi" w:cstheme="minorHAnsi"/>
          <w:sz w:val="16"/>
          <w:szCs w:val="16"/>
        </w:rPr>
        <w:t>, 104 Ohio St.3d 276, 2004-Ohio-6589, ¶ 2-8.</w:t>
      </w:r>
    </w:p>
  </w:endnote>
  <w:endnote w:id="179">
    <w:p w14:paraId="73871154" w14:textId="1934B0C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87" w:history="1">
        <w:r w:rsidRPr="00C3377D">
          <w:rPr>
            <w:rStyle w:val="Hyperlink"/>
            <w:rFonts w:asciiTheme="minorHAnsi" w:hAnsiTheme="minorHAnsi" w:cstheme="minorHAnsi"/>
            <w:i/>
            <w:sz w:val="16"/>
            <w:szCs w:val="16"/>
          </w:rPr>
          <w:t>State ex rel. Warren Newspapers v. Hutson</w:t>
        </w:r>
      </w:hyperlink>
      <w:r w:rsidRPr="00C3377D">
        <w:rPr>
          <w:rFonts w:asciiTheme="minorHAnsi" w:hAnsiTheme="minorHAnsi" w:cstheme="minorHAnsi"/>
          <w:sz w:val="16"/>
          <w:szCs w:val="16"/>
        </w:rPr>
        <w:t>, 70 Ohio St.3d 619, 626 (1994).</w:t>
      </w:r>
    </w:p>
  </w:endnote>
  <w:endnote w:id="180">
    <w:p w14:paraId="1FB0C97D" w14:textId="779B274B" w:rsidR="002F23BE" w:rsidRPr="00C3377D" w:rsidRDefault="002F23BE" w:rsidP="00C3377D">
      <w:pPr>
        <w:pStyle w:val="EndnoteText"/>
        <w:spacing w:line="160" w:lineRule="exact"/>
        <w:jc w:val="both"/>
        <w:rPr>
          <w:rFonts w:asciiTheme="minorHAnsi" w:hAnsiTheme="minorHAnsi" w:cstheme="minorHAnsi"/>
          <w:sz w:val="16"/>
          <w:szCs w:val="16"/>
        </w:rPr>
      </w:pPr>
      <w:r w:rsidRPr="00E10B2E">
        <w:rPr>
          <w:rFonts w:asciiTheme="minorHAnsi" w:hAnsiTheme="minorHAnsi" w:cstheme="minorHAnsi"/>
          <w:sz w:val="16"/>
          <w:szCs w:val="16"/>
          <w:vertAlign w:val="superscript"/>
        </w:rPr>
        <w:endnoteRef/>
      </w:r>
      <w:r w:rsidR="00E10B2E" w:rsidRPr="00E10B2E">
        <w:rPr>
          <w:rFonts w:asciiTheme="minorHAnsi" w:hAnsiTheme="minorHAnsi" w:cstheme="minorHAnsi"/>
          <w:sz w:val="16"/>
          <w:szCs w:val="16"/>
        </w:rPr>
        <w:t xml:space="preserve"> </w:t>
      </w:r>
      <w:hyperlink r:id="rId288" w:history="1">
        <w:r w:rsidRPr="00E10B2E">
          <w:rPr>
            <w:rStyle w:val="Hyperlink"/>
            <w:rFonts w:asciiTheme="minorHAnsi" w:hAnsiTheme="minorHAnsi" w:cstheme="minorHAnsi"/>
            <w:i/>
            <w:sz w:val="16"/>
            <w:szCs w:val="16"/>
          </w:rPr>
          <w:t>State ex rel. Gibbs v. Concord Twp. Trustees</w:t>
        </w:r>
      </w:hyperlink>
      <w:r w:rsidRPr="00C3377D">
        <w:rPr>
          <w:rFonts w:asciiTheme="minorHAnsi" w:hAnsiTheme="minorHAnsi" w:cstheme="minorHAnsi"/>
          <w:sz w:val="16"/>
          <w:szCs w:val="16"/>
        </w:rPr>
        <w:t xml:space="preserve">, 152 Ohio App.3d 387, 2003-Ohio-1586, ¶ 31 (11th Dist.); </w:t>
      </w:r>
      <w:hyperlink r:id="rId289"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29 (as long as the decision to hire a private contractor is reasonable, a public office may charge requester the actual cost to extract requested electronic raw data from an otherwise copyrighted database).</w:t>
      </w:r>
    </w:p>
  </w:endnote>
  <w:endnote w:id="181">
    <w:p w14:paraId="5C2E918E" w14:textId="41B488B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0" w:history="1">
        <w:r w:rsidRPr="00C3377D">
          <w:rPr>
            <w:rStyle w:val="Hyperlink"/>
            <w:rFonts w:asciiTheme="minorHAnsi" w:hAnsiTheme="minorHAnsi" w:cstheme="minorHAnsi"/>
            <w:sz w:val="16"/>
            <w:szCs w:val="16"/>
          </w:rPr>
          <w:t xml:space="preserve">R.C. 1.51 </w:t>
        </w:r>
      </w:hyperlink>
      <w:r w:rsidRPr="00C3377D">
        <w:rPr>
          <w:rFonts w:asciiTheme="minorHAnsi" w:hAnsiTheme="minorHAnsi" w:cstheme="minorHAnsi"/>
          <w:sz w:val="16"/>
          <w:szCs w:val="16"/>
        </w:rPr>
        <w:t xml:space="preserve">(outlining the rules of statutory construction); </w:t>
      </w:r>
      <w:hyperlink r:id="rId291" w:history="1">
        <w:r w:rsidRPr="00C3377D">
          <w:rPr>
            <w:rStyle w:val="Hyperlink"/>
            <w:rFonts w:asciiTheme="minorHAnsi" w:hAnsiTheme="minorHAnsi" w:cstheme="minorHAnsi"/>
            <w:i/>
            <w:sz w:val="16"/>
            <w:szCs w:val="16"/>
          </w:rPr>
          <w:t>State ex rel. Motor Carrier Serv., Inc. v. Rankin</w:t>
        </w:r>
      </w:hyperlink>
      <w:r w:rsidRPr="00C3377D">
        <w:rPr>
          <w:rFonts w:asciiTheme="minorHAnsi" w:hAnsiTheme="minorHAnsi" w:cstheme="minorHAnsi"/>
          <w:sz w:val="16"/>
          <w:szCs w:val="16"/>
        </w:rPr>
        <w:t xml:space="preserve">, 135 Ohio St.3d 395, 2013-Ohio-1505, ¶ 26-32; </w:t>
      </w:r>
      <w:hyperlink r:id="rId292" w:history="1">
        <w:r w:rsidRPr="00C3377D">
          <w:rPr>
            <w:rStyle w:val="Hyperlink"/>
            <w:rFonts w:asciiTheme="minorHAnsi" w:hAnsiTheme="minorHAnsi" w:cstheme="minorHAnsi"/>
            <w:i/>
            <w:sz w:val="16"/>
            <w:szCs w:val="16"/>
          </w:rPr>
          <w:t>State ex rel. Slagle v. Rogers</w:t>
        </w:r>
      </w:hyperlink>
      <w:r w:rsidRPr="00C3377D">
        <w:rPr>
          <w:rFonts w:asciiTheme="minorHAnsi" w:hAnsiTheme="minorHAnsi" w:cstheme="minorHAnsi"/>
          <w:sz w:val="16"/>
          <w:szCs w:val="16"/>
        </w:rPr>
        <w:t>, 103 Ohio St.3d 89, 2004-Ohio-4354, ¶ 5-15.</w:t>
      </w:r>
    </w:p>
  </w:endnote>
  <w:endnote w:id="182">
    <w:p w14:paraId="0192E9EE" w14:textId="6EFA097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3" w:history="1">
        <w:r w:rsidRPr="00C3377D">
          <w:rPr>
            <w:rStyle w:val="Hyperlink"/>
            <w:rFonts w:asciiTheme="minorHAnsi" w:hAnsiTheme="minorHAnsi" w:cstheme="minorHAnsi"/>
            <w:i/>
            <w:sz w:val="16"/>
            <w:szCs w:val="16"/>
          </w:rPr>
          <w:t>State ex rel. Slagle v. Rogers</w:t>
        </w:r>
      </w:hyperlink>
      <w:r w:rsidRPr="00C3377D">
        <w:rPr>
          <w:rFonts w:asciiTheme="minorHAnsi" w:hAnsiTheme="minorHAnsi" w:cstheme="minorHAnsi"/>
          <w:sz w:val="16"/>
          <w:szCs w:val="16"/>
        </w:rPr>
        <w:t>, 103 Ohio St.3d 89, 2004-Ohio-4354, ¶ 15; For another example, see R.C. 5502.12(A) (Department of Public Safety may charge $4.00 for each accident report copy).</w:t>
      </w:r>
    </w:p>
  </w:endnote>
  <w:endnote w:id="183">
    <w:p w14:paraId="7C24EDCE" w14:textId="2B6C27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4" w:history="1">
        <w:r w:rsidRPr="00C3377D">
          <w:rPr>
            <w:rStyle w:val="Hyperlink"/>
            <w:rFonts w:asciiTheme="minorHAnsi" w:hAnsiTheme="minorHAnsi" w:cstheme="minorHAnsi"/>
            <w:i/>
            <w:sz w:val="16"/>
            <w:szCs w:val="16"/>
          </w:rPr>
          <w:t>State ex rel. Call v. Fragale</w:t>
        </w:r>
      </w:hyperlink>
      <w:r w:rsidRPr="00C3377D">
        <w:rPr>
          <w:rFonts w:asciiTheme="minorHAnsi" w:hAnsiTheme="minorHAnsi" w:cstheme="minorHAnsi"/>
          <w:sz w:val="16"/>
          <w:szCs w:val="16"/>
        </w:rPr>
        <w:t xml:space="preserve">, 104 Ohio St.3d 276, 2004-Ohio-6589, ¶ 8 (court offered uncertified records at actual </w:t>
      </w:r>
      <w:r w:rsidR="00C34964" w:rsidRPr="00C3377D">
        <w:rPr>
          <w:rFonts w:asciiTheme="minorHAnsi" w:hAnsiTheme="minorHAnsi" w:cstheme="minorHAnsi"/>
          <w:sz w:val="16"/>
          <w:szCs w:val="16"/>
        </w:rPr>
        <w:t>cost but</w:t>
      </w:r>
      <w:r w:rsidRPr="00C3377D">
        <w:rPr>
          <w:rFonts w:asciiTheme="minorHAnsi" w:hAnsiTheme="minorHAnsi" w:cstheme="minorHAnsi"/>
          <w:sz w:val="16"/>
          <w:szCs w:val="16"/>
        </w:rPr>
        <w:t xml:space="preserve"> may charge up to $1.00 per page for certified copies pursuant to R.C. 2303.20).</w:t>
      </w:r>
    </w:p>
  </w:endnote>
  <w:endnote w:id="184">
    <w:p w14:paraId="2FC3E755" w14:textId="64B06E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5" w:history="1">
        <w:r w:rsidRPr="00C3377D">
          <w:rPr>
            <w:rStyle w:val="Hyperlink"/>
            <w:rFonts w:asciiTheme="minorHAnsi" w:hAnsiTheme="minorHAnsi" w:cstheme="minorHAnsi"/>
            <w:i/>
            <w:sz w:val="16"/>
            <w:szCs w:val="16"/>
          </w:rPr>
          <w:t xml:space="preserve">State ex rel. Data Trace Information Servs., L.L.C. v. Cuyahoga </w:t>
        </w:r>
        <w:r w:rsidRPr="00C3377D">
          <w:rPr>
            <w:rStyle w:val="Hyperlink"/>
            <w:rFonts w:asciiTheme="minorHAnsi" w:hAnsiTheme="minorHAnsi" w:cstheme="minorHAnsi"/>
            <w:i/>
            <w:sz w:val="16"/>
            <w:szCs w:val="16"/>
          </w:rPr>
          <w:t>Cty. Fiscal Officer</w:t>
        </w:r>
      </w:hyperlink>
      <w:r w:rsidRPr="00C3377D">
        <w:rPr>
          <w:rFonts w:asciiTheme="minorHAnsi" w:hAnsiTheme="minorHAnsi" w:cstheme="minorHAnsi"/>
          <w:sz w:val="16"/>
          <w:szCs w:val="16"/>
        </w:rPr>
        <w:t>, 131 Ohio St.3d 255, 2012-Ohio-753, ¶ 42-62.</w:t>
      </w:r>
    </w:p>
  </w:endnote>
  <w:endnote w:id="185">
    <w:p w14:paraId="098E71B0" w14:textId="26B9B0D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6" w:history="1">
        <w:r w:rsidRPr="00C3377D">
          <w:rPr>
            <w:rStyle w:val="Hyperlink"/>
            <w:rFonts w:asciiTheme="minorHAnsi" w:hAnsiTheme="minorHAnsi" w:cstheme="minorHAnsi"/>
            <w:i/>
            <w:sz w:val="16"/>
            <w:szCs w:val="16"/>
          </w:rPr>
          <w:t>State ex rel. Call v. Fragale</w:t>
        </w:r>
      </w:hyperlink>
      <w:r w:rsidRPr="00C3377D">
        <w:rPr>
          <w:rFonts w:asciiTheme="minorHAnsi" w:hAnsiTheme="minorHAnsi" w:cstheme="minorHAnsi"/>
          <w:sz w:val="16"/>
          <w:szCs w:val="16"/>
        </w:rPr>
        <w:t>, 104 Ohio St.3d 276, 2004-Ohio-6589, ¶ 6</w:t>
      </w:r>
      <w:r w:rsidR="00925295" w:rsidRPr="00C3377D">
        <w:rPr>
          <w:rFonts w:asciiTheme="minorHAnsi" w:hAnsiTheme="minorHAnsi" w:cstheme="minorHAnsi"/>
          <w:sz w:val="16"/>
          <w:szCs w:val="16"/>
        </w:rPr>
        <w:t>.</w:t>
      </w:r>
    </w:p>
  </w:endnote>
  <w:endnote w:id="186">
    <w:p w14:paraId="6CC857C5" w14:textId="01FA29B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297" w:history="1">
        <w:r w:rsidRPr="00C3377D">
          <w:rPr>
            <w:rStyle w:val="Hyperlink"/>
            <w:rFonts w:asciiTheme="minorHAnsi" w:hAnsiTheme="minorHAnsi" w:cstheme="minorHAnsi"/>
            <w:i/>
            <w:sz w:val="16"/>
            <w:szCs w:val="16"/>
          </w:rPr>
          <w:t>State ex rel. Ware v. City of Akron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164 Ohio St.3d 557, 2021-Ohio-624, ¶ 13-15 (public office complies with the Public Records Act when it identifies the cost of copies and offers to provide copies upon the payment of costs).</w:t>
      </w:r>
    </w:p>
  </w:endnote>
  <w:endnote w:id="187">
    <w:p w14:paraId="38AC1D31" w14:textId="19D386D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298" w:history="1">
        <w:r w:rsidRPr="00C3377D">
          <w:rPr>
            <w:rStyle w:val="Hyperlink"/>
            <w:rFonts w:asciiTheme="minorHAnsi" w:hAnsiTheme="minorHAnsi" w:cstheme="minorHAnsi"/>
            <w:sz w:val="16"/>
            <w:szCs w:val="16"/>
          </w:rPr>
          <w:t xml:space="preserve"> R.C. 149.43(B)(6)</w:t>
        </w:r>
      </w:hyperlink>
      <w:r w:rsidRPr="00C3377D">
        <w:rPr>
          <w:rFonts w:asciiTheme="minorHAnsi" w:hAnsiTheme="minorHAnsi" w:cstheme="minorHAnsi"/>
          <w:sz w:val="16"/>
          <w:szCs w:val="16"/>
        </w:rPr>
        <w:t>.  For discussion of previous law, see</w:t>
      </w:r>
      <w:hyperlink r:id="rId299" w:history="1">
        <w:r w:rsidRPr="00C3377D">
          <w:rPr>
            <w:rStyle w:val="Hyperlink"/>
            <w:rFonts w:asciiTheme="minorHAnsi" w:hAnsiTheme="minorHAnsi" w:cstheme="minorHAnsi"/>
            <w:sz w:val="16"/>
            <w:szCs w:val="16"/>
          </w:rPr>
          <w:t xml:space="preserve"> 2004 Ohio Atty. Gen. Ops. No. 011</w:t>
        </w:r>
      </w:hyperlink>
      <w:r w:rsidRPr="00C3377D">
        <w:rPr>
          <w:rFonts w:asciiTheme="minorHAnsi" w:hAnsiTheme="minorHAnsi" w:cstheme="minorHAnsi"/>
          <w:sz w:val="16"/>
          <w:szCs w:val="16"/>
        </w:rPr>
        <w:t xml:space="preserve"> (county recorder may not prohibit person from using digital camera to duplicate records or assess a copy fee).</w:t>
      </w:r>
    </w:p>
  </w:endnote>
  <w:endnote w:id="188">
    <w:p w14:paraId="50735DC4" w14:textId="54B1366F" w:rsidR="00C34964" w:rsidRPr="00C3377D" w:rsidRDefault="00C34964" w:rsidP="00C34964">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0B049A">
        <w:t xml:space="preserve"> </w:t>
      </w:r>
      <w:hyperlink r:id="rId300" w:history="1">
        <w:r w:rsidRPr="00C3377D">
          <w:rPr>
            <w:rStyle w:val="Hyperlink"/>
            <w:rFonts w:asciiTheme="minorHAnsi" w:hAnsiTheme="minorHAnsi" w:cstheme="minorHAnsi"/>
            <w:sz w:val="16"/>
            <w:szCs w:val="16"/>
          </w:rPr>
          <w:t>R.C. 149.011(G)</w:t>
        </w:r>
      </w:hyperlink>
      <w:r w:rsidRPr="00C3377D">
        <w:rPr>
          <w:rFonts w:asciiTheme="minorHAnsi" w:hAnsiTheme="minorHAnsi" w:cstheme="minorHAnsi"/>
          <w:sz w:val="16"/>
          <w:szCs w:val="16"/>
        </w:rPr>
        <w:t>.</w:t>
      </w:r>
    </w:p>
  </w:endnote>
  <w:endnote w:id="189">
    <w:p w14:paraId="0C6934F4" w14:textId="4936765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1" w:history="1">
        <w:r w:rsidRPr="00C3377D">
          <w:rPr>
            <w:rStyle w:val="Hyperlink"/>
            <w:rFonts w:asciiTheme="minorHAnsi" w:hAnsiTheme="minorHAnsi" w:cstheme="minorHAnsi"/>
            <w:i/>
            <w:sz w:val="16"/>
            <w:szCs w:val="16"/>
          </w:rPr>
          <w:t xml:space="preserve">State ex rel. Wilson-Simmons v. Lake </w:t>
        </w:r>
        <w:r w:rsidRPr="00C3377D">
          <w:rPr>
            <w:rStyle w:val="Hyperlink"/>
            <w:rFonts w:asciiTheme="minorHAnsi" w:hAnsiTheme="minorHAnsi" w:cstheme="minorHAnsi"/>
            <w:i/>
            <w:sz w:val="16"/>
            <w:szCs w:val="16"/>
          </w:rPr>
          <w:t>Cty. Sheriff’s Dept.</w:t>
        </w:r>
      </w:hyperlink>
      <w:r w:rsidRPr="00C3377D">
        <w:rPr>
          <w:rFonts w:asciiTheme="minorHAnsi" w:hAnsiTheme="minorHAnsi" w:cstheme="minorHAnsi"/>
          <w:sz w:val="16"/>
          <w:szCs w:val="16"/>
        </w:rPr>
        <w:t>, 82 Ohio St.3d 37, 41 (1998) (allegedly racist emails circulated between public employees are not “records” when the requested emails were not used to conduct the business of the public office).</w:t>
      </w:r>
    </w:p>
  </w:endnote>
  <w:endnote w:id="190">
    <w:p w14:paraId="3B213E5F" w14:textId="194B569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2"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83 Ohio St.3d 61, 63 (1998).</w:t>
      </w:r>
    </w:p>
  </w:endnote>
  <w:endnote w:id="191">
    <w:p w14:paraId="0562922A" w14:textId="1EF3371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3" w:history="1">
        <w:r w:rsidRPr="00C3377D">
          <w:rPr>
            <w:rStyle w:val="Hyperlink"/>
            <w:rFonts w:asciiTheme="minorHAnsi" w:hAnsiTheme="minorHAnsi" w:cstheme="minorHAnsi"/>
            <w:i/>
            <w:sz w:val="16"/>
            <w:szCs w:val="16"/>
          </w:rPr>
          <w:t>State ex rel. Beacon Journal Publishing Co. v. Whitmore</w:t>
        </w:r>
      </w:hyperlink>
      <w:r w:rsidRPr="00C3377D">
        <w:rPr>
          <w:rFonts w:asciiTheme="minorHAnsi" w:hAnsiTheme="minorHAnsi" w:cstheme="minorHAnsi"/>
          <w:sz w:val="16"/>
          <w:szCs w:val="16"/>
        </w:rPr>
        <w:t>, 83 Ohio St.3d 61, 63 (1998) (because judge read unsolicited letters but did not rely on them in sentencing, letters did not serve to document any activity of the public office and were not “records”)</w:t>
      </w:r>
      <w:r w:rsidR="00925295" w:rsidRPr="00C3377D">
        <w:rPr>
          <w:rFonts w:asciiTheme="minorHAnsi" w:hAnsiTheme="minorHAnsi" w:cstheme="minorHAnsi"/>
          <w:sz w:val="16"/>
          <w:szCs w:val="16"/>
        </w:rPr>
        <w:t>.</w:t>
      </w:r>
    </w:p>
  </w:endnote>
  <w:endnote w:id="192">
    <w:p w14:paraId="318E0BF5" w14:textId="78FB3E4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304" w:history="1">
        <w:r w:rsidRPr="00C3377D">
          <w:rPr>
            <w:rStyle w:val="Hyperlink"/>
            <w:rFonts w:asciiTheme="minorHAnsi" w:hAnsiTheme="minorHAnsi" w:cstheme="minorHAnsi"/>
            <w:sz w:val="16"/>
            <w:szCs w:val="16"/>
          </w:rPr>
          <w:t>R.C. 1347</w:t>
        </w:r>
      </w:hyperlink>
      <w:r w:rsidRPr="00C3377D">
        <w:rPr>
          <w:rFonts w:asciiTheme="minorHAnsi" w:hAnsiTheme="minorHAnsi" w:cstheme="minorHAnsi"/>
          <w:sz w:val="16"/>
          <w:szCs w:val="16"/>
        </w:rPr>
        <w:t>, et seq. (Ohio Personal Information Systems Act).</w:t>
      </w:r>
    </w:p>
  </w:endnote>
  <w:endnote w:id="193">
    <w:p w14:paraId="6D51410C" w14:textId="718EA2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5" w:history="1">
        <w:r w:rsidRPr="00C3377D">
          <w:rPr>
            <w:rStyle w:val="Hyperlink"/>
            <w:rFonts w:asciiTheme="minorHAnsi" w:hAnsiTheme="minorHAnsi" w:cstheme="minorHAnsi"/>
            <w:sz w:val="16"/>
            <w:szCs w:val="16"/>
          </w:rPr>
          <w:t>R.C. 149.43(B)(1).</w:t>
        </w:r>
      </w:hyperlink>
    </w:p>
  </w:endnote>
  <w:endnote w:id="194">
    <w:p w14:paraId="43AF6A64" w14:textId="3300E1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6" w:history="1">
        <w:r w:rsidRPr="00C3377D">
          <w:rPr>
            <w:rStyle w:val="Hyperlink"/>
            <w:rFonts w:asciiTheme="minorHAnsi" w:hAnsiTheme="minorHAnsi" w:cstheme="minorHAnsi"/>
            <w:sz w:val="16"/>
            <w:szCs w:val="16"/>
          </w:rPr>
          <w:t>R.C.149.43(B)(1).</w:t>
        </w:r>
      </w:hyperlink>
    </w:p>
  </w:endnote>
  <w:endnote w:id="195">
    <w:p w14:paraId="61395807" w14:textId="78389CB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7" w:history="1">
        <w:r w:rsidRPr="00C3377D">
          <w:rPr>
            <w:rStyle w:val="Hyperlink"/>
            <w:rFonts w:asciiTheme="minorHAnsi" w:hAnsiTheme="minorHAnsi" w:cstheme="minorHAnsi"/>
            <w:sz w:val="16"/>
            <w:szCs w:val="16"/>
          </w:rPr>
          <w:t>R.C. 149.43(B)(4).</w:t>
        </w:r>
      </w:hyperlink>
    </w:p>
  </w:endnote>
  <w:endnote w:id="196">
    <w:p w14:paraId="6FF2E952" w14:textId="79124C6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8" w:history="1">
        <w:r w:rsidRPr="00C3377D">
          <w:rPr>
            <w:rStyle w:val="Hyperlink"/>
            <w:rFonts w:asciiTheme="minorHAnsi" w:hAnsiTheme="minorHAnsi" w:cstheme="minorHAnsi"/>
            <w:sz w:val="16"/>
            <w:szCs w:val="16"/>
          </w:rPr>
          <w:t>R.C. 149.43(A)(13).</w:t>
        </w:r>
      </w:hyperlink>
    </w:p>
  </w:endnote>
  <w:endnote w:id="197">
    <w:p w14:paraId="4E5F373A" w14:textId="0C67A6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09" w:history="1">
        <w:r w:rsidRPr="00C3377D">
          <w:rPr>
            <w:rStyle w:val="Hyperlink"/>
            <w:rFonts w:asciiTheme="minorHAnsi" w:hAnsiTheme="minorHAnsi" w:cstheme="minorHAnsi"/>
            <w:sz w:val="16"/>
            <w:szCs w:val="16"/>
          </w:rPr>
          <w:t>R.C. 149.43(B)(1)</w:t>
        </w:r>
      </w:hyperlink>
      <w:r w:rsidR="00D4661C">
        <w:rPr>
          <w:rStyle w:val="Hyperlink"/>
          <w:rFonts w:asciiTheme="minorHAnsi" w:hAnsiTheme="minorHAnsi" w:cstheme="minorHAnsi"/>
          <w:sz w:val="16"/>
          <w:szCs w:val="16"/>
        </w:rPr>
        <w:t>.</w:t>
      </w:r>
    </w:p>
  </w:endnote>
  <w:endnote w:id="198">
    <w:p w14:paraId="4747B7C9" w14:textId="5C130F5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Master v. Cleveland, </w:t>
      </w:r>
      <w:r w:rsidRPr="00C3377D">
        <w:rPr>
          <w:rFonts w:asciiTheme="minorHAnsi" w:hAnsiTheme="minorHAnsi" w:cstheme="minorHAnsi"/>
          <w:sz w:val="16"/>
          <w:szCs w:val="16"/>
        </w:rPr>
        <w:t>76 Ohio St. 3d 340, 342 (1996).</w:t>
      </w:r>
    </w:p>
  </w:endnote>
  <w:endnote w:id="199">
    <w:p w14:paraId="6B2FD1CA" w14:textId="2B361ED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0" w:history="1">
        <w:r w:rsidRPr="00C3377D">
          <w:rPr>
            <w:rStyle w:val="Hyperlink"/>
            <w:rFonts w:asciiTheme="minorHAnsi" w:hAnsiTheme="minorHAnsi" w:cstheme="minorHAnsi"/>
            <w:i/>
            <w:sz w:val="16"/>
            <w:szCs w:val="16"/>
          </w:rPr>
          <w:t>State ex rel. Hogan-Lovells U.S., LLP v. Ohio Dept. of Rehab. &amp; Corr.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165 Ohio St.3d 368, 2021-Ohio-1762, ¶ 16-30 (conducting a document-by-document review to determine </w:t>
      </w:r>
      <w:r w:rsidR="000B049A">
        <w:rPr>
          <w:rFonts w:asciiTheme="minorHAnsi" w:hAnsiTheme="minorHAnsi" w:cstheme="minorHAnsi"/>
          <w:sz w:val="16"/>
          <w:szCs w:val="16"/>
        </w:rPr>
        <w:t>if</w:t>
      </w:r>
      <w:r w:rsidRPr="00C3377D">
        <w:rPr>
          <w:rFonts w:asciiTheme="minorHAnsi" w:hAnsiTheme="minorHAnsi" w:cstheme="minorHAnsi"/>
          <w:sz w:val="16"/>
          <w:szCs w:val="16"/>
        </w:rPr>
        <w:t xml:space="preserve"> </w:t>
      </w:r>
      <w:r w:rsidR="000B049A">
        <w:rPr>
          <w:rFonts w:asciiTheme="minorHAnsi" w:hAnsiTheme="minorHAnsi" w:cstheme="minorHAnsi"/>
          <w:sz w:val="16"/>
          <w:szCs w:val="16"/>
        </w:rPr>
        <w:t xml:space="preserve">the office </w:t>
      </w:r>
      <w:r w:rsidRPr="00C3377D">
        <w:rPr>
          <w:rFonts w:asciiTheme="minorHAnsi" w:hAnsiTheme="minorHAnsi" w:cstheme="minorHAnsi"/>
          <w:sz w:val="16"/>
          <w:szCs w:val="16"/>
        </w:rPr>
        <w:t>correctly withheld privileged documents in their entirety in lieu of producing redacted versions).</w:t>
      </w:r>
    </w:p>
  </w:endnote>
  <w:endnote w:id="200">
    <w:p w14:paraId="32101E95" w14:textId="1636C11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1" w:history="1">
        <w:r w:rsidRPr="00C3377D">
          <w:rPr>
            <w:rStyle w:val="Hyperlink"/>
            <w:rFonts w:asciiTheme="minorHAnsi" w:hAnsiTheme="minorHAnsi" w:cstheme="minorHAnsi"/>
            <w:sz w:val="16"/>
            <w:szCs w:val="16"/>
          </w:rPr>
          <w:t>R.C. 149.43(B)(1).</w:t>
        </w:r>
      </w:hyperlink>
    </w:p>
  </w:endnote>
  <w:endnote w:id="201">
    <w:p w14:paraId="2F71F613" w14:textId="3ECA7935" w:rsidR="002F23BE" w:rsidRPr="00B825D7"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2" w:history="1">
        <w:r w:rsidRPr="00C3377D">
          <w:rPr>
            <w:rStyle w:val="Hyperlink"/>
            <w:rFonts w:asciiTheme="minorHAnsi" w:hAnsiTheme="minorHAnsi" w:cstheme="minorHAnsi"/>
            <w:sz w:val="16"/>
            <w:szCs w:val="16"/>
          </w:rPr>
          <w:t>R.C. 149.43(B)(3).</w:t>
        </w:r>
      </w:hyperlink>
    </w:p>
  </w:endnote>
  <w:endnote w:id="202">
    <w:p w14:paraId="41F9F65E" w14:textId="26F5E69E" w:rsidR="002F23BE" w:rsidRPr="00B825D7"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3" w:history="1">
        <w:r w:rsidRPr="00B825D7">
          <w:rPr>
            <w:rStyle w:val="Hyperlink"/>
            <w:rFonts w:asciiTheme="minorHAnsi" w:hAnsiTheme="minorHAnsi" w:cstheme="minorHAnsi"/>
            <w:sz w:val="16"/>
            <w:szCs w:val="16"/>
          </w:rPr>
          <w:t>R.C. 149.43(B)(3).</w:t>
        </w:r>
      </w:hyperlink>
    </w:p>
  </w:endnote>
  <w:endnote w:id="203">
    <w:p w14:paraId="2D6D4838" w14:textId="757E112B" w:rsidR="002F23BE" w:rsidRPr="00B825D7"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4" w:history="1">
        <w:r w:rsidRPr="00B825D7">
          <w:rPr>
            <w:rStyle w:val="Hyperlink"/>
            <w:rFonts w:asciiTheme="minorHAnsi" w:hAnsiTheme="minorHAnsi" w:cstheme="minorHAnsi"/>
            <w:i/>
            <w:sz w:val="16"/>
            <w:szCs w:val="16"/>
          </w:rPr>
          <w:t xml:space="preserve">State ex rel. Laborers </w:t>
        </w:r>
        <w:r w:rsidRPr="00B825D7">
          <w:rPr>
            <w:rStyle w:val="Hyperlink"/>
            <w:rFonts w:asciiTheme="minorHAnsi" w:hAnsiTheme="minorHAnsi" w:cstheme="minorHAnsi"/>
            <w:i/>
            <w:sz w:val="16"/>
            <w:szCs w:val="16"/>
          </w:rPr>
          <w:t>Internatl. Union of N. Am., Local Union No. 500 v. Summerville</w:t>
        </w:r>
      </w:hyperlink>
      <w:r w:rsidRPr="00B825D7">
        <w:rPr>
          <w:rFonts w:asciiTheme="minorHAnsi" w:hAnsiTheme="minorHAnsi" w:cstheme="minorHAnsi"/>
          <w:sz w:val="16"/>
          <w:szCs w:val="16"/>
        </w:rPr>
        <w:t>, 122 Ohio St.3d 1234, 2009-Ohio-4090, ¶ 6.</w:t>
      </w:r>
    </w:p>
  </w:endnote>
  <w:endnote w:id="204">
    <w:p w14:paraId="54785E8A" w14:textId="4A9F99EA" w:rsidR="002F23BE" w:rsidRPr="00B825D7"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5" w:history="1">
        <w:r w:rsidRPr="00B825D7">
          <w:rPr>
            <w:rStyle w:val="Hyperlink"/>
            <w:rFonts w:asciiTheme="minorHAnsi" w:hAnsiTheme="minorHAnsi" w:cstheme="minorHAnsi"/>
            <w:sz w:val="16"/>
            <w:szCs w:val="16"/>
          </w:rPr>
          <w:t>R.C. 149.43(B)(3).</w:t>
        </w:r>
      </w:hyperlink>
    </w:p>
  </w:endnote>
  <w:endnote w:id="205">
    <w:p w14:paraId="30B6F9C9" w14:textId="0F0329C7" w:rsidR="002F23BE" w:rsidRPr="00C3377D" w:rsidRDefault="002F23BE" w:rsidP="00C3377D">
      <w:pPr>
        <w:pStyle w:val="EndnoteText"/>
        <w:spacing w:line="160" w:lineRule="exact"/>
        <w:jc w:val="both"/>
        <w:rPr>
          <w:rFonts w:asciiTheme="minorHAnsi" w:hAnsiTheme="minorHAnsi" w:cstheme="minorHAnsi"/>
          <w:sz w:val="16"/>
          <w:szCs w:val="16"/>
        </w:rPr>
      </w:pPr>
      <w:r w:rsidRPr="00B825D7">
        <w:rPr>
          <w:rStyle w:val="EndnoteReference"/>
          <w:rFonts w:asciiTheme="minorHAnsi" w:hAnsiTheme="minorHAnsi" w:cstheme="minorHAnsi"/>
          <w:sz w:val="16"/>
          <w:szCs w:val="16"/>
        </w:rPr>
        <w:endnoteRef/>
      </w:r>
      <w:r w:rsidRPr="00B825D7">
        <w:rPr>
          <w:rFonts w:asciiTheme="minorHAnsi" w:hAnsiTheme="minorHAnsi" w:cstheme="minorHAnsi"/>
          <w:sz w:val="16"/>
          <w:szCs w:val="16"/>
        </w:rPr>
        <w:t xml:space="preserve"> </w:t>
      </w:r>
      <w:hyperlink r:id="rId316" w:history="1">
        <w:r w:rsidR="00EA3091" w:rsidRPr="00B825D7">
          <w:rPr>
            <w:rStyle w:val="Hyperlink"/>
            <w:rFonts w:asciiTheme="minorHAnsi" w:hAnsiTheme="minorHAnsi" w:cstheme="minorHAnsi"/>
            <w:i/>
            <w:iCs/>
            <w:sz w:val="16"/>
            <w:szCs w:val="16"/>
          </w:rPr>
          <w:t xml:space="preserve">State ex rel. </w:t>
        </w:r>
        <w:r w:rsidR="00EA3091" w:rsidRPr="00B825D7">
          <w:rPr>
            <w:rStyle w:val="Hyperlink"/>
            <w:rFonts w:asciiTheme="minorHAnsi" w:hAnsiTheme="minorHAnsi" w:cstheme="minorHAnsi"/>
            <w:i/>
            <w:iCs/>
            <w:sz w:val="16"/>
            <w:szCs w:val="16"/>
          </w:rPr>
          <w:t>Summers v. Fox</w:t>
        </w:r>
      </w:hyperlink>
      <w:r w:rsidR="00EA3091" w:rsidRPr="00B825D7">
        <w:rPr>
          <w:rFonts w:asciiTheme="minorHAnsi" w:hAnsiTheme="minorHAnsi" w:cstheme="minorHAnsi"/>
          <w:sz w:val="16"/>
          <w:szCs w:val="16"/>
        </w:rPr>
        <w:t>,</w:t>
      </w:r>
      <w:r w:rsidR="00EA3091" w:rsidRPr="00C3377D">
        <w:rPr>
          <w:rFonts w:asciiTheme="minorHAnsi" w:hAnsiTheme="minorHAnsi" w:cstheme="minorHAnsi"/>
          <w:sz w:val="16"/>
          <w:szCs w:val="16"/>
        </w:rPr>
        <w:t xml:space="preserve"> </w:t>
      </w:r>
      <w:r w:rsidRPr="00C3377D">
        <w:rPr>
          <w:rFonts w:asciiTheme="minorHAnsi" w:hAnsiTheme="minorHAnsi" w:cstheme="minorHAnsi"/>
          <w:sz w:val="16"/>
          <w:szCs w:val="16"/>
        </w:rPr>
        <w:t>163 Ohio St.3d 217, 2020-Ohio-5585, ¶ 74 (“[P]</w:t>
      </w:r>
      <w:r w:rsidRPr="00C3377D">
        <w:rPr>
          <w:rFonts w:asciiTheme="minorHAnsi" w:hAnsiTheme="minorHAnsi" w:cstheme="minorHAnsi"/>
          <w:sz w:val="16"/>
          <w:szCs w:val="16"/>
        </w:rPr>
        <w:t xml:space="preserve">ermitting a public official to oppose a request as overbroad for the first time in litigation would enable the official to avoid the duty” to negotiate with the requester.). </w:t>
      </w:r>
    </w:p>
  </w:endnote>
  <w:endnote w:id="206">
    <w:p w14:paraId="28CFB7F0" w14:textId="71B45E5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Beacon Journal Publishing Co. v. Andrews</w:t>
      </w:r>
      <w:r w:rsidRPr="00C3377D">
        <w:rPr>
          <w:rFonts w:asciiTheme="minorHAnsi" w:hAnsiTheme="minorHAnsi" w:cstheme="minorHAnsi"/>
          <w:sz w:val="16"/>
          <w:szCs w:val="16"/>
        </w:rPr>
        <w:t>, 48 Ohio St.2d 283, 289 (1976) (“No pleading of too much expense, or too much time involved, or too much interference with normal duties, can be used by the [public office] to evade the public’s right to inspect and obtain a copy of public records within a reasonable time.”).</w:t>
      </w:r>
    </w:p>
  </w:endnote>
  <w:endnote w:id="207">
    <w:p w14:paraId="43D049EE" w14:textId="13C5BFD2"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7"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Dehler v. Mohr</w:t>
        </w:r>
      </w:hyperlink>
      <w:r w:rsidRPr="00C3377D">
        <w:rPr>
          <w:rFonts w:asciiTheme="minorHAnsi" w:hAnsiTheme="minorHAnsi" w:cstheme="minorHAnsi"/>
          <w:sz w:val="16"/>
          <w:szCs w:val="16"/>
        </w:rPr>
        <w:t xml:space="preserve">, 129 Ohio St.3d 37, 2011-Ohio-959, ¶ 2 (allowing inmate to personally inspect requested records in another prison “would have created security issues, unreasonably interfered with the official’s discharge of their duties, and violated prison rules”); </w:t>
      </w:r>
      <w:hyperlink r:id="rId318" w:history="1">
        <w:r w:rsidRPr="00C3377D">
          <w:rPr>
            <w:rStyle w:val="Hyperlink"/>
            <w:rFonts w:asciiTheme="minorHAnsi" w:hAnsiTheme="minorHAnsi" w:cstheme="minorHAnsi"/>
            <w:i/>
            <w:sz w:val="16"/>
            <w:szCs w:val="16"/>
          </w:rPr>
          <w:t>State ex rel. Warren Newspapers, Inc. v. Hutson</w:t>
        </w:r>
      </w:hyperlink>
      <w:r w:rsidRPr="00C3377D">
        <w:rPr>
          <w:rFonts w:asciiTheme="minorHAnsi" w:hAnsiTheme="minorHAnsi" w:cstheme="minorHAnsi"/>
          <w:sz w:val="16"/>
          <w:szCs w:val="16"/>
        </w:rPr>
        <w:t>, 70 Ohio St.3d 619, 623 (1994) (explaining that “unreasonabl[e] interfere[nce] with the discharge of the duties of the officer having custody” of public records creates an exemption to the rule that public records should be generally available to the public)</w:t>
      </w:r>
      <w:r w:rsidR="00925295" w:rsidRPr="00C3377D">
        <w:rPr>
          <w:rFonts w:asciiTheme="minorHAnsi" w:hAnsiTheme="minorHAnsi" w:cstheme="minorHAnsi"/>
          <w:sz w:val="16"/>
          <w:szCs w:val="16"/>
        </w:rPr>
        <w:t>.</w:t>
      </w:r>
    </w:p>
  </w:endnote>
  <w:endnote w:id="208">
    <w:p w14:paraId="3D725152" w14:textId="5524646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19"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Dehler v. Mohr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129 OhioSt.3d 37, 2011-Ohio-959, ¶ 2.</w:t>
      </w:r>
    </w:p>
  </w:endnote>
  <w:endnote w:id="209">
    <w:p w14:paraId="2906D46F" w14:textId="0362A4F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0" w:history="1">
        <w:r w:rsidRPr="00C3377D">
          <w:rPr>
            <w:rStyle w:val="Hyperlink"/>
            <w:rFonts w:asciiTheme="minorHAnsi" w:hAnsiTheme="minorHAnsi" w:cstheme="minorHAnsi"/>
            <w:sz w:val="16"/>
            <w:szCs w:val="16"/>
          </w:rPr>
          <w:t>R.C. 109.573(D), (E), (G)(1)</w:t>
        </w:r>
      </w:hyperlink>
      <w:r w:rsidRPr="00C3377D">
        <w:rPr>
          <w:rFonts w:asciiTheme="minorHAnsi" w:hAnsiTheme="minorHAnsi" w:cstheme="minorHAnsi"/>
          <w:sz w:val="16"/>
          <w:szCs w:val="16"/>
        </w:rPr>
        <w:t xml:space="preserve">; </w:t>
      </w:r>
      <w:hyperlink r:id="rId321" w:history="1">
        <w:r w:rsidRPr="00C3377D">
          <w:rPr>
            <w:rStyle w:val="Hyperlink"/>
            <w:rFonts w:asciiTheme="minorHAnsi" w:hAnsiTheme="minorHAnsi" w:cstheme="minorHAnsi"/>
            <w:sz w:val="16"/>
            <w:szCs w:val="16"/>
          </w:rPr>
          <w:t>R.C. 149.43(A)(1)(j).</w:t>
        </w:r>
      </w:hyperlink>
    </w:p>
  </w:endnote>
  <w:endnote w:id="210">
    <w:p w14:paraId="06106A10" w14:textId="59B765D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2" w:history="1">
        <w:r w:rsidRPr="00C3377D">
          <w:rPr>
            <w:rStyle w:val="Hyperlink"/>
            <w:rFonts w:asciiTheme="minorHAnsi" w:hAnsiTheme="minorHAnsi" w:cstheme="minorHAnsi"/>
            <w:sz w:val="16"/>
            <w:szCs w:val="16"/>
          </w:rPr>
          <w:t>R.C. 2953.81(B).</w:t>
        </w:r>
      </w:hyperlink>
    </w:p>
  </w:endnote>
  <w:endnote w:id="211">
    <w:p w14:paraId="3EC1A315" w14:textId="190B0A1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3" w:history="1">
        <w:r w:rsidRPr="00C3377D">
          <w:rPr>
            <w:rStyle w:val="Hyperlink"/>
            <w:rFonts w:asciiTheme="minorHAnsi" w:hAnsiTheme="minorHAnsi" w:cstheme="minorHAnsi"/>
            <w:sz w:val="16"/>
            <w:szCs w:val="16"/>
          </w:rPr>
          <w:t>R.C. 2950.08(A)</w:t>
        </w:r>
      </w:hyperlink>
      <w:r w:rsidRPr="00C3377D">
        <w:rPr>
          <w:rFonts w:asciiTheme="minorHAnsi" w:hAnsiTheme="minorHAnsi" w:cstheme="minorHAnsi"/>
          <w:sz w:val="16"/>
          <w:szCs w:val="16"/>
        </w:rPr>
        <w:t xml:space="preserve"> (BCI sex offender registry and notification (SORN) information, not open to the public).  </w:t>
      </w:r>
      <w:r w:rsidRPr="00C3377D">
        <w:rPr>
          <w:rFonts w:asciiTheme="minorHAnsi" w:hAnsiTheme="minorHAnsi" w:cstheme="minorHAnsi"/>
          <w:i/>
          <w:sz w:val="16"/>
          <w:szCs w:val="16"/>
        </w:rPr>
        <w:t>But see</w:t>
      </w:r>
      <w:r w:rsidRPr="00C3377D">
        <w:rPr>
          <w:rFonts w:asciiTheme="minorHAnsi" w:hAnsiTheme="minorHAnsi" w:cstheme="minorHAnsi"/>
          <w:sz w:val="16"/>
          <w:szCs w:val="16"/>
        </w:rPr>
        <w:t xml:space="preserve"> </w:t>
      </w:r>
      <w:hyperlink r:id="rId324" w:history="1">
        <w:r w:rsidRPr="00C3377D">
          <w:rPr>
            <w:rStyle w:val="Hyperlink"/>
            <w:rFonts w:asciiTheme="minorHAnsi" w:hAnsiTheme="minorHAnsi" w:cstheme="minorHAnsi"/>
            <w:sz w:val="16"/>
            <w:szCs w:val="16"/>
          </w:rPr>
          <w:t>R.C. 2950.13(A)(11)</w:t>
        </w:r>
      </w:hyperlink>
      <w:r w:rsidRPr="00C3377D">
        <w:rPr>
          <w:rFonts w:asciiTheme="minorHAnsi" w:hAnsiTheme="minorHAnsi" w:cstheme="minorHAnsi"/>
          <w:sz w:val="16"/>
          <w:szCs w:val="16"/>
        </w:rPr>
        <w:t xml:space="preserve"> (providing that certain SORN information must be posted as a database on the internet and is a public record under R.C. 149.43).</w:t>
      </w:r>
    </w:p>
  </w:endnote>
  <w:endnote w:id="212">
    <w:p w14:paraId="259A2A1B" w14:textId="338C7A5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5" w:history="1">
        <w:r w:rsidRPr="00C3377D">
          <w:rPr>
            <w:rStyle w:val="Hyperlink"/>
            <w:rFonts w:asciiTheme="minorHAnsi" w:hAnsiTheme="minorHAnsi" w:cstheme="minorHAnsi"/>
            <w:sz w:val="16"/>
            <w:szCs w:val="16"/>
          </w:rPr>
          <w:t>R.C. 149.433(D).</w:t>
        </w:r>
      </w:hyperlink>
    </w:p>
  </w:endnote>
  <w:endnote w:id="213">
    <w:p w14:paraId="264E209B" w14:textId="0498DFF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w:t>
      </w:r>
      <w:r w:rsidRPr="00C3377D">
        <w:rPr>
          <w:rFonts w:asciiTheme="minorHAnsi" w:hAnsiTheme="minorHAnsi" w:cstheme="minorHAnsi"/>
          <w:i/>
          <w:sz w:val="16"/>
          <w:szCs w:val="16"/>
        </w:rPr>
        <w:t xml:space="preserve"> </w:t>
      </w:r>
      <w:hyperlink r:id="rId326"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98 Ohio St.3d 126, 2002-Ohio-7041, ¶ 22 (“Voluntarily disclosing the requested record can waive any right to claim an exemption to disclosure.”).</w:t>
      </w:r>
    </w:p>
  </w:endnote>
  <w:endnote w:id="214">
    <w:p w14:paraId="71765A7C" w14:textId="28A764D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7" w:history="1">
        <w:r w:rsidRPr="00C3377D">
          <w:rPr>
            <w:rStyle w:val="Hyperlink"/>
            <w:rFonts w:asciiTheme="minorHAnsi" w:hAnsiTheme="minorHAnsi" w:cstheme="minorHAnsi"/>
            <w:sz w:val="16"/>
            <w:szCs w:val="16"/>
          </w:rPr>
          <w:t>R.C. 149.431</w:t>
        </w:r>
      </w:hyperlink>
      <w:r w:rsidRPr="00C3377D">
        <w:rPr>
          <w:rFonts w:asciiTheme="minorHAnsi" w:hAnsiTheme="minorHAnsi" w:cstheme="minorHAnsi"/>
          <w:sz w:val="16"/>
          <w:szCs w:val="16"/>
        </w:rPr>
        <w:t xml:space="preserve">; </w:t>
      </w:r>
      <w:hyperlink r:id="rId328" w:history="1">
        <w:r w:rsidRPr="00C3377D">
          <w:rPr>
            <w:rStyle w:val="Hyperlink"/>
            <w:rFonts w:asciiTheme="minorHAnsi" w:hAnsiTheme="minorHAnsi" w:cstheme="minorHAnsi"/>
            <w:i/>
            <w:sz w:val="16"/>
            <w:szCs w:val="16"/>
          </w:rPr>
          <w:t>State ex rel. Bell v. Brooks</w:t>
        </w:r>
      </w:hyperlink>
      <w:r w:rsidRPr="00C3377D">
        <w:rPr>
          <w:rFonts w:asciiTheme="minorHAnsi" w:hAnsiTheme="minorHAnsi" w:cstheme="minorHAnsi"/>
          <w:sz w:val="16"/>
          <w:szCs w:val="16"/>
        </w:rPr>
        <w:t>, 130 Ohio St.3d 87, 2011-Ohio-4897, ¶ 30-40.</w:t>
      </w:r>
    </w:p>
  </w:endnote>
  <w:endnote w:id="215">
    <w:p w14:paraId="40C762B0" w14:textId="7F8AEA3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29" w:history="1">
        <w:r w:rsidRPr="00C3377D">
          <w:rPr>
            <w:rStyle w:val="Hyperlink"/>
            <w:rFonts w:asciiTheme="minorHAnsi" w:hAnsiTheme="minorHAnsi" w:cstheme="minorHAnsi"/>
            <w:sz w:val="16"/>
            <w:szCs w:val="16"/>
          </w:rPr>
          <w:t xml:space="preserve">R.C. 5502.12 </w:t>
        </w:r>
      </w:hyperlink>
      <w:r w:rsidRPr="00C3377D">
        <w:rPr>
          <w:rFonts w:asciiTheme="minorHAnsi" w:hAnsiTheme="minorHAnsi" w:cstheme="minorHAnsi"/>
          <w:sz w:val="16"/>
          <w:szCs w:val="16"/>
        </w:rPr>
        <w:t>(providing that other agencies that submit such reports may charge requesters who claim an interest arising out of a motor vehicle accident a non-refundable fee not to exceed $4).</w:t>
      </w:r>
    </w:p>
  </w:endnote>
  <w:endnote w:id="216">
    <w:p w14:paraId="3C21C039" w14:textId="303C155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0" w:history="1">
        <w:r w:rsidRPr="00C3377D">
          <w:rPr>
            <w:rStyle w:val="Hyperlink"/>
            <w:rFonts w:asciiTheme="minorHAnsi" w:hAnsiTheme="minorHAnsi" w:cstheme="minorHAnsi"/>
            <w:sz w:val="16"/>
            <w:szCs w:val="16"/>
          </w:rPr>
          <w:t>R.C. 313.10(B).</w:t>
        </w:r>
      </w:hyperlink>
    </w:p>
  </w:endnote>
  <w:endnote w:id="217">
    <w:p w14:paraId="75D80CB7" w14:textId="48FE014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1" w:history="1">
        <w:r w:rsidRPr="00C3377D">
          <w:rPr>
            <w:rStyle w:val="Hyperlink"/>
            <w:rFonts w:asciiTheme="minorHAnsi" w:hAnsiTheme="minorHAnsi" w:cstheme="minorHAnsi"/>
            <w:i/>
            <w:sz w:val="16"/>
            <w:szCs w:val="16"/>
          </w:rPr>
          <w:t>State ex rel. Warren Newspapers, Inc. v. Hutson</w:t>
        </w:r>
      </w:hyperlink>
      <w:r w:rsidRPr="00C3377D">
        <w:rPr>
          <w:rFonts w:asciiTheme="minorHAnsi" w:hAnsiTheme="minorHAnsi" w:cstheme="minorHAnsi"/>
          <w:sz w:val="16"/>
          <w:szCs w:val="16"/>
        </w:rPr>
        <w:t>, 70 Ohio St.3d 619, 625 (1994).</w:t>
      </w:r>
    </w:p>
  </w:endnote>
  <w:endnote w:id="218">
    <w:p w14:paraId="7C6CC9A7" w14:textId="02D5CE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2" w:history="1">
        <w:r w:rsidRPr="000B049A">
          <w:rPr>
            <w:rStyle w:val="Hyperlink"/>
            <w:rFonts w:asciiTheme="minorHAnsi" w:hAnsiTheme="minorHAnsi" w:cstheme="minorHAnsi"/>
            <w:sz w:val="16"/>
            <w:szCs w:val="16"/>
          </w:rPr>
          <w:t>Rules of Superintendence for the Courts of Ohio</w:t>
        </w:r>
      </w:hyperlink>
      <w:r w:rsidRPr="00F26F91">
        <w:rPr>
          <w:rFonts w:asciiTheme="minorHAnsi" w:hAnsiTheme="minorHAnsi" w:cstheme="minorHAnsi"/>
          <w:sz w:val="16"/>
          <w:szCs w:val="16"/>
        </w:rPr>
        <w:t xml:space="preserve">; </w:t>
      </w:r>
      <w:hyperlink r:id="rId333" w:history="1">
        <w:r w:rsidRPr="000B049A">
          <w:rPr>
            <w:rStyle w:val="Hyperlink"/>
            <w:rFonts w:asciiTheme="minorHAnsi" w:hAnsiTheme="minorHAnsi" w:cstheme="minorHAnsi"/>
            <w:i/>
            <w:sz w:val="16"/>
            <w:szCs w:val="16"/>
          </w:rPr>
          <w:t>State ex rel. Bey v. Byrd</w:t>
        </w:r>
      </w:hyperlink>
      <w:r w:rsidRPr="00F26F91">
        <w:rPr>
          <w:rFonts w:asciiTheme="minorHAnsi" w:hAnsiTheme="minorHAnsi" w:cstheme="minorHAnsi"/>
          <w:i/>
          <w:sz w:val="16"/>
          <w:szCs w:val="16"/>
        </w:rPr>
        <w:t>,</w:t>
      </w:r>
      <w:r w:rsidR="000B049A">
        <w:rPr>
          <w:rFonts w:asciiTheme="minorHAnsi" w:hAnsiTheme="minorHAnsi" w:cstheme="minorHAnsi"/>
          <w:i/>
          <w:sz w:val="16"/>
          <w:szCs w:val="16"/>
        </w:rPr>
        <w:t xml:space="preserve"> </w:t>
      </w:r>
      <w:r w:rsidRPr="00F26F91">
        <w:rPr>
          <w:rFonts w:asciiTheme="minorHAnsi" w:hAnsiTheme="minorHAnsi" w:cstheme="minorHAnsi"/>
          <w:sz w:val="16"/>
          <w:szCs w:val="16"/>
        </w:rPr>
        <w:t>160 Ohio St.3d 141, 2020-Ohio-2766, ¶ 11.  For additional discussion, see</w:t>
      </w:r>
      <w:r w:rsidRPr="00F26F91">
        <w:rPr>
          <w:rFonts w:asciiTheme="minorHAnsi" w:hAnsiTheme="minorHAnsi" w:cstheme="minorHAnsi"/>
          <w:i/>
          <w:sz w:val="16"/>
          <w:szCs w:val="16"/>
        </w:rPr>
        <w:t xml:space="preserve"> </w:t>
      </w:r>
      <w:r w:rsidRPr="00F26F91">
        <w:rPr>
          <w:rFonts w:asciiTheme="minorHAnsi" w:hAnsiTheme="minorHAnsi" w:cstheme="minorHAnsi"/>
          <w:sz w:val="16"/>
          <w:szCs w:val="16"/>
        </w:rPr>
        <w:t xml:space="preserve">Chapter </w:t>
      </w:r>
      <w:r w:rsidR="00826DAC" w:rsidRPr="00F26F91">
        <w:rPr>
          <w:rFonts w:asciiTheme="minorHAnsi" w:hAnsiTheme="minorHAnsi" w:cstheme="minorHAnsi"/>
          <w:sz w:val="16"/>
          <w:szCs w:val="16"/>
        </w:rPr>
        <w:t>Five</w:t>
      </w:r>
      <w:r w:rsidRPr="00F26F91">
        <w:rPr>
          <w:rFonts w:asciiTheme="minorHAnsi" w:hAnsiTheme="minorHAnsi" w:cstheme="minorHAnsi"/>
          <w:sz w:val="16"/>
          <w:szCs w:val="16"/>
        </w:rPr>
        <w:t xml:space="preserve">: </w:t>
      </w:r>
      <w:r w:rsidR="00826DAC" w:rsidRPr="00F26F91">
        <w:rPr>
          <w:rFonts w:asciiTheme="minorHAnsi" w:hAnsiTheme="minorHAnsi" w:cstheme="minorHAnsi"/>
          <w:sz w:val="16"/>
          <w:szCs w:val="16"/>
        </w:rPr>
        <w:t>B</w:t>
      </w:r>
      <w:r w:rsidRPr="00F26F91">
        <w:rPr>
          <w:rFonts w:asciiTheme="minorHAnsi" w:hAnsiTheme="minorHAnsi" w:cstheme="minorHAnsi"/>
          <w:sz w:val="16"/>
          <w:szCs w:val="16"/>
        </w:rPr>
        <w:t>. “Court Records.”</w:t>
      </w:r>
    </w:p>
  </w:endnote>
  <w:endnote w:id="219">
    <w:p w14:paraId="74811190" w14:textId="6C2E529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4" w:history="1">
        <w:r w:rsidRPr="00C3377D">
          <w:rPr>
            <w:rStyle w:val="Hyperlink"/>
            <w:rFonts w:asciiTheme="minorHAnsi" w:hAnsiTheme="minorHAnsi" w:cstheme="minorHAnsi"/>
            <w:sz w:val="16"/>
            <w:szCs w:val="16"/>
          </w:rPr>
          <w:t>R.C. 307.862(C)</w:t>
        </w:r>
      </w:hyperlink>
      <w:r w:rsidRPr="00C3377D">
        <w:rPr>
          <w:rFonts w:asciiTheme="minorHAnsi" w:hAnsiTheme="minorHAnsi" w:cstheme="minorHAnsi"/>
          <w:sz w:val="16"/>
          <w:szCs w:val="16"/>
        </w:rPr>
        <w:t xml:space="preserve">; </w:t>
      </w:r>
      <w:hyperlink r:id="rId335" w:history="1">
        <w:r w:rsidRPr="00C3377D">
          <w:rPr>
            <w:rStyle w:val="Hyperlink"/>
            <w:rFonts w:asciiTheme="minorHAnsi" w:hAnsiTheme="minorHAnsi" w:cstheme="minorHAnsi"/>
            <w:sz w:val="16"/>
            <w:szCs w:val="16"/>
          </w:rPr>
          <w:t xml:space="preserve">2012 Ohio </w:t>
        </w:r>
        <w:r w:rsidRPr="00C3377D">
          <w:rPr>
            <w:rStyle w:val="Hyperlink"/>
            <w:rFonts w:asciiTheme="minorHAnsi" w:hAnsiTheme="minorHAnsi" w:cstheme="minorHAnsi"/>
            <w:sz w:val="16"/>
            <w:szCs w:val="16"/>
          </w:rPr>
          <w:t>Atty.Gen.Ops. No. 036.</w:t>
        </w:r>
      </w:hyperlink>
    </w:p>
  </w:endnote>
  <w:endnote w:id="220">
    <w:p w14:paraId="168BB1EF" w14:textId="39ED4CD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36" w:history="1">
        <w:r w:rsidRPr="00C3377D">
          <w:rPr>
            <w:rStyle w:val="Hyperlink"/>
            <w:rFonts w:asciiTheme="minorHAnsi" w:hAnsiTheme="minorHAnsi" w:cstheme="minorHAnsi"/>
            <w:sz w:val="16"/>
            <w:szCs w:val="16"/>
          </w:rPr>
          <w:t xml:space="preserve"> R.C. 3319.321(A)</w:t>
        </w:r>
      </w:hyperlink>
      <w:r w:rsidRPr="00C3377D">
        <w:rPr>
          <w:rFonts w:asciiTheme="minorHAnsi" w:hAnsiTheme="minorHAnsi" w:cstheme="minorHAnsi"/>
          <w:sz w:val="16"/>
          <w:szCs w:val="16"/>
        </w:rPr>
        <w:t xml:space="preserve"> (allowing schools </w:t>
      </w:r>
      <w:r w:rsidR="00826DAC" w:rsidRPr="00C3377D">
        <w:rPr>
          <w:rFonts w:asciiTheme="minorHAnsi" w:hAnsiTheme="minorHAnsi" w:cstheme="minorHAnsi"/>
          <w:sz w:val="16"/>
          <w:szCs w:val="16"/>
        </w:rPr>
        <w:t>t</w:t>
      </w:r>
      <w:r w:rsidRPr="00C3377D">
        <w:rPr>
          <w:rFonts w:asciiTheme="minorHAnsi" w:hAnsiTheme="minorHAnsi" w:cstheme="minorHAnsi"/>
          <w:sz w:val="16"/>
          <w:szCs w:val="16"/>
        </w:rPr>
        <w:t>o “require disclosure of the requestor’s identity or the intended use of the directory information … to ascertain whether the directory information is for use in a profit-making plan or activity”).</w:t>
      </w:r>
    </w:p>
  </w:endnote>
  <w:endnote w:id="221">
    <w:p w14:paraId="13B6C821" w14:textId="5A5C63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37" w:history="1">
        <w:r w:rsidRPr="00C3377D">
          <w:rPr>
            <w:rStyle w:val="Hyperlink"/>
            <w:rFonts w:asciiTheme="minorHAnsi" w:hAnsiTheme="minorHAnsi" w:cstheme="minorHAnsi"/>
            <w:sz w:val="16"/>
            <w:szCs w:val="16"/>
          </w:rPr>
          <w:t>R.C. 149.43(B)(8)</w:t>
        </w:r>
      </w:hyperlink>
      <w:r w:rsidRPr="00C3377D">
        <w:rPr>
          <w:rFonts w:asciiTheme="minorHAnsi" w:hAnsiTheme="minorHAnsi" w:cstheme="minorHAnsi"/>
          <w:sz w:val="16"/>
          <w:szCs w:val="16"/>
        </w:rPr>
        <w:t xml:space="preserve">; </w:t>
      </w:r>
      <w:hyperlink r:id="rId338" w:history="1">
        <w:r w:rsidRPr="00C3377D">
          <w:rPr>
            <w:rStyle w:val="Hyperlink"/>
            <w:rFonts w:asciiTheme="minorHAnsi" w:hAnsiTheme="minorHAnsi" w:cstheme="minorHAnsi"/>
            <w:i/>
            <w:sz w:val="16"/>
            <w:szCs w:val="16"/>
          </w:rPr>
          <w:t>State ex rel. Papa v. Starkey</w:t>
        </w:r>
      </w:hyperlink>
      <w:r w:rsidRPr="00C3377D">
        <w:rPr>
          <w:rFonts w:asciiTheme="minorHAnsi" w:hAnsiTheme="minorHAnsi" w:cstheme="minorHAnsi"/>
          <w:sz w:val="16"/>
          <w:szCs w:val="16"/>
        </w:rPr>
        <w:t xml:space="preserve">, 5th Dist. Stark No.2014CA00001, 2014-Ohio-2989, ¶ 7-9 (the statutory process applies to an incarcerated criminal offender who seeks records relating to </w:t>
      </w:r>
      <w:r w:rsidRPr="00C3377D">
        <w:rPr>
          <w:rFonts w:asciiTheme="minorHAnsi" w:hAnsiTheme="minorHAnsi" w:cstheme="minorHAnsi"/>
          <w:i/>
          <w:sz w:val="16"/>
          <w:szCs w:val="16"/>
        </w:rPr>
        <w:t>any</w:t>
      </w:r>
      <w:r w:rsidRPr="00C3377D">
        <w:rPr>
          <w:rFonts w:asciiTheme="minorHAnsi" w:hAnsiTheme="minorHAnsi" w:cstheme="minorHAnsi"/>
          <w:sz w:val="16"/>
          <w:szCs w:val="16"/>
        </w:rPr>
        <w:t xml:space="preserve"> criminal prosecution, not just of the inmate’s own criminal case).</w:t>
      </w:r>
    </w:p>
  </w:endnote>
  <w:endnote w:id="222">
    <w:p w14:paraId="16652234" w14:textId="423F6AF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339" w:history="1">
        <w:r w:rsidRPr="00C3377D">
          <w:rPr>
            <w:rStyle w:val="Hyperlink"/>
            <w:rFonts w:asciiTheme="minorHAnsi" w:hAnsiTheme="minorHAnsi" w:cstheme="minorHAnsi"/>
            <w:sz w:val="16"/>
            <w:szCs w:val="16"/>
          </w:rPr>
          <w:t>R.C. 3319.321(A)</w:t>
        </w:r>
      </w:hyperlink>
      <w:r w:rsidRPr="00C3377D">
        <w:rPr>
          <w:rFonts w:asciiTheme="minorHAnsi" w:hAnsiTheme="minorHAnsi" w:cstheme="minorHAnsi"/>
          <w:sz w:val="16"/>
          <w:szCs w:val="16"/>
        </w:rPr>
        <w:t xml:space="preserve"> (prohibiting schools from releasing student directory information “to any person or group for use in a profit-making plan or activity”).</w:t>
      </w:r>
    </w:p>
  </w:endnote>
  <w:endnote w:id="223">
    <w:p w14:paraId="40DDD3A6" w14:textId="301B2EE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0" w:history="1">
        <w:r w:rsidRPr="00C3377D">
          <w:rPr>
            <w:rStyle w:val="Hyperlink"/>
            <w:rFonts w:asciiTheme="minorHAnsi" w:hAnsiTheme="minorHAnsi" w:cstheme="minorHAnsi"/>
            <w:sz w:val="16"/>
            <w:szCs w:val="16"/>
          </w:rPr>
          <w:t xml:space="preserve">1990 Ohio </w:t>
        </w:r>
        <w:r w:rsidRPr="00C3377D">
          <w:rPr>
            <w:rStyle w:val="Hyperlink"/>
            <w:rFonts w:asciiTheme="minorHAnsi" w:hAnsiTheme="minorHAnsi" w:cstheme="minorHAnsi"/>
            <w:sz w:val="16"/>
            <w:szCs w:val="16"/>
          </w:rPr>
          <w:t>Atty.Gen.Ops. No. 050</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341" w:history="1">
        <w:r w:rsidRPr="00C3377D">
          <w:rPr>
            <w:rStyle w:val="Hyperlink"/>
            <w:rFonts w:asciiTheme="minorHAnsi" w:hAnsiTheme="minorHAnsi" w:cstheme="minorHAnsi"/>
            <w:sz w:val="16"/>
            <w:szCs w:val="16"/>
          </w:rPr>
          <w:t>R.C. 149.43(B)(4).</w:t>
        </w:r>
      </w:hyperlink>
    </w:p>
  </w:endnote>
  <w:endnote w:id="224">
    <w:p w14:paraId="190D5657" w14:textId="159E59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2" w:history="1">
        <w:r w:rsidRPr="00C3377D">
          <w:rPr>
            <w:rStyle w:val="Hyperlink"/>
            <w:rFonts w:asciiTheme="minorHAnsi" w:hAnsiTheme="minorHAnsi" w:cstheme="minorHAnsi"/>
            <w:sz w:val="16"/>
            <w:szCs w:val="16"/>
          </w:rPr>
          <w:t>R.C. 149.43(B)(7)(c)(</w:t>
        </w:r>
        <w:r w:rsidRPr="00C3377D">
          <w:rPr>
            <w:rStyle w:val="Hyperlink"/>
            <w:rFonts w:asciiTheme="minorHAnsi" w:hAnsiTheme="minorHAnsi" w:cstheme="minorHAnsi"/>
            <w:sz w:val="16"/>
            <w:szCs w:val="16"/>
          </w:rPr>
          <w:t>i)</w:t>
        </w:r>
      </w:hyperlink>
      <w:r w:rsidRPr="00C3377D">
        <w:rPr>
          <w:rFonts w:asciiTheme="minorHAnsi" w:hAnsiTheme="minorHAnsi" w:cstheme="minorHAnsi"/>
          <w:sz w:val="16"/>
          <w:szCs w:val="16"/>
        </w:rPr>
        <w:t xml:space="preserve"> (noting exception when “the person certifies to the office in writing that the person does not intend to use or forward the requested records, or the information contained in them, for commercial purposes”).  NOTE:  </w:t>
      </w:r>
      <w:r w:rsidR="003279F5" w:rsidRPr="00C3377D">
        <w:rPr>
          <w:rFonts w:asciiTheme="minorHAnsi" w:hAnsiTheme="minorHAnsi" w:cstheme="minorHAnsi"/>
          <w:sz w:val="16"/>
          <w:szCs w:val="16"/>
        </w:rPr>
        <w:t>t</w:t>
      </w:r>
      <w:r w:rsidRPr="00C3377D">
        <w:rPr>
          <w:rFonts w:asciiTheme="minorHAnsi" w:hAnsiTheme="minorHAnsi" w:cstheme="minorHAnsi"/>
          <w:sz w:val="16"/>
          <w:szCs w:val="16"/>
        </w:rPr>
        <w:t>he limitation only applies to records the office “will physically deliver by United States mail or by another delivery service.”</w:t>
      </w:r>
    </w:p>
  </w:endnote>
  <w:endnote w:id="225">
    <w:p w14:paraId="2FB5F4CA" w14:textId="4102AED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3" w:history="1">
        <w:r w:rsidRPr="00C3377D">
          <w:rPr>
            <w:rStyle w:val="Hyperlink"/>
            <w:rFonts w:asciiTheme="minorHAnsi" w:hAnsiTheme="minorHAnsi" w:cstheme="minorHAnsi"/>
            <w:sz w:val="16"/>
            <w:szCs w:val="16"/>
          </w:rPr>
          <w:t>R.C. 149.43(B)(7)(c)(iii).</w:t>
        </w:r>
      </w:hyperlink>
    </w:p>
  </w:endnote>
  <w:endnote w:id="226">
    <w:p w14:paraId="727CB129" w14:textId="4B2304E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4" w:history="1">
        <w:r w:rsidRPr="00C3377D">
          <w:rPr>
            <w:rStyle w:val="Hyperlink"/>
            <w:rFonts w:asciiTheme="minorHAnsi" w:hAnsiTheme="minorHAnsi" w:cstheme="minorHAnsi"/>
            <w:sz w:val="16"/>
            <w:szCs w:val="16"/>
          </w:rPr>
          <w:t>R.C. 149.43(B)(7)(c)(iii).</w:t>
        </w:r>
      </w:hyperlink>
    </w:p>
  </w:endnote>
  <w:endnote w:id="227">
    <w:p w14:paraId="34A5728C" w14:textId="6A0F71E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5" w:history="1">
        <w:r w:rsidRPr="00C3377D">
          <w:rPr>
            <w:rStyle w:val="Hyperlink"/>
            <w:rFonts w:asciiTheme="minorHAnsi" w:hAnsiTheme="minorHAnsi" w:cstheme="minorHAnsi"/>
            <w:sz w:val="16"/>
            <w:szCs w:val="16"/>
          </w:rPr>
          <w:t>R.C. 149.43(B)(9)(c)</w:t>
        </w:r>
      </w:hyperlink>
      <w:r w:rsidRPr="00C3377D">
        <w:rPr>
          <w:rFonts w:asciiTheme="minorHAnsi" w:hAnsiTheme="minorHAnsi" w:cstheme="minorHAnsi"/>
          <w:sz w:val="16"/>
          <w:szCs w:val="16"/>
        </w:rPr>
        <w:t xml:space="preserve"> (“As used in division (B)(9) of [R.C. 149.43], ‘journalist’ means a person engaged in, connected with, or employed by any news medium, including a newspaper, magazine, press association, news agency, or wire service, a radio or television station, or a similar medium, for the purpose of gathering, processing, transmitting, compiling, editing, or disseminating information for the general public.”)</w:t>
      </w:r>
    </w:p>
  </w:endnote>
  <w:endnote w:id="228">
    <w:p w14:paraId="1A8F4099" w14:textId="1631EFB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6" w:history="1">
        <w:r w:rsidRPr="00C3377D">
          <w:rPr>
            <w:rStyle w:val="Hyperlink"/>
            <w:rFonts w:asciiTheme="minorHAnsi" w:hAnsiTheme="minorHAnsi" w:cstheme="minorHAnsi"/>
            <w:sz w:val="16"/>
            <w:szCs w:val="16"/>
          </w:rPr>
          <w:t>R.C. 149.43(B)(9)(a), (b).</w:t>
        </w:r>
      </w:hyperlink>
    </w:p>
  </w:endnote>
  <w:endnote w:id="229">
    <w:p w14:paraId="33558BF9" w14:textId="2F8325D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47" w:history="1">
        <w:r w:rsidRPr="00C3377D">
          <w:rPr>
            <w:rStyle w:val="Hyperlink"/>
            <w:rFonts w:asciiTheme="minorHAnsi" w:hAnsiTheme="minorHAnsi" w:cstheme="minorHAnsi"/>
            <w:sz w:val="16"/>
            <w:szCs w:val="16"/>
          </w:rPr>
          <w:t>R.C. 149.43(F)(1).</w:t>
        </w:r>
      </w:hyperlink>
    </w:p>
  </w:endnote>
  <w:endnote w:id="230">
    <w:p w14:paraId="73E79FC7" w14:textId="6FE372A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These definitions are set forth at </w:t>
      </w:r>
      <w:hyperlink r:id="rId348" w:history="1">
        <w:r w:rsidRPr="00C3377D">
          <w:rPr>
            <w:rStyle w:val="Hyperlink"/>
            <w:rFonts w:asciiTheme="minorHAnsi" w:hAnsiTheme="minorHAnsi" w:cstheme="minorHAnsi"/>
            <w:sz w:val="16"/>
            <w:szCs w:val="16"/>
          </w:rPr>
          <w:t>R.C. 149.43(F)(2) (a)-(d), (F)(3)</w:t>
        </w:r>
      </w:hyperlink>
      <w:r w:rsidRPr="00C3377D">
        <w:rPr>
          <w:rFonts w:asciiTheme="minorHAnsi" w:hAnsiTheme="minorHAnsi" w:cstheme="minorHAnsi"/>
          <w:sz w:val="16"/>
          <w:szCs w:val="16"/>
        </w:rPr>
        <w:t>.</w:t>
      </w:r>
    </w:p>
  </w:endnote>
  <w:endnote w:id="231">
    <w:p w14:paraId="17E98AB5" w14:textId="3766C9F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49" w:history="1">
        <w:r w:rsidRPr="00C3377D">
          <w:rPr>
            <w:rStyle w:val="Hyperlink"/>
            <w:rFonts w:asciiTheme="minorHAnsi" w:hAnsiTheme="minorHAnsi" w:cstheme="minorHAnsi"/>
            <w:sz w:val="16"/>
            <w:szCs w:val="16"/>
          </w:rPr>
          <w:t xml:space="preserve"> R.C. 313.10(A).</w:t>
        </w:r>
      </w:hyperlink>
    </w:p>
  </w:endnote>
  <w:endnote w:id="232">
    <w:p w14:paraId="757B0D81" w14:textId="20FB1C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0" w:history="1">
        <w:r w:rsidRPr="00C3377D">
          <w:rPr>
            <w:rStyle w:val="Hyperlink"/>
            <w:rFonts w:asciiTheme="minorHAnsi" w:hAnsiTheme="minorHAnsi" w:cstheme="minorHAnsi"/>
            <w:sz w:val="16"/>
            <w:szCs w:val="16"/>
          </w:rPr>
          <w:t>R.C. 313.10(B).</w:t>
        </w:r>
      </w:hyperlink>
    </w:p>
  </w:endnote>
  <w:endnote w:id="233">
    <w:p w14:paraId="098EABED" w14:textId="23509A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51" w:history="1">
        <w:r w:rsidRPr="00C3377D">
          <w:rPr>
            <w:rStyle w:val="Hyperlink"/>
            <w:rFonts w:asciiTheme="minorHAnsi" w:hAnsiTheme="minorHAnsi" w:cstheme="minorHAnsi"/>
            <w:sz w:val="16"/>
            <w:szCs w:val="16"/>
          </w:rPr>
          <w:t xml:space="preserve"> R.C. 313.10(A)(2)(a)-(f).</w:t>
        </w:r>
      </w:hyperlink>
    </w:p>
  </w:endnote>
  <w:endnote w:id="234">
    <w:p w14:paraId="41665F31" w14:textId="03FE2E2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2" w:history="1">
        <w:r w:rsidRPr="00C3377D">
          <w:rPr>
            <w:rStyle w:val="Hyperlink"/>
            <w:rFonts w:asciiTheme="minorHAnsi" w:hAnsiTheme="minorHAnsi" w:cstheme="minorHAnsi"/>
            <w:sz w:val="16"/>
            <w:szCs w:val="16"/>
          </w:rPr>
          <w:t xml:space="preserve">R.C. 313.10(C). </w:t>
        </w:r>
      </w:hyperlink>
      <w:r w:rsidRPr="00C3377D">
        <w:rPr>
          <w:rFonts w:asciiTheme="minorHAnsi" w:hAnsiTheme="minorHAnsi" w:cstheme="minorHAnsi"/>
          <w:sz w:val="16"/>
          <w:szCs w:val="16"/>
        </w:rPr>
        <w:t xml:space="preserve"> A next-of-kin is entitled to a complete autopsy report even though the next-of-kin is incarcerated for murdering the subject of the autopsy report and the provisions of the Public Records Act regarding inmates, </w:t>
      </w:r>
      <w:r w:rsidRPr="00C3377D">
        <w:rPr>
          <w:rFonts w:asciiTheme="minorHAnsi" w:hAnsiTheme="minorHAnsi" w:cstheme="minorHAnsi"/>
          <w:i/>
          <w:sz w:val="16"/>
          <w:szCs w:val="16"/>
        </w:rPr>
        <w:t xml:space="preserve">see </w:t>
      </w:r>
      <w:r w:rsidR="0057467D">
        <w:rPr>
          <w:rFonts w:asciiTheme="minorHAnsi" w:hAnsiTheme="minorHAnsi" w:cstheme="minorHAnsi"/>
          <w:i/>
          <w:sz w:val="16"/>
          <w:szCs w:val="16"/>
        </w:rPr>
        <w:t>above</w:t>
      </w:r>
      <w:r w:rsidRPr="00C3377D">
        <w:rPr>
          <w:rFonts w:asciiTheme="minorHAnsi" w:hAnsiTheme="minorHAnsi" w:cstheme="minorHAnsi"/>
          <w:sz w:val="16"/>
          <w:szCs w:val="16"/>
        </w:rPr>
        <w:t xml:space="preserve">, do not apply.  </w:t>
      </w:r>
      <w:hyperlink r:id="rId353" w:history="1">
        <w:r w:rsidRPr="00C3377D">
          <w:rPr>
            <w:rStyle w:val="Hyperlink"/>
            <w:rFonts w:asciiTheme="minorHAnsi" w:hAnsiTheme="minorHAnsi" w:cstheme="minorHAnsi"/>
            <w:i/>
            <w:sz w:val="16"/>
            <w:szCs w:val="16"/>
          </w:rPr>
          <w:t xml:space="preserve">State ex rel. Clay v. Cuyahoga </w:t>
        </w:r>
        <w:r w:rsidRPr="00C3377D">
          <w:rPr>
            <w:rStyle w:val="Hyperlink"/>
            <w:rFonts w:asciiTheme="minorHAnsi" w:hAnsiTheme="minorHAnsi" w:cstheme="minorHAnsi"/>
            <w:i/>
            <w:sz w:val="16"/>
            <w:szCs w:val="16"/>
          </w:rPr>
          <w:t>Cty. Med. Examiner’s Office</w:t>
        </w:r>
      </w:hyperlink>
      <w:r w:rsidRPr="00C3377D">
        <w:rPr>
          <w:rFonts w:asciiTheme="minorHAnsi" w:hAnsiTheme="minorHAnsi" w:cstheme="minorHAnsi"/>
          <w:sz w:val="16"/>
          <w:szCs w:val="16"/>
        </w:rPr>
        <w:t>, 152 Ohio St.3d 163, 2017-Ohio 8714, ¶ 37-38.</w:t>
      </w:r>
    </w:p>
  </w:endnote>
  <w:endnote w:id="235">
    <w:p w14:paraId="0F5EA834" w14:textId="40E42BF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4" w:history="1">
        <w:r w:rsidRPr="00C3377D">
          <w:rPr>
            <w:rStyle w:val="Hyperlink"/>
            <w:rFonts w:asciiTheme="minorHAnsi" w:hAnsiTheme="minorHAnsi" w:cstheme="minorHAnsi"/>
            <w:sz w:val="16"/>
            <w:szCs w:val="16"/>
          </w:rPr>
          <w:t>R.C. 313.10(D).</w:t>
        </w:r>
      </w:hyperlink>
    </w:p>
  </w:endnote>
  <w:endnote w:id="236">
    <w:p w14:paraId="3D679EB8" w14:textId="724024D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5" w:history="1">
        <w:r w:rsidRPr="00C3377D">
          <w:rPr>
            <w:rStyle w:val="Hyperlink"/>
            <w:rFonts w:asciiTheme="minorHAnsi" w:hAnsiTheme="minorHAnsi" w:cstheme="minorHAnsi"/>
            <w:sz w:val="16"/>
            <w:szCs w:val="16"/>
          </w:rPr>
          <w:t>R.C. 313.10(E).</w:t>
        </w:r>
      </w:hyperlink>
    </w:p>
  </w:endnote>
  <w:endnote w:id="237">
    <w:p w14:paraId="4B40CBCA" w14:textId="62BBF2CC" w:rsidR="002F23BE" w:rsidRPr="00B42E67"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56" w:history="1">
        <w:r w:rsidRPr="00C3377D">
          <w:rPr>
            <w:rStyle w:val="Hyperlink"/>
            <w:rFonts w:asciiTheme="minorHAnsi" w:hAnsiTheme="minorHAnsi" w:cstheme="minorHAnsi"/>
            <w:sz w:val="16"/>
            <w:szCs w:val="16"/>
          </w:rPr>
          <w:t>R.C. 313.10(F).</w:t>
        </w:r>
      </w:hyperlink>
    </w:p>
  </w:endnote>
  <w:endnote w:id="238">
    <w:p w14:paraId="0FD6E126" w14:textId="001F54C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In this section, the term “exemption” will be used to describe laws authorizing the withholding of records from public records requests.  </w:t>
      </w:r>
      <w:r w:rsidR="00E60C5A" w:rsidRPr="00C3377D">
        <w:rPr>
          <w:rFonts w:asciiTheme="minorHAnsi" w:hAnsiTheme="minorHAnsi" w:cstheme="minorHAnsi"/>
          <w:sz w:val="16"/>
          <w:szCs w:val="16"/>
        </w:rPr>
        <w:t>T</w:t>
      </w:r>
      <w:r w:rsidRPr="00C3377D">
        <w:rPr>
          <w:rFonts w:asciiTheme="minorHAnsi" w:hAnsiTheme="minorHAnsi" w:cstheme="minorHAnsi"/>
          <w:sz w:val="16"/>
          <w:szCs w:val="16"/>
        </w:rPr>
        <w:t>he term “exception” is also often used in public records law and court cases.</w:t>
      </w:r>
    </w:p>
  </w:endnote>
  <w:endnote w:id="239">
    <w:p w14:paraId="41881D56"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e.g., </w:t>
      </w:r>
      <w:hyperlink r:id="rId357" w:history="1">
        <w:r w:rsidRPr="00C3377D">
          <w:rPr>
            <w:rStyle w:val="Hyperlink"/>
            <w:rFonts w:asciiTheme="minorHAnsi" w:hAnsiTheme="minorHAnsi" w:cstheme="minorHAnsi"/>
            <w:i/>
            <w:sz w:val="16"/>
            <w:szCs w:val="16"/>
          </w:rPr>
          <w:t>State ex rel. Keller v. Cox</w:t>
        </w:r>
      </w:hyperlink>
      <w:r w:rsidRPr="00C3377D">
        <w:rPr>
          <w:rFonts w:asciiTheme="minorHAnsi" w:hAnsiTheme="minorHAnsi" w:cstheme="minorHAnsi"/>
          <w:sz w:val="16"/>
          <w:szCs w:val="16"/>
        </w:rPr>
        <w:t>, 85 Ohio St.3d 279, 282 (1999).</w:t>
      </w:r>
    </w:p>
  </w:endnote>
  <w:endnote w:id="240">
    <w:p w14:paraId="1DDA3E5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e.g., </w:t>
      </w:r>
      <w:hyperlink r:id="rId358" w:history="1">
        <w:r w:rsidRPr="00C3377D">
          <w:rPr>
            <w:rStyle w:val="Hyperlink"/>
            <w:rFonts w:asciiTheme="minorHAnsi" w:hAnsiTheme="minorHAnsi" w:cstheme="minorHAnsi"/>
            <w:i/>
            <w:sz w:val="16"/>
            <w:szCs w:val="16"/>
          </w:rPr>
          <w:t>State ex rel. Beacon Journal Publishing Co. v. Akron</w:t>
        </w:r>
      </w:hyperlink>
      <w:r w:rsidRPr="00C3377D">
        <w:rPr>
          <w:rFonts w:asciiTheme="minorHAnsi" w:hAnsiTheme="minorHAnsi" w:cstheme="minorHAnsi"/>
          <w:sz w:val="16"/>
          <w:szCs w:val="16"/>
        </w:rPr>
        <w:t>, 104 Ohio St.3d 399, 2004-Ohio-6557, ¶ 56 (applying R.C. 2151.421).</w:t>
      </w:r>
    </w:p>
  </w:endnote>
  <w:endnote w:id="241">
    <w:p w14:paraId="5897529F" w14:textId="26A29C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An example being the common law attorney-client privilege.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359" w:history="1">
        <w:r w:rsidRPr="00C3377D">
          <w:rPr>
            <w:rStyle w:val="Hyperlink"/>
            <w:rFonts w:asciiTheme="minorHAnsi" w:hAnsiTheme="minorHAnsi" w:cstheme="minorHAnsi"/>
            <w:i/>
            <w:sz w:val="16"/>
            <w:szCs w:val="16"/>
          </w:rPr>
          <w:t xml:space="preserve">State ex rel. Leslie v. Ohio </w:t>
        </w:r>
        <w:r w:rsidRPr="00C3377D">
          <w:rPr>
            <w:rStyle w:val="Hyperlink"/>
            <w:rFonts w:asciiTheme="minorHAnsi" w:hAnsiTheme="minorHAnsi" w:cstheme="minorHAnsi"/>
            <w:i/>
            <w:sz w:val="16"/>
            <w:szCs w:val="16"/>
          </w:rPr>
          <w:t>Hous. Fin. Agency</w:t>
        </w:r>
      </w:hyperlink>
      <w:r w:rsidRPr="00C3377D">
        <w:rPr>
          <w:rFonts w:asciiTheme="minorHAnsi" w:hAnsiTheme="minorHAnsi" w:cstheme="minorHAnsi"/>
          <w:sz w:val="16"/>
          <w:szCs w:val="16"/>
        </w:rPr>
        <w:t>, 105 Ohio St.3d 261, 2005-Ohio-1508, ¶ 27.</w:t>
      </w:r>
    </w:p>
  </w:endnote>
  <w:endnote w:id="242">
    <w:p w14:paraId="404979A0" w14:textId="0ED5B01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Lindsay v. Dwyer</w:t>
      </w:r>
      <w:r w:rsidRPr="00C3377D">
        <w:rPr>
          <w:rFonts w:asciiTheme="minorHAnsi" w:hAnsiTheme="minorHAnsi" w:cstheme="minorHAnsi"/>
          <w:sz w:val="16"/>
          <w:szCs w:val="16"/>
        </w:rPr>
        <w:t xml:space="preserve">, 108 Ohio App.3d 462, 467 (10th Dist. 1996) (finding State Teacher Retirement System properly denied access to beneficiary form pursuant to Ohio Administrative Code); </w:t>
      </w:r>
      <w:hyperlink r:id="rId360" w:history="1">
        <w:r w:rsidRPr="00C3377D">
          <w:rPr>
            <w:rStyle w:val="Hyperlink"/>
            <w:rFonts w:asciiTheme="minorHAnsi" w:hAnsiTheme="minorHAnsi" w:cstheme="minorHAnsi"/>
            <w:sz w:val="16"/>
            <w:szCs w:val="16"/>
          </w:rPr>
          <w:t xml:space="preserve">2000 Ohio </w:t>
        </w:r>
        <w:r w:rsidRPr="00C3377D">
          <w:rPr>
            <w:rStyle w:val="Hyperlink"/>
            <w:rFonts w:asciiTheme="minorHAnsi" w:hAnsiTheme="minorHAnsi" w:cstheme="minorHAnsi"/>
            <w:sz w:val="16"/>
            <w:szCs w:val="16"/>
          </w:rPr>
          <w:t xml:space="preserve">Atty.Gen.Ops. No. 036 </w:t>
        </w:r>
      </w:hyperlink>
      <w:r w:rsidRPr="00C3377D">
        <w:rPr>
          <w:rFonts w:asciiTheme="minorHAnsi" w:hAnsiTheme="minorHAnsi" w:cstheme="minorHAnsi"/>
          <w:sz w:val="16"/>
          <w:szCs w:val="16"/>
        </w:rPr>
        <w:t xml:space="preserve">(determining that federal regulation prohibits release of service member’s discharge certificate without service member’s written consent); </w:t>
      </w:r>
      <w:r w:rsidRPr="00C3377D">
        <w:rPr>
          <w:rFonts w:asciiTheme="minorHAnsi" w:hAnsiTheme="minorHAnsi" w:cstheme="minorHAnsi"/>
          <w:i/>
          <w:sz w:val="16"/>
          <w:szCs w:val="16"/>
        </w:rPr>
        <w:t>but see State ex rel. Gallon &amp; Takacs Co., L.P.A. v. Conrad</w:t>
      </w:r>
      <w:r w:rsidRPr="00C3377D">
        <w:rPr>
          <w:rFonts w:asciiTheme="minorHAnsi" w:hAnsiTheme="minorHAnsi" w:cstheme="minorHAnsi"/>
          <w:sz w:val="16"/>
          <w:szCs w:val="16"/>
        </w:rPr>
        <w:t>, 123 Ohio App.3d 554, 561 (10th Dist. 1997) (if regulation was promulgated outside of agency’s statutory authority, the invalid rule will not constitute an exemption to the Public Records Act).</w:t>
      </w:r>
    </w:p>
  </w:endnote>
  <w:endnote w:id="243">
    <w:p w14:paraId="25CAE14A" w14:textId="03B58B43" w:rsidR="002007FF" w:rsidRPr="00C3377D" w:rsidRDefault="002007FF" w:rsidP="00C3377D">
      <w:pPr>
        <w:pStyle w:val="EndnoteText"/>
        <w:spacing w:line="160" w:lineRule="exact"/>
        <w:jc w:val="both"/>
        <w:rPr>
          <w:rFonts w:asciiTheme="minorHAnsi" w:hAnsiTheme="minorHAnsi" w:cstheme="minorHAnsi"/>
          <w:iCs/>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1" w:history="1">
        <w:r w:rsidRPr="00C3377D">
          <w:rPr>
            <w:rStyle w:val="Hyperlink"/>
            <w:rFonts w:asciiTheme="minorHAnsi" w:hAnsiTheme="minorHAnsi" w:cstheme="minorHAnsi"/>
            <w:i/>
            <w:iCs/>
            <w:sz w:val="16"/>
            <w:szCs w:val="16"/>
          </w:rPr>
          <w:t xml:space="preserve">State ex rel. Gannett Satellite Info. Network v. </w:t>
        </w:r>
        <w:r w:rsidRPr="00C3377D">
          <w:rPr>
            <w:rStyle w:val="Hyperlink"/>
            <w:rFonts w:asciiTheme="minorHAnsi" w:hAnsiTheme="minorHAnsi" w:cstheme="minorHAnsi"/>
            <w:i/>
            <w:iCs/>
            <w:sz w:val="16"/>
            <w:szCs w:val="16"/>
          </w:rPr>
          <w:t>Shirey</w:t>
        </w:r>
      </w:hyperlink>
      <w:r w:rsidRPr="00C3377D">
        <w:rPr>
          <w:rFonts w:asciiTheme="minorHAnsi" w:hAnsiTheme="minorHAnsi" w:cstheme="minorHAnsi"/>
          <w:sz w:val="16"/>
          <w:szCs w:val="16"/>
        </w:rPr>
        <w:t>, 76 Ohio St.3d 1224 (1996) (contract provision designating as confidential applications and resumes for city position could not alter public nature of information);</w:t>
      </w:r>
      <w:hyperlink r:id="rId362" w:history="1">
        <w:r w:rsidRPr="00C3377D">
          <w:rPr>
            <w:rStyle w:val="Hyperlink"/>
            <w:rFonts w:asciiTheme="minorHAnsi" w:hAnsiTheme="minorHAnsi" w:cstheme="minorHAnsi"/>
            <w:i/>
            <w:sz w:val="16"/>
            <w:szCs w:val="16"/>
          </w:rPr>
          <w:t xml:space="preserve"> State ex rel. Clough v. Franklin Cty. Children Servs.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144 Ohio St.3d 83, 2015-Ohio-3425, ¶ 16 (a written policy of permitting the clients of a public office to see their files does not create a legally enforceable obligation on the public office to provide access when access to requested files is prohibited by law);</w:t>
      </w:r>
      <w:hyperlink r:id="rId363" w:history="1">
        <w:r w:rsidRPr="00C3377D">
          <w:rPr>
            <w:rStyle w:val="Hyperlink"/>
            <w:rFonts w:asciiTheme="minorHAnsi" w:hAnsiTheme="minorHAnsi" w:cstheme="minorHAnsi"/>
            <w:sz w:val="16"/>
            <w:szCs w:val="16"/>
          </w:rPr>
          <w:t xml:space="preserve"> </w:t>
        </w:r>
        <w:r w:rsidRPr="00C3377D">
          <w:rPr>
            <w:rStyle w:val="Hyperlink"/>
            <w:rFonts w:asciiTheme="minorHAnsi" w:hAnsiTheme="minorHAnsi" w:cstheme="minorHAnsi"/>
            <w:i/>
            <w:sz w:val="16"/>
            <w:szCs w:val="16"/>
          </w:rPr>
          <w:t>Teodecki v. Litchfield Twp.</w:t>
        </w:r>
      </w:hyperlink>
      <w:r w:rsidRPr="00C3377D">
        <w:rPr>
          <w:rFonts w:asciiTheme="minorHAnsi" w:hAnsiTheme="minorHAnsi" w:cstheme="minorHAnsi"/>
          <w:i/>
          <w:sz w:val="16"/>
          <w:szCs w:val="16"/>
        </w:rPr>
        <w:t xml:space="preserve">, </w:t>
      </w:r>
      <w:r w:rsidRPr="00C3377D">
        <w:rPr>
          <w:rFonts w:asciiTheme="minorHAnsi" w:hAnsiTheme="minorHAnsi" w:cstheme="minorHAnsi"/>
          <w:iCs/>
          <w:sz w:val="16"/>
          <w:szCs w:val="16"/>
        </w:rPr>
        <w:t>9th Dist. Medina No. 14CA0035-M, 2015-Ohio-2309, ¶ 25 (confidentiality clause prohibiting disclosure of an investigative report about a public official’s actions was unenforceable and invalid).</w:t>
      </w:r>
    </w:p>
  </w:endnote>
  <w:endnote w:id="244">
    <w:p w14:paraId="73318F60" w14:textId="391D9964"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E551BD">
        <w:rPr>
          <w:rFonts w:asciiTheme="minorHAnsi" w:hAnsiTheme="minorHAnsi" w:cstheme="minorHAnsi"/>
          <w:i/>
          <w:iCs/>
          <w:sz w:val="16"/>
          <w:szCs w:val="16"/>
        </w:rPr>
        <w:t>See</w:t>
      </w:r>
      <w:r w:rsidRPr="00C3377D">
        <w:rPr>
          <w:rFonts w:asciiTheme="minorHAnsi" w:hAnsiTheme="minorHAnsi" w:cstheme="minorHAnsi"/>
          <w:sz w:val="16"/>
          <w:szCs w:val="16"/>
        </w:rPr>
        <w:t xml:space="preserve"> Chapter Three: F.5.g. “Settlement agreements and other contracts.”</w:t>
      </w:r>
    </w:p>
  </w:endnote>
  <w:endnote w:id="245">
    <w:p w14:paraId="4F5643C2"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4" w:history="1">
        <w:r w:rsidRPr="00C3377D">
          <w:rPr>
            <w:rStyle w:val="Hyperlink"/>
            <w:rFonts w:asciiTheme="minorHAnsi" w:hAnsiTheme="minorHAnsi" w:cstheme="minorHAnsi"/>
            <w:i/>
            <w:sz w:val="16"/>
            <w:szCs w:val="16"/>
          </w:rPr>
          <w:t>State ex rel. Beacon Journal Publishing Co. v. Akron</w:t>
        </w:r>
      </w:hyperlink>
      <w:r w:rsidRPr="00C3377D">
        <w:rPr>
          <w:rFonts w:asciiTheme="minorHAnsi" w:hAnsiTheme="minorHAnsi" w:cstheme="minorHAnsi"/>
          <w:sz w:val="16"/>
          <w:szCs w:val="16"/>
        </w:rPr>
        <w:t>, 104 Ohio St.3d 399, 2004-Ohio-6557, ¶ 40-41.</w:t>
      </w:r>
    </w:p>
  </w:endnote>
  <w:endnote w:id="246">
    <w:p w14:paraId="3B723EAC" w14:textId="15ADA779"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5" w:history="1">
        <w:r w:rsidRPr="00C3377D">
          <w:rPr>
            <w:rStyle w:val="Hyperlink"/>
            <w:rFonts w:asciiTheme="minorHAnsi" w:hAnsiTheme="minorHAnsi" w:cstheme="minorHAnsi"/>
            <w:i/>
            <w:sz w:val="16"/>
            <w:szCs w:val="16"/>
          </w:rPr>
          <w:t xml:space="preserve">State ex rel. Gannett Satellite Info. Network v. </w:t>
        </w:r>
        <w:r w:rsidRPr="00C3377D">
          <w:rPr>
            <w:rStyle w:val="Hyperlink"/>
            <w:rFonts w:asciiTheme="minorHAnsi" w:hAnsiTheme="minorHAnsi" w:cstheme="minorHAnsi"/>
            <w:i/>
            <w:sz w:val="16"/>
            <w:szCs w:val="16"/>
          </w:rPr>
          <w:t>Shirey</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78 Ohio St.3d 400, 403 (1997) (contract provision designating as confidential applications and resumes for city position could not alter public nature of information); </w:t>
      </w:r>
      <w:r w:rsidRPr="00C3377D">
        <w:rPr>
          <w:rFonts w:asciiTheme="minorHAnsi" w:hAnsiTheme="minorHAnsi" w:cstheme="minorHAnsi"/>
          <w:i/>
          <w:sz w:val="16"/>
          <w:szCs w:val="16"/>
        </w:rPr>
        <w:t>State ex rel. Dispatch Printing Co. v. Wells</w:t>
      </w:r>
      <w:r w:rsidRPr="00C3377D">
        <w:rPr>
          <w:rFonts w:asciiTheme="minorHAnsi" w:hAnsiTheme="minorHAnsi" w:cstheme="minorHAnsi"/>
          <w:sz w:val="16"/>
          <w:szCs w:val="16"/>
        </w:rPr>
        <w:t>, 18 Ohio St.3d 382, 384 (1985) (provision in collective bargaining agreement between city and its police force requiring city to ensure confidentiality of officers’ personnel records is invalid; otherwise, “private citizens would be empowered to alter legal relationships between a government and the public at large”).</w:t>
      </w:r>
    </w:p>
  </w:endnote>
  <w:endnote w:id="247">
    <w:p w14:paraId="28DB141E"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6" w:history="1">
        <w:r w:rsidRPr="00C3377D">
          <w:rPr>
            <w:rStyle w:val="Hyperlink"/>
            <w:rFonts w:asciiTheme="minorHAnsi" w:hAnsiTheme="minorHAnsi" w:cstheme="minorHAnsi"/>
            <w:i/>
            <w:sz w:val="16"/>
            <w:szCs w:val="16"/>
          </w:rPr>
          <w:t>Keller v. Columbus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100 Ohio St.3d 192, 2003-Ohio-5599, ¶ 23 (“[A]</w:t>
      </w:r>
      <w:r w:rsidRPr="00C3377D">
        <w:rPr>
          <w:rFonts w:asciiTheme="minorHAnsi" w:hAnsiTheme="minorHAnsi" w:cstheme="minorHAnsi"/>
          <w:sz w:val="16"/>
          <w:szCs w:val="16"/>
        </w:rPr>
        <w:t>ny provision in a collective bargaining agreement that establishes a schedule for the destruction of public records is unenforceable if it conflicts with or fails to comport with all the dictates of the Public Records Act.”).</w:t>
      </w:r>
    </w:p>
  </w:endnote>
  <w:endnote w:id="248">
    <w:p w14:paraId="779F8F3F"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7" w:history="1">
        <w:r w:rsidRPr="00C3377D">
          <w:rPr>
            <w:rStyle w:val="Hyperlink"/>
            <w:rFonts w:asciiTheme="minorHAnsi" w:hAnsiTheme="minorHAnsi" w:cstheme="minorHAnsi"/>
            <w:i/>
            <w:sz w:val="16"/>
            <w:szCs w:val="16"/>
          </w:rPr>
          <w:t>State ex rel. Russell v. Thomas</w:t>
        </w:r>
      </w:hyperlink>
      <w:r w:rsidRPr="00C3377D">
        <w:rPr>
          <w:rFonts w:asciiTheme="minorHAnsi" w:hAnsiTheme="minorHAnsi" w:cstheme="minorHAnsi"/>
          <w:sz w:val="16"/>
          <w:szCs w:val="16"/>
        </w:rPr>
        <w:t>, 85 Ohio St.3d 83, 85 (1999).</w:t>
      </w:r>
    </w:p>
  </w:endnote>
  <w:endnote w:id="249">
    <w:p w14:paraId="3F47679C"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8" w:history="1">
        <w:r w:rsidRPr="00C3377D">
          <w:rPr>
            <w:rStyle w:val="Hyperlink"/>
            <w:rFonts w:asciiTheme="minorHAnsi" w:hAnsiTheme="minorHAnsi" w:cstheme="minorHAnsi"/>
            <w:i/>
            <w:sz w:val="16"/>
            <w:szCs w:val="16"/>
          </w:rPr>
          <w:t xml:space="preserve">State ex rel. Findlay Publishing Co. v. Hancock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xml:space="preserve">, 80 Ohio St.3d 134, 137 (1997); </w:t>
      </w:r>
      <w:r w:rsidRPr="00C3377D">
        <w:rPr>
          <w:rFonts w:asciiTheme="minorHAnsi" w:hAnsiTheme="minorHAnsi" w:cstheme="minorHAnsi"/>
          <w:i/>
          <w:sz w:val="16"/>
          <w:szCs w:val="16"/>
        </w:rPr>
        <w:t>see also State ex rel. Natl. Broadcasting Co., Inc. v. Cleveland</w:t>
      </w:r>
      <w:r w:rsidRPr="00C3377D">
        <w:rPr>
          <w:rFonts w:asciiTheme="minorHAnsi" w:hAnsiTheme="minorHAnsi" w:cstheme="minorHAnsi"/>
          <w:sz w:val="16"/>
          <w:szCs w:val="16"/>
        </w:rPr>
        <w:t>, 82 Ohio App.3d 202, 212-13 (8th Dist. 1992) (finding unenforceable an agreement between the city and police union to keep officers’ home addresses and telephone numbers confidential).</w:t>
      </w:r>
    </w:p>
  </w:endnote>
  <w:endnote w:id="250">
    <w:p w14:paraId="315EB21A"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5 U.S.C. § 552.</w:t>
      </w:r>
    </w:p>
  </w:endnote>
  <w:endnote w:id="251">
    <w:p w14:paraId="18E34E8A" w14:textId="77777777" w:rsidR="002007FF" w:rsidRPr="00C3377D" w:rsidRDefault="002007FF"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69" w:history="1">
        <w:r w:rsidRPr="00C3377D">
          <w:rPr>
            <w:rStyle w:val="Hyperlink"/>
            <w:rFonts w:asciiTheme="minorHAnsi" w:hAnsiTheme="minorHAnsi" w:cstheme="minorHAnsi"/>
            <w:i/>
            <w:sz w:val="16"/>
            <w:szCs w:val="16"/>
          </w:rPr>
          <w:t>State ex rel. WBNS TV, Inc. v. Dues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101 Ohio St.3d 406, 2004-Ohio-1497, ¶ 35; </w:t>
      </w:r>
      <w:hyperlink r:id="rId370"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98 Ohio St.3d 126, 2002-Ohio-7041, ¶ 32.</w:t>
      </w:r>
    </w:p>
  </w:endnote>
  <w:endnote w:id="252">
    <w:p w14:paraId="22075716"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1" w:history="1">
        <w:r w:rsidRPr="00C3377D">
          <w:rPr>
            <w:rStyle w:val="Hyperlink"/>
            <w:rFonts w:asciiTheme="minorHAnsi" w:hAnsiTheme="minorHAnsi" w:cstheme="minorHAnsi"/>
            <w:i/>
            <w:sz w:val="16"/>
            <w:szCs w:val="16"/>
          </w:rPr>
          <w:t>State ex rel. Nix v. Cleveland</w:t>
        </w:r>
      </w:hyperlink>
      <w:r w:rsidRPr="00C3377D">
        <w:rPr>
          <w:rFonts w:asciiTheme="minorHAnsi" w:hAnsiTheme="minorHAnsi" w:cstheme="minorHAnsi"/>
          <w:sz w:val="16"/>
          <w:szCs w:val="16"/>
        </w:rPr>
        <w:t>, 83 Ohio St.3d 379 (1998).</w:t>
      </w:r>
    </w:p>
  </w:endnote>
  <w:endnote w:id="253">
    <w:p w14:paraId="0EA4A077" w14:textId="4607143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2" w:history="1">
        <w:r w:rsidRPr="00C3377D">
          <w:rPr>
            <w:rStyle w:val="Hyperlink"/>
            <w:rFonts w:asciiTheme="minorHAnsi" w:hAnsiTheme="minorHAnsi" w:cstheme="minorHAnsi"/>
            <w:i/>
            <w:sz w:val="16"/>
            <w:szCs w:val="16"/>
          </w:rPr>
          <w:t>State ex rel. Dreamer v. Mason</w:t>
        </w:r>
      </w:hyperlink>
      <w:r w:rsidRPr="00C3377D">
        <w:rPr>
          <w:rFonts w:asciiTheme="minorHAnsi" w:hAnsiTheme="minorHAnsi" w:cstheme="minorHAnsi"/>
          <w:sz w:val="16"/>
          <w:szCs w:val="16"/>
        </w:rPr>
        <w:t>, 115 Ohio St.3d 190, 2007-Ohio-4789 (illustrating the interplay of attorney-client privilege, waiver, public records law, and criminal discovery).</w:t>
      </w:r>
    </w:p>
  </w:endnote>
  <w:endnote w:id="254">
    <w:p w14:paraId="5CACB4EB" w14:textId="70D2A37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73" w:history="1">
        <w:r w:rsidRPr="00C3377D">
          <w:rPr>
            <w:rStyle w:val="Hyperlink"/>
            <w:rFonts w:asciiTheme="minorHAnsi" w:hAnsiTheme="minorHAnsi" w:cstheme="minorHAnsi"/>
            <w:sz w:val="16"/>
            <w:szCs w:val="16"/>
          </w:rPr>
          <w:t xml:space="preserve"> 2000 Ohio </w:t>
        </w:r>
        <w:r w:rsidRPr="00C3377D">
          <w:rPr>
            <w:rStyle w:val="Hyperlink"/>
            <w:rFonts w:asciiTheme="minorHAnsi" w:hAnsiTheme="minorHAnsi" w:cstheme="minorHAnsi"/>
            <w:sz w:val="16"/>
            <w:szCs w:val="16"/>
          </w:rPr>
          <w:t>Atty.Gen.Ops. No. 021</w:t>
        </w:r>
      </w:hyperlink>
      <w:r w:rsidRPr="00C3377D">
        <w:rPr>
          <w:rFonts w:asciiTheme="minorHAnsi" w:hAnsiTheme="minorHAnsi" w:cstheme="minorHAnsi"/>
          <w:sz w:val="16"/>
          <w:szCs w:val="16"/>
        </w:rPr>
        <w:t xml:space="preserve"> (“R.C. 149.43 does not expressly prohibit the disclosure of items that are excluded from the definition of public record, but merely provides that their disclosure is not mandated.”);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374" w:history="1">
        <w:r w:rsidRPr="00C3377D">
          <w:rPr>
            <w:rStyle w:val="Hyperlink"/>
            <w:rFonts w:asciiTheme="minorHAnsi" w:hAnsiTheme="minorHAnsi" w:cstheme="minorHAnsi"/>
            <w:sz w:val="16"/>
            <w:szCs w:val="16"/>
          </w:rPr>
          <w:t>2001 Ohio Atty.Gen.Ops. No. 041.</w:t>
        </w:r>
      </w:hyperlink>
    </w:p>
  </w:endnote>
  <w:endnote w:id="255">
    <w:p w14:paraId="7759BB18" w14:textId="70B3626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5" w:history="1">
        <w:r w:rsidRPr="00C3377D">
          <w:rPr>
            <w:rStyle w:val="Hyperlink"/>
            <w:rFonts w:asciiTheme="minorHAnsi" w:hAnsiTheme="minorHAnsi" w:cstheme="minorHAnsi"/>
            <w:i/>
            <w:sz w:val="16"/>
            <w:szCs w:val="16"/>
          </w:rPr>
          <w:t>State ex rel. Wallace v. State Med. Bd. of Ohio</w:t>
        </w:r>
      </w:hyperlink>
      <w:r w:rsidRPr="00C3377D">
        <w:rPr>
          <w:rFonts w:asciiTheme="minorHAnsi" w:hAnsiTheme="minorHAnsi" w:cstheme="minorHAnsi"/>
          <w:sz w:val="16"/>
          <w:szCs w:val="16"/>
        </w:rPr>
        <w:t>, 89 Ohio St.3d 431, 435 (2000) (“waiver” is defined as a voluntary relinquishment of a known right).</w:t>
      </w:r>
    </w:p>
  </w:endnote>
  <w:endnote w:id="256">
    <w:p w14:paraId="486B7A22" w14:textId="51C2EF0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hyperlink r:id="rId376" w:history="1">
        <w:r w:rsidRPr="00C3377D">
          <w:rPr>
            <w:rStyle w:val="Hyperlink"/>
            <w:rFonts w:asciiTheme="minorHAnsi" w:hAnsiTheme="minorHAnsi" w:cstheme="minorHAnsi"/>
            <w:i/>
            <w:sz w:val="16"/>
            <w:szCs w:val="16"/>
          </w:rPr>
          <w:t xml:space="preserve"> State ex rel. Hicks v. Fraley</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166 Ohio St.3d 141, 2021-Ohio-2724, ¶ 23 (county auditor waived attorney-client privilege by voluntarily disclosing opinion letter to special prosecutor);</w:t>
      </w:r>
      <w:r w:rsidRPr="00C3377D">
        <w:rPr>
          <w:rFonts w:asciiTheme="minorHAnsi" w:hAnsiTheme="minorHAnsi" w:cstheme="minorHAnsi"/>
          <w:i/>
          <w:sz w:val="16"/>
          <w:szCs w:val="16"/>
        </w:rPr>
        <w:t xml:space="preserve"> </w:t>
      </w:r>
      <w:hyperlink r:id="rId377"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xml:space="preserve">, 98 Ohio St.3d 126, 2002-Ohio-7041, ¶ 22; </w:t>
      </w:r>
      <w:hyperlink r:id="rId378" w:history="1">
        <w:r w:rsidRPr="00C3377D">
          <w:rPr>
            <w:rStyle w:val="Hyperlink"/>
            <w:rFonts w:asciiTheme="minorHAnsi" w:hAnsiTheme="minorHAnsi" w:cstheme="minorHAnsi"/>
            <w:i/>
            <w:sz w:val="16"/>
            <w:szCs w:val="16"/>
          </w:rPr>
          <w:t>Aire-Ride, Inc. v. DHL Express (USA) Inc.</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12th Dist. Clinton No. CA2008-01-001, 2008-Ohio-5669, ¶ 17-30 (attorney-client privilege was waived when counsel had reviewed, marked confidential, and inadvertently produced documents during discovery).</w:t>
      </w:r>
    </w:p>
  </w:endnote>
  <w:endnote w:id="257">
    <w:p w14:paraId="5E395247" w14:textId="12A677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79" w:history="1">
        <w:r w:rsidRPr="00C3377D">
          <w:rPr>
            <w:rStyle w:val="Hyperlink"/>
            <w:rFonts w:asciiTheme="minorHAnsi" w:hAnsiTheme="minorHAnsi" w:cstheme="minorHAnsi"/>
            <w:i/>
            <w:sz w:val="16"/>
            <w:szCs w:val="16"/>
          </w:rPr>
          <w:t>State ex rel. Cincinnati Enquirer, Div. of Gannet Satellite Information Network, Inc. v. Shar</w:t>
        </w:r>
      </w:hyperlink>
      <w:r w:rsidRPr="00C3377D">
        <w:rPr>
          <w:rFonts w:asciiTheme="minorHAnsi" w:hAnsiTheme="minorHAnsi" w:cstheme="minorHAnsi"/>
          <w:i/>
          <w:sz w:val="16"/>
          <w:szCs w:val="16"/>
        </w:rPr>
        <w:t>p</w:t>
      </w:r>
      <w:r w:rsidRPr="00C3377D">
        <w:rPr>
          <w:rFonts w:asciiTheme="minorHAnsi" w:hAnsiTheme="minorHAnsi" w:cstheme="minorHAnsi"/>
          <w:sz w:val="16"/>
          <w:szCs w:val="16"/>
        </w:rPr>
        <w:t xml:space="preserve">, 151 Ohio App.3d 756, 761, 2003-Ohio-1186, ¶ 14 (1st Dist.) (statutory confidentiality of documents submitted to municipal port authority not waived when port authority shares documents with county commissioners); </w:t>
      </w:r>
      <w:hyperlink r:id="rId380" w:history="1">
        <w:r w:rsidRPr="00C3377D">
          <w:rPr>
            <w:rStyle w:val="Hyperlink"/>
            <w:rFonts w:asciiTheme="minorHAnsi" w:hAnsiTheme="minorHAnsi" w:cstheme="minorHAnsi"/>
            <w:i/>
            <w:sz w:val="16"/>
            <w:szCs w:val="16"/>
          </w:rPr>
          <w:t>State ex rel. Musial v. N. Olmsted</w:t>
        </w:r>
      </w:hyperlink>
      <w:r w:rsidRPr="00C3377D">
        <w:rPr>
          <w:rFonts w:asciiTheme="minorHAnsi" w:hAnsiTheme="minorHAnsi" w:cstheme="minorHAnsi"/>
          <w:sz w:val="16"/>
          <w:szCs w:val="16"/>
        </w:rPr>
        <w:t>, 106 Ohio St.3d 459, 2005-Ohio-5521, ¶ 37 (forwarding police investigation records to a city’s ethics commission did not constitute waiver).</w:t>
      </w:r>
    </w:p>
  </w:endnote>
  <w:endnote w:id="258">
    <w:p w14:paraId="58164529" w14:textId="22F59D4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1" w:history="1">
        <w:r w:rsidRPr="00C3377D">
          <w:rPr>
            <w:rStyle w:val="Hyperlink"/>
            <w:rFonts w:asciiTheme="minorHAnsi" w:hAnsiTheme="minorHAnsi" w:cstheme="minorHAnsi"/>
            <w:i/>
            <w:sz w:val="16"/>
            <w:szCs w:val="16"/>
          </w:rPr>
          <w:t>State ex rel. Musial v. N. Olmsted</w:t>
        </w:r>
      </w:hyperlink>
      <w:r w:rsidRPr="00C3377D">
        <w:rPr>
          <w:rFonts w:asciiTheme="minorHAnsi" w:hAnsiTheme="minorHAnsi" w:cstheme="minorHAnsi"/>
          <w:sz w:val="16"/>
          <w:szCs w:val="16"/>
        </w:rPr>
        <w:t>, 106 Ohio St.3d 459, 465, 2005-Ohio-5521, ¶ 35-39</w:t>
      </w:r>
      <w:r w:rsidR="00527558" w:rsidRPr="00C3377D">
        <w:rPr>
          <w:rFonts w:asciiTheme="minorHAnsi" w:hAnsiTheme="minorHAnsi" w:cstheme="minorHAnsi"/>
          <w:sz w:val="16"/>
          <w:szCs w:val="16"/>
        </w:rPr>
        <w:t>.</w:t>
      </w:r>
    </w:p>
  </w:endnote>
  <w:endnote w:id="259">
    <w:p w14:paraId="56FFBEAD" w14:textId="31F9AD8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00527558" w:rsidRPr="00701AA1">
        <w:rPr>
          <w:rFonts w:asciiTheme="minorHAnsi" w:hAnsiTheme="minorHAnsi" w:cstheme="minorHAnsi"/>
          <w:i/>
          <w:iCs/>
          <w:sz w:val="16"/>
          <w:szCs w:val="16"/>
        </w:rPr>
        <w:t>See</w:t>
      </w:r>
      <w:r w:rsidR="00701AA1">
        <w:rPr>
          <w:rFonts w:asciiTheme="minorHAnsi" w:hAnsiTheme="minorHAnsi" w:cstheme="minorHAnsi"/>
          <w:i/>
          <w:iCs/>
          <w:sz w:val="16"/>
          <w:szCs w:val="16"/>
        </w:rPr>
        <w:t>,</w:t>
      </w:r>
      <w:r w:rsidR="00527558" w:rsidRPr="00701AA1">
        <w:rPr>
          <w:rFonts w:asciiTheme="minorHAnsi" w:hAnsiTheme="minorHAnsi" w:cstheme="minorHAnsi"/>
          <w:i/>
          <w:iCs/>
          <w:sz w:val="16"/>
          <w:szCs w:val="16"/>
        </w:rPr>
        <w:t xml:space="preserve"> e.g</w:t>
      </w:r>
      <w:r w:rsidR="00527558" w:rsidRPr="00C3377D">
        <w:rPr>
          <w:rFonts w:asciiTheme="minorHAnsi" w:hAnsiTheme="minorHAnsi" w:cstheme="minorHAnsi"/>
          <w:sz w:val="16"/>
          <w:szCs w:val="16"/>
        </w:rPr>
        <w:t>.</w:t>
      </w:r>
      <w:r w:rsidR="00701AA1">
        <w:rPr>
          <w:rFonts w:asciiTheme="minorHAnsi" w:hAnsiTheme="minorHAnsi" w:cstheme="minorHAnsi"/>
          <w:sz w:val="16"/>
          <w:szCs w:val="16"/>
        </w:rPr>
        <w:t>,</w:t>
      </w:r>
      <w:r w:rsidR="00527558" w:rsidRPr="00C3377D">
        <w:rPr>
          <w:rFonts w:asciiTheme="minorHAnsi" w:hAnsiTheme="minorHAnsi" w:cstheme="minorHAnsi"/>
          <w:sz w:val="16"/>
          <w:szCs w:val="16"/>
        </w:rPr>
        <w:t xml:space="preserve"> </w:t>
      </w:r>
      <w:hyperlink r:id="rId382" w:history="1">
        <w:r w:rsidRPr="00C3377D">
          <w:rPr>
            <w:rStyle w:val="Hyperlink"/>
            <w:rFonts w:asciiTheme="minorHAnsi" w:hAnsiTheme="minorHAnsi" w:cstheme="minorHAnsi"/>
            <w:i/>
            <w:sz w:val="16"/>
            <w:szCs w:val="16"/>
          </w:rPr>
          <w:t>State ex rel. Pietrangelo v. Avon Lake</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146 Ohio St.3d 292, 2016-Ohio-2974, ¶ 9</w:t>
      </w:r>
      <w:r w:rsidR="00527558" w:rsidRPr="00C3377D">
        <w:rPr>
          <w:rFonts w:asciiTheme="minorHAnsi" w:hAnsiTheme="minorHAnsi" w:cstheme="minorHAnsi"/>
          <w:sz w:val="16"/>
          <w:szCs w:val="16"/>
        </w:rPr>
        <w:t>.</w:t>
      </w:r>
    </w:p>
  </w:endnote>
  <w:endnote w:id="260">
    <w:p w14:paraId="2C42DB13" w14:textId="129F263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3" w:history="1">
        <w:r w:rsidRPr="00C3377D">
          <w:rPr>
            <w:rStyle w:val="Hyperlink"/>
            <w:rFonts w:asciiTheme="minorHAnsi" w:hAnsiTheme="minorHAnsi" w:cstheme="minorHAnsi"/>
            <w:i/>
            <w:sz w:val="16"/>
            <w:szCs w:val="16"/>
          </w:rPr>
          <w:t xml:space="preserve">State ex rel. Rocker v. Guernsey </w:t>
        </w:r>
        <w:r w:rsidRPr="00C3377D">
          <w:rPr>
            <w:rStyle w:val="Hyperlink"/>
            <w:rFonts w:asciiTheme="minorHAnsi" w:hAnsiTheme="minorHAnsi" w:cstheme="minorHAnsi"/>
            <w:i/>
            <w:sz w:val="16"/>
            <w:szCs w:val="16"/>
          </w:rPr>
          <w:t>Cty. Sheriff’s Office</w:t>
        </w:r>
      </w:hyperlink>
      <w:r w:rsidRPr="00C3377D">
        <w:rPr>
          <w:rFonts w:asciiTheme="minorHAnsi" w:hAnsiTheme="minorHAnsi" w:cstheme="minorHAnsi"/>
          <w:sz w:val="16"/>
          <w:szCs w:val="16"/>
        </w:rPr>
        <w:t>, 126 Ohio St.3d 224, 2010-Ohio-3288, ¶ 7.</w:t>
      </w:r>
    </w:p>
  </w:endnote>
  <w:endnote w:id="261">
    <w:p w14:paraId="1BDB34C8" w14:textId="23BCCB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4" w:history="1">
        <w:r w:rsidRPr="00C3377D">
          <w:rPr>
            <w:rStyle w:val="Hyperlink"/>
            <w:rFonts w:asciiTheme="minorHAnsi" w:hAnsiTheme="minorHAnsi" w:cstheme="minorHAnsi"/>
            <w:i/>
            <w:sz w:val="16"/>
            <w:szCs w:val="16"/>
          </w:rPr>
          <w:t>State ex rel. James v. Ohio State Univ.</w:t>
        </w:r>
      </w:hyperlink>
      <w:r w:rsidRPr="00C3377D">
        <w:rPr>
          <w:rFonts w:asciiTheme="minorHAnsi" w:hAnsiTheme="minorHAnsi" w:cstheme="minorHAnsi"/>
          <w:sz w:val="16"/>
          <w:szCs w:val="16"/>
        </w:rPr>
        <w:t xml:space="preserve">, 70 Ohio St.3d 168, 172 (1994).  NOTE:  </w:t>
      </w:r>
      <w:r w:rsidR="00527558" w:rsidRPr="00C3377D">
        <w:rPr>
          <w:rFonts w:asciiTheme="minorHAnsi" w:hAnsiTheme="minorHAnsi" w:cstheme="minorHAnsi"/>
          <w:sz w:val="16"/>
          <w:szCs w:val="16"/>
        </w:rPr>
        <w:t>t</w:t>
      </w:r>
      <w:r w:rsidRPr="00C3377D">
        <w:rPr>
          <w:rFonts w:asciiTheme="minorHAnsi" w:hAnsiTheme="minorHAnsi" w:cstheme="minorHAnsi"/>
          <w:sz w:val="16"/>
          <w:szCs w:val="16"/>
        </w:rPr>
        <w:t xml:space="preserve">he Supreme Court of Ohio has not authorized courts or other records custodians to create new exemptions to R.C. 149.43 based on a balancing of interests or generalized privacy concerns.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385" w:history="1">
        <w:r w:rsidRPr="00C3377D">
          <w:rPr>
            <w:rStyle w:val="Hyperlink"/>
            <w:rFonts w:asciiTheme="minorHAnsi" w:hAnsiTheme="minorHAnsi" w:cstheme="minorHAnsi"/>
            <w:i/>
            <w:sz w:val="16"/>
            <w:szCs w:val="16"/>
          </w:rPr>
          <w:t>State ex rel. WBNS TV, Inc. v. Dues</w:t>
        </w:r>
      </w:hyperlink>
      <w:r w:rsidRPr="00C3377D">
        <w:rPr>
          <w:rFonts w:asciiTheme="minorHAnsi" w:hAnsiTheme="minorHAnsi" w:cstheme="minorHAnsi"/>
          <w:sz w:val="16"/>
          <w:szCs w:val="16"/>
        </w:rPr>
        <w:t>, 101 Ohio St.3d 406, 2004-Ohio-1497, ¶ 31.</w:t>
      </w:r>
    </w:p>
  </w:endnote>
  <w:endnote w:id="262">
    <w:p w14:paraId="2BA82317" w14:textId="1735B3D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Franklin </w:t>
      </w:r>
      <w:r w:rsidRPr="00C3377D">
        <w:rPr>
          <w:rFonts w:asciiTheme="minorHAnsi" w:hAnsiTheme="minorHAnsi" w:cstheme="minorHAnsi"/>
          <w:i/>
          <w:sz w:val="16"/>
          <w:szCs w:val="16"/>
        </w:rPr>
        <w:t>Cty. Sheriff’s Dept. v. State Emp. Relations Bd.</w:t>
      </w:r>
      <w:r w:rsidRPr="00C3377D">
        <w:rPr>
          <w:rFonts w:asciiTheme="minorHAnsi" w:hAnsiTheme="minorHAnsi" w:cstheme="minorHAnsi"/>
          <w:sz w:val="16"/>
          <w:szCs w:val="16"/>
        </w:rPr>
        <w:t>, 63 Ohio St.3d 498, 502 (1992) (while categories of records designated in R.C. 4117.17 clearly are public records, all other records must still be analyzed under R.C. 149.43).</w:t>
      </w:r>
    </w:p>
  </w:endnote>
  <w:endnote w:id="263">
    <w:p w14:paraId="6C56F914" w14:textId="7043C79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6"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xml:space="preserve">, 135 Ohio St.3d 298, 2013-Ohio-761, ¶ 21-25; </w:t>
      </w:r>
      <w:hyperlink r:id="rId387" w:history="1">
        <w:r w:rsidRPr="00C3377D">
          <w:rPr>
            <w:rStyle w:val="Hyperlink"/>
            <w:rFonts w:asciiTheme="minorHAnsi" w:hAnsiTheme="minorHAnsi" w:cstheme="minorHAnsi"/>
            <w:i/>
            <w:sz w:val="16"/>
            <w:szCs w:val="16"/>
          </w:rPr>
          <w:t>State ex rel. Dawson v. Bloom-Carroll Local School Dist.</w:t>
        </w:r>
      </w:hyperlink>
      <w:r w:rsidRPr="00C3377D">
        <w:rPr>
          <w:rFonts w:asciiTheme="minorHAnsi" w:hAnsiTheme="minorHAnsi" w:cstheme="minorHAnsi"/>
          <w:sz w:val="16"/>
          <w:szCs w:val="16"/>
        </w:rPr>
        <w:t>, 131 Ohio St.3d 10, 2011-Ohio-6009, ¶ 29</w:t>
      </w:r>
      <w:r w:rsidR="00527558" w:rsidRPr="00C3377D">
        <w:rPr>
          <w:rFonts w:asciiTheme="minorHAnsi" w:hAnsiTheme="minorHAnsi" w:cstheme="minorHAnsi"/>
          <w:sz w:val="16"/>
          <w:szCs w:val="16"/>
        </w:rPr>
        <w:t>.</w:t>
      </w:r>
    </w:p>
  </w:endnote>
  <w:endnote w:id="264">
    <w:p w14:paraId="5F9E6F4C"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8" w:history="1">
        <w:r w:rsidRPr="00C3377D">
          <w:rPr>
            <w:rStyle w:val="Hyperlink"/>
            <w:rFonts w:asciiTheme="minorHAnsi" w:hAnsiTheme="minorHAnsi" w:cstheme="minorHAnsi"/>
            <w:i/>
            <w:sz w:val="16"/>
            <w:szCs w:val="16"/>
          </w:rPr>
          <w:t>State ex rel. Lanham v. DeWine</w:t>
        </w:r>
      </w:hyperlink>
      <w:r w:rsidRPr="00C3377D">
        <w:rPr>
          <w:rFonts w:asciiTheme="minorHAnsi" w:hAnsiTheme="minorHAnsi" w:cstheme="minorHAnsi"/>
          <w:sz w:val="16"/>
          <w:szCs w:val="16"/>
        </w:rPr>
        <w:t>, 135 Ohio St.3d 191, 2013-Ohio-199, ¶ 24.</w:t>
      </w:r>
    </w:p>
  </w:endnote>
  <w:endnote w:id="265">
    <w:p w14:paraId="5C209A56" w14:textId="061FB68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89" w:history="1">
        <w:r w:rsidRPr="00C3377D">
          <w:rPr>
            <w:rStyle w:val="Hyperlink"/>
            <w:rFonts w:asciiTheme="minorHAnsi" w:hAnsiTheme="minorHAnsi" w:cstheme="minorHAnsi"/>
            <w:sz w:val="16"/>
            <w:szCs w:val="16"/>
          </w:rPr>
          <w:t>R.C. 149.43(A)(1)(a)-(gg).</w:t>
        </w:r>
      </w:hyperlink>
    </w:p>
  </w:endnote>
  <w:endnote w:id="266">
    <w:p w14:paraId="172677BD" w14:textId="4A4FDE0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390" w:history="1">
        <w:r w:rsidRPr="00C3377D">
          <w:rPr>
            <w:rStyle w:val="Hyperlink"/>
            <w:rFonts w:asciiTheme="minorHAnsi" w:hAnsiTheme="minorHAnsi" w:cstheme="minorHAnsi"/>
            <w:sz w:val="16"/>
            <w:szCs w:val="16"/>
          </w:rPr>
          <w:t xml:space="preserve"> R.C. 149.43(A)(1)(a)</w:t>
        </w:r>
      </w:hyperlink>
      <w:r w:rsidRPr="00C3377D">
        <w:rPr>
          <w:rFonts w:asciiTheme="minorHAnsi" w:hAnsiTheme="minorHAnsi" w:cstheme="minorHAnsi"/>
          <w:sz w:val="16"/>
          <w:szCs w:val="16"/>
        </w:rPr>
        <w:t xml:space="preserve"> (applying Public Records Act definition of “medical records” at</w:t>
      </w:r>
      <w:hyperlink r:id="rId391" w:history="1">
        <w:r w:rsidRPr="00C3377D">
          <w:rPr>
            <w:rStyle w:val="Hyperlink"/>
            <w:rFonts w:asciiTheme="minorHAnsi" w:hAnsiTheme="minorHAnsi" w:cstheme="minorHAnsi"/>
            <w:sz w:val="16"/>
            <w:szCs w:val="16"/>
          </w:rPr>
          <w:t xml:space="preserve"> R.C. 149.43(A)(3)</w:t>
        </w:r>
      </w:hyperlink>
      <w:r w:rsidRPr="00C3377D">
        <w:rPr>
          <w:rFonts w:asciiTheme="minorHAnsi" w:hAnsiTheme="minorHAnsi" w:cstheme="minorHAnsi"/>
          <w:sz w:val="16"/>
          <w:szCs w:val="16"/>
        </w:rPr>
        <w:t>).</w:t>
      </w:r>
    </w:p>
  </w:endnote>
  <w:endnote w:id="267">
    <w:p w14:paraId="39CC409D" w14:textId="6812357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2" w:history="1">
        <w:r w:rsidRPr="00C3377D">
          <w:rPr>
            <w:rStyle w:val="Hyperlink"/>
            <w:rFonts w:asciiTheme="minorHAnsi" w:hAnsiTheme="minorHAnsi" w:cstheme="minorHAnsi"/>
            <w:sz w:val="16"/>
            <w:szCs w:val="16"/>
          </w:rPr>
          <w:t>R.C. 149.43(A)(3</w:t>
        </w:r>
      </w:hyperlink>
      <w:r w:rsidRPr="00C3377D">
        <w:rPr>
          <w:rFonts w:asciiTheme="minorHAnsi" w:hAnsiTheme="minorHAnsi" w:cstheme="minorHAnsi"/>
          <w:sz w:val="16"/>
          <w:szCs w:val="16"/>
        </w:rPr>
        <w:t xml:space="preserve">); </w:t>
      </w:r>
      <w:hyperlink r:id="rId393" w:history="1">
        <w:r w:rsidRPr="00C3377D">
          <w:rPr>
            <w:rStyle w:val="Hyperlink"/>
            <w:rFonts w:asciiTheme="minorHAnsi" w:hAnsiTheme="minorHAnsi" w:cstheme="minorHAnsi"/>
            <w:i/>
            <w:sz w:val="16"/>
            <w:szCs w:val="16"/>
          </w:rPr>
          <w:t>State ex rel. Strothers v. Wertheim</w:t>
        </w:r>
      </w:hyperlink>
      <w:r w:rsidRPr="00C3377D">
        <w:rPr>
          <w:rFonts w:asciiTheme="minorHAnsi" w:hAnsiTheme="minorHAnsi" w:cstheme="minorHAnsi"/>
          <w:sz w:val="16"/>
          <w:szCs w:val="16"/>
        </w:rPr>
        <w:t xml:space="preserve">, 80 Ohio St.3d 155, 158 (1997); </w:t>
      </w:r>
      <w:hyperlink r:id="rId394" w:history="1">
        <w:r w:rsidRPr="00C3377D">
          <w:rPr>
            <w:rStyle w:val="Hyperlink"/>
            <w:rFonts w:asciiTheme="minorHAnsi" w:hAnsiTheme="minorHAnsi" w:cstheme="minorHAnsi"/>
            <w:sz w:val="16"/>
            <w:szCs w:val="16"/>
          </w:rPr>
          <w:t xml:space="preserve">1999 Ohio </w:t>
        </w:r>
        <w:r w:rsidRPr="00C3377D">
          <w:rPr>
            <w:rStyle w:val="Hyperlink"/>
            <w:rFonts w:asciiTheme="minorHAnsi" w:hAnsiTheme="minorHAnsi" w:cstheme="minorHAnsi"/>
            <w:sz w:val="16"/>
            <w:szCs w:val="16"/>
          </w:rPr>
          <w:t>Atty.Gen.Ops. No. 06.</w:t>
        </w:r>
      </w:hyperlink>
    </w:p>
  </w:endnote>
  <w:endnote w:id="268">
    <w:p w14:paraId="6BD78E4A" w14:textId="1AE93CE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5" w:history="1">
        <w:r w:rsidRPr="00C3377D">
          <w:rPr>
            <w:rStyle w:val="Hyperlink"/>
            <w:rFonts w:asciiTheme="minorHAnsi" w:hAnsiTheme="minorHAnsi" w:cstheme="minorHAnsi"/>
            <w:sz w:val="16"/>
            <w:szCs w:val="16"/>
          </w:rPr>
          <w:t>R.C. 149.43(A)(3).</w:t>
        </w:r>
      </w:hyperlink>
    </w:p>
  </w:endnote>
  <w:endnote w:id="269">
    <w:p w14:paraId="477AA31F" w14:textId="1BD36C2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hyperlink r:id="rId396" w:history="1">
        <w:r w:rsidRPr="00C3377D">
          <w:rPr>
            <w:rStyle w:val="Hyperlink"/>
            <w:rFonts w:asciiTheme="minorHAnsi" w:hAnsiTheme="minorHAnsi" w:cstheme="minorHAnsi"/>
            <w:i/>
            <w:sz w:val="16"/>
            <w:szCs w:val="16"/>
          </w:rPr>
          <w:t xml:space="preserve">State ex rel. O’Shea &amp; Assocs. L.P.A. v. Cuyahoga Metro. </w:t>
        </w:r>
        <w:r w:rsidRPr="00C3377D">
          <w:rPr>
            <w:rStyle w:val="Hyperlink"/>
            <w:rFonts w:asciiTheme="minorHAnsi" w:hAnsiTheme="minorHAnsi" w:cstheme="minorHAnsi"/>
            <w:i/>
            <w:sz w:val="16"/>
            <w:szCs w:val="16"/>
          </w:rPr>
          <w:t>Hous. Auth.</w:t>
        </w:r>
      </w:hyperlink>
      <w:r w:rsidRPr="00C3377D">
        <w:rPr>
          <w:rFonts w:asciiTheme="minorHAnsi" w:hAnsiTheme="minorHAnsi" w:cstheme="minorHAnsi"/>
          <w:sz w:val="16"/>
          <w:szCs w:val="16"/>
        </w:rPr>
        <w:t xml:space="preserve">, 131 Ohio St.3d 149, 2012-Ohio-115, ¶ 41-43 (questionnaires and release authorizations generated to address lead exposure in city-owned housing not “medical records” despite touching on children’s medical histories); </w:t>
      </w:r>
      <w:hyperlink r:id="rId397" w:history="1">
        <w:r w:rsidRPr="00C3377D">
          <w:rPr>
            <w:rStyle w:val="Hyperlink"/>
            <w:rFonts w:asciiTheme="minorHAnsi" w:hAnsiTheme="minorHAnsi" w:cstheme="minorHAnsi"/>
            <w:i/>
            <w:sz w:val="16"/>
            <w:szCs w:val="16"/>
          </w:rPr>
          <w:t>State ex rel. Multimedia, Inc. v. Snowden</w:t>
        </w:r>
      </w:hyperlink>
      <w:r w:rsidRPr="00C3377D">
        <w:rPr>
          <w:rFonts w:asciiTheme="minorHAnsi" w:hAnsiTheme="minorHAnsi" w:cstheme="minorHAnsi"/>
          <w:sz w:val="16"/>
          <w:szCs w:val="16"/>
        </w:rPr>
        <w:t>, 72 Ohio St.3d 141, 144-45 (1995) (police psychologist report obtained to assist in the police hiring process not a medical record</w:t>
      </w:r>
      <w:r w:rsidR="00527558" w:rsidRPr="00C3377D">
        <w:rPr>
          <w:rFonts w:asciiTheme="minorHAnsi" w:hAnsiTheme="minorHAnsi" w:cstheme="minorHAnsi"/>
          <w:sz w:val="16"/>
          <w:szCs w:val="16"/>
        </w:rPr>
        <w:t>).</w:t>
      </w:r>
    </w:p>
  </w:endnote>
  <w:endnote w:id="270">
    <w:p w14:paraId="46D0A804" w14:textId="579B99C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42 U.S.C. 12101 et seq. (1990) (Americans with Disabilities Act); 29 U.S.C. 2601 et seq. (1993) (Family and Medical Leave Act).</w:t>
      </w:r>
    </w:p>
  </w:endnote>
  <w:endnote w:id="271">
    <w:p w14:paraId="4DCA6D6E" w14:textId="0EF11B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398" w:history="1">
        <w:r w:rsidRPr="00C3377D">
          <w:rPr>
            <w:rStyle w:val="Hyperlink"/>
            <w:rFonts w:asciiTheme="minorHAnsi" w:hAnsiTheme="minorHAnsi" w:cstheme="minorHAnsi"/>
            <w:sz w:val="16"/>
            <w:szCs w:val="16"/>
          </w:rPr>
          <w:t>R.C. 149.43(A)(11)</w:t>
        </w:r>
      </w:hyperlink>
      <w:r w:rsidRPr="00C3377D">
        <w:rPr>
          <w:rFonts w:asciiTheme="minorHAnsi" w:hAnsiTheme="minorHAnsi" w:cstheme="minorHAnsi"/>
          <w:sz w:val="16"/>
          <w:szCs w:val="16"/>
        </w:rPr>
        <w:t xml:space="preserve"> (“Community control sanction” has the same meaning as in</w:t>
      </w:r>
      <w:hyperlink r:id="rId399" w:history="1">
        <w:r w:rsidRPr="00C3377D">
          <w:rPr>
            <w:rStyle w:val="Hyperlink"/>
            <w:rFonts w:asciiTheme="minorHAnsi" w:hAnsiTheme="minorHAnsi" w:cstheme="minorHAnsi"/>
            <w:sz w:val="16"/>
            <w:szCs w:val="16"/>
          </w:rPr>
          <w:t xml:space="preserve"> R.C. 2929.01</w:t>
        </w:r>
      </w:hyperlink>
      <w:r w:rsidRPr="00C3377D">
        <w:rPr>
          <w:rFonts w:asciiTheme="minorHAnsi" w:hAnsiTheme="minorHAnsi" w:cstheme="minorHAnsi"/>
          <w:sz w:val="16"/>
          <w:szCs w:val="16"/>
        </w:rPr>
        <w:t>).</w:t>
      </w:r>
    </w:p>
  </w:endnote>
  <w:endnote w:id="272">
    <w:p w14:paraId="69D4F5D7" w14:textId="3435C7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0" w:history="1">
        <w:r w:rsidRPr="00C3377D">
          <w:rPr>
            <w:rStyle w:val="Hyperlink"/>
            <w:rFonts w:asciiTheme="minorHAnsi" w:hAnsiTheme="minorHAnsi" w:cstheme="minorHAnsi"/>
            <w:sz w:val="16"/>
            <w:szCs w:val="16"/>
          </w:rPr>
          <w:t>R.C. 149.43(A)(1)(b)</w:t>
        </w:r>
      </w:hyperlink>
      <w:r w:rsidRPr="00C3377D">
        <w:rPr>
          <w:rFonts w:asciiTheme="minorHAnsi" w:hAnsiTheme="minorHAnsi" w:cstheme="minorHAnsi"/>
          <w:sz w:val="16"/>
          <w:szCs w:val="16"/>
        </w:rPr>
        <w:t xml:space="preserve">; </w:t>
      </w:r>
      <w:hyperlink r:id="rId401" w:history="1">
        <w:r w:rsidRPr="00C3377D">
          <w:rPr>
            <w:rStyle w:val="Hyperlink"/>
            <w:rFonts w:asciiTheme="minorHAnsi" w:hAnsiTheme="minorHAnsi" w:cstheme="minorHAnsi"/>
            <w:sz w:val="16"/>
            <w:szCs w:val="16"/>
          </w:rPr>
          <w:t>R.C. 149.43(A)(12)</w:t>
        </w:r>
      </w:hyperlink>
      <w:r w:rsidRPr="00C3377D">
        <w:rPr>
          <w:rFonts w:asciiTheme="minorHAnsi" w:hAnsiTheme="minorHAnsi" w:cstheme="minorHAnsi"/>
          <w:sz w:val="16"/>
          <w:szCs w:val="16"/>
        </w:rPr>
        <w:t xml:space="preserve"> (“Post-release control sanction” has the same meaning as in </w:t>
      </w:r>
      <w:hyperlink r:id="rId402" w:history="1">
        <w:r w:rsidRPr="00C3377D">
          <w:rPr>
            <w:rStyle w:val="Hyperlink"/>
            <w:rFonts w:asciiTheme="minorHAnsi" w:hAnsiTheme="minorHAnsi" w:cstheme="minorHAnsi"/>
            <w:sz w:val="16"/>
            <w:szCs w:val="16"/>
          </w:rPr>
          <w:t>R.C. 2967.01</w:t>
        </w:r>
      </w:hyperlink>
      <w:r w:rsidRPr="00C3377D">
        <w:rPr>
          <w:rFonts w:asciiTheme="minorHAnsi" w:hAnsiTheme="minorHAnsi" w:cstheme="minorHAnsi"/>
          <w:sz w:val="16"/>
          <w:szCs w:val="16"/>
        </w:rPr>
        <w:t>).</w:t>
      </w:r>
    </w:p>
  </w:endnote>
  <w:endnote w:id="273">
    <w:p w14:paraId="29E833FD" w14:textId="5CFB949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Mothers Against Drunk Drivers v. </w:t>
      </w:r>
      <w:r w:rsidRPr="00C3377D">
        <w:rPr>
          <w:rFonts w:asciiTheme="minorHAnsi" w:hAnsiTheme="minorHAnsi" w:cstheme="minorHAnsi"/>
          <w:i/>
          <w:sz w:val="16"/>
          <w:szCs w:val="16"/>
        </w:rPr>
        <w:t>Gosser</w:t>
      </w:r>
      <w:r w:rsidRPr="00C3377D">
        <w:rPr>
          <w:rFonts w:asciiTheme="minorHAnsi" w:hAnsiTheme="minorHAnsi" w:cstheme="minorHAnsi"/>
          <w:sz w:val="16"/>
          <w:szCs w:val="16"/>
        </w:rPr>
        <w:t>, 20 Ohio St.3d 30, 32 (1985), fn.2.</w:t>
      </w:r>
    </w:p>
  </w:endnote>
  <w:endnote w:id="274">
    <w:p w14:paraId="4C1F468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Hadlock v. </w:t>
      </w:r>
      <w:r w:rsidRPr="00C3377D">
        <w:rPr>
          <w:rFonts w:asciiTheme="minorHAnsi" w:hAnsiTheme="minorHAnsi" w:cstheme="minorHAnsi"/>
          <w:i/>
          <w:sz w:val="16"/>
          <w:szCs w:val="16"/>
        </w:rPr>
        <w:t>Polito</w:t>
      </w:r>
      <w:r w:rsidRPr="00C3377D">
        <w:rPr>
          <w:rFonts w:asciiTheme="minorHAnsi" w:hAnsiTheme="minorHAnsi" w:cstheme="minorHAnsi"/>
          <w:sz w:val="16"/>
          <w:szCs w:val="16"/>
        </w:rPr>
        <w:t>, 74 Ohio App.3d 764, 766 (8th Dist. 1991).</w:t>
      </w:r>
    </w:p>
  </w:endnote>
  <w:endnote w:id="275">
    <w:p w14:paraId="66E280A9" w14:textId="5CBBD62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Lipschutz v. Shoemaker</w:t>
      </w:r>
      <w:r w:rsidRPr="00C3377D">
        <w:rPr>
          <w:rFonts w:asciiTheme="minorHAnsi" w:hAnsiTheme="minorHAnsi" w:cstheme="minorHAnsi"/>
          <w:sz w:val="16"/>
          <w:szCs w:val="16"/>
        </w:rPr>
        <w:t>, 49 Ohio St.3d 88, 90 (1990).</w:t>
      </w:r>
    </w:p>
  </w:endnote>
  <w:endnote w:id="276">
    <w:p w14:paraId="1A6ED3C0"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Gaines v. Adult Parole Auth.</w:t>
      </w:r>
      <w:r w:rsidRPr="00C3377D">
        <w:rPr>
          <w:rFonts w:asciiTheme="minorHAnsi" w:hAnsiTheme="minorHAnsi" w:cstheme="minorHAnsi"/>
          <w:sz w:val="16"/>
          <w:szCs w:val="16"/>
        </w:rPr>
        <w:t>, 5 Ohio St.3d 104 (1983).</w:t>
      </w:r>
    </w:p>
  </w:endnote>
  <w:endnote w:id="277">
    <w:p w14:paraId="28BE25FF" w14:textId="49EB17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3" w:history="1">
        <w:r w:rsidRPr="00C3377D">
          <w:rPr>
            <w:rStyle w:val="Hyperlink"/>
            <w:rFonts w:asciiTheme="minorHAnsi" w:hAnsiTheme="minorHAnsi" w:cstheme="minorHAnsi"/>
            <w:sz w:val="16"/>
            <w:szCs w:val="16"/>
          </w:rPr>
          <w:t>R.C. 149.43(A)(1)(c)</w:t>
        </w:r>
      </w:hyperlink>
      <w:r w:rsidRPr="00C3377D">
        <w:rPr>
          <w:rFonts w:asciiTheme="minorHAnsi" w:hAnsiTheme="minorHAnsi" w:cstheme="minorHAnsi"/>
          <w:sz w:val="16"/>
          <w:szCs w:val="16"/>
        </w:rPr>
        <w:t xml:space="preserve"> (referencing</w:t>
      </w:r>
      <w:hyperlink r:id="rId404" w:history="1">
        <w:r w:rsidRPr="00C3377D">
          <w:rPr>
            <w:rStyle w:val="Hyperlink"/>
            <w:rFonts w:asciiTheme="minorHAnsi" w:hAnsiTheme="minorHAnsi" w:cstheme="minorHAnsi"/>
            <w:sz w:val="16"/>
            <w:szCs w:val="16"/>
          </w:rPr>
          <w:t xml:space="preserve"> R.C. 2151.85</w:t>
        </w:r>
      </w:hyperlink>
      <w:r w:rsidRPr="00C3377D">
        <w:rPr>
          <w:rFonts w:asciiTheme="minorHAnsi" w:hAnsiTheme="minorHAnsi" w:cstheme="minorHAnsi"/>
          <w:sz w:val="16"/>
          <w:szCs w:val="16"/>
        </w:rPr>
        <w:t xml:space="preserve"> and </w:t>
      </w:r>
      <w:hyperlink r:id="rId405" w:history="1">
        <w:r w:rsidRPr="00C3377D">
          <w:rPr>
            <w:rStyle w:val="Hyperlink"/>
            <w:rFonts w:asciiTheme="minorHAnsi" w:hAnsiTheme="minorHAnsi" w:cstheme="minorHAnsi"/>
            <w:sz w:val="16"/>
            <w:szCs w:val="16"/>
          </w:rPr>
          <w:t>2919.121(C)</w:t>
        </w:r>
      </w:hyperlink>
      <w:r w:rsidR="00BD7B8F" w:rsidRPr="00C3377D">
        <w:rPr>
          <w:rFonts w:asciiTheme="minorHAnsi" w:hAnsiTheme="minorHAnsi" w:cstheme="minorHAnsi"/>
          <w:sz w:val="16"/>
          <w:szCs w:val="16"/>
        </w:rPr>
        <w:t>)</w:t>
      </w:r>
      <w:r w:rsidRPr="00C3377D">
        <w:rPr>
          <w:rFonts w:asciiTheme="minorHAnsi" w:hAnsiTheme="minorHAnsi" w:cstheme="minorHAnsi"/>
          <w:sz w:val="16"/>
          <w:szCs w:val="16"/>
        </w:rPr>
        <w:t>.</w:t>
      </w:r>
    </w:p>
  </w:endnote>
  <w:endnote w:id="278">
    <w:p w14:paraId="21C478C9" w14:textId="179427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6" w:history="1">
        <w:r w:rsidRPr="00C3377D">
          <w:rPr>
            <w:rStyle w:val="Hyperlink"/>
            <w:rFonts w:asciiTheme="minorHAnsi" w:hAnsiTheme="minorHAnsi" w:cstheme="minorHAnsi"/>
            <w:sz w:val="16"/>
            <w:szCs w:val="16"/>
          </w:rPr>
          <w:t>R.C. 149.43(A)(1)(d)</w:t>
        </w:r>
      </w:hyperlink>
      <w:r w:rsidRPr="00C3377D">
        <w:rPr>
          <w:rFonts w:asciiTheme="minorHAnsi" w:hAnsiTheme="minorHAnsi" w:cstheme="minorHAnsi"/>
          <w:sz w:val="16"/>
          <w:szCs w:val="16"/>
        </w:rPr>
        <w:t xml:space="preserve">; </w:t>
      </w:r>
      <w:hyperlink r:id="rId407" w:history="1">
        <w:r w:rsidRPr="00C3377D">
          <w:rPr>
            <w:rStyle w:val="Hyperlink"/>
            <w:rFonts w:asciiTheme="minorHAnsi" w:hAnsiTheme="minorHAnsi" w:cstheme="minorHAnsi"/>
            <w:sz w:val="16"/>
            <w:szCs w:val="16"/>
          </w:rPr>
          <w:t xml:space="preserve">R.C. 149.43(A)(1)(f) </w:t>
        </w:r>
      </w:hyperlink>
      <w:r w:rsidRPr="00C3377D">
        <w:rPr>
          <w:rFonts w:asciiTheme="minorHAnsi" w:hAnsiTheme="minorHAnsi" w:cstheme="minorHAnsi"/>
          <w:sz w:val="16"/>
          <w:szCs w:val="16"/>
        </w:rPr>
        <w:t xml:space="preserve">(referencing </w:t>
      </w:r>
      <w:hyperlink r:id="rId408" w:history="1">
        <w:r w:rsidRPr="00C3377D">
          <w:rPr>
            <w:rStyle w:val="Hyperlink"/>
            <w:rFonts w:asciiTheme="minorHAnsi" w:hAnsiTheme="minorHAnsi" w:cstheme="minorHAnsi"/>
            <w:sz w:val="16"/>
            <w:szCs w:val="16"/>
          </w:rPr>
          <w:t>R.C. 3107.52(A)</w:t>
        </w:r>
      </w:hyperlink>
      <w:r w:rsidRPr="00C3377D">
        <w:rPr>
          <w:rFonts w:asciiTheme="minorHAnsi" w:hAnsiTheme="minorHAnsi" w:cstheme="minorHAnsi"/>
          <w:sz w:val="16"/>
          <w:szCs w:val="16"/>
        </w:rPr>
        <w:t>).</w:t>
      </w:r>
    </w:p>
  </w:endnote>
  <w:endnote w:id="279">
    <w:p w14:paraId="095A85FF" w14:textId="1D5BFF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09" w:history="1">
        <w:r w:rsidRPr="00C3377D">
          <w:rPr>
            <w:rStyle w:val="Hyperlink"/>
            <w:rFonts w:asciiTheme="minorHAnsi" w:hAnsiTheme="minorHAnsi" w:cstheme="minorHAnsi"/>
            <w:sz w:val="16"/>
            <w:szCs w:val="16"/>
          </w:rPr>
          <w:t>R.C. 149.43(A)(1)(d)</w:t>
        </w:r>
      </w:hyperlink>
      <w:r w:rsidRPr="00C3377D">
        <w:rPr>
          <w:rFonts w:asciiTheme="minorHAnsi" w:hAnsiTheme="minorHAnsi" w:cstheme="minorHAnsi"/>
          <w:sz w:val="16"/>
          <w:szCs w:val="16"/>
        </w:rPr>
        <w:t xml:space="preserve"> (referencing </w:t>
      </w:r>
      <w:hyperlink r:id="rId410" w:history="1">
        <w:r w:rsidRPr="00C3377D">
          <w:rPr>
            <w:rStyle w:val="Hyperlink"/>
            <w:rFonts w:asciiTheme="minorHAnsi" w:hAnsiTheme="minorHAnsi" w:cstheme="minorHAnsi"/>
            <w:sz w:val="16"/>
            <w:szCs w:val="16"/>
          </w:rPr>
          <w:t>R.C. 3705.12</w:t>
        </w:r>
      </w:hyperlink>
      <w:r w:rsidRPr="00C3377D">
        <w:rPr>
          <w:rFonts w:asciiTheme="minorHAnsi" w:hAnsiTheme="minorHAnsi" w:cstheme="minorHAnsi"/>
          <w:sz w:val="16"/>
          <w:szCs w:val="16"/>
        </w:rPr>
        <w:t xml:space="preserve"> to </w:t>
      </w:r>
      <w:hyperlink r:id="rId411" w:history="1">
        <w:r w:rsidRPr="00C3377D">
          <w:rPr>
            <w:rStyle w:val="Hyperlink"/>
            <w:rFonts w:asciiTheme="minorHAnsi" w:hAnsiTheme="minorHAnsi" w:cstheme="minorHAnsi"/>
            <w:sz w:val="16"/>
            <w:szCs w:val="16"/>
          </w:rPr>
          <w:t>3705.124</w:t>
        </w:r>
      </w:hyperlink>
      <w:r w:rsidRPr="00C3377D">
        <w:rPr>
          <w:rFonts w:asciiTheme="minorHAnsi" w:hAnsiTheme="minorHAnsi" w:cstheme="minorHAnsi"/>
          <w:sz w:val="16"/>
          <w:szCs w:val="16"/>
        </w:rPr>
        <w:t>).</w:t>
      </w:r>
    </w:p>
  </w:endnote>
  <w:endnote w:id="280">
    <w:p w14:paraId="70D34C58" w14:textId="1957B2B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2" w:history="1">
        <w:r w:rsidRPr="00C3377D">
          <w:rPr>
            <w:rStyle w:val="Hyperlink"/>
            <w:rFonts w:asciiTheme="minorHAnsi" w:hAnsiTheme="minorHAnsi" w:cstheme="minorHAnsi"/>
            <w:sz w:val="16"/>
            <w:szCs w:val="16"/>
          </w:rPr>
          <w:t>R.C. 149.43(A)(1)(e)</w:t>
        </w:r>
      </w:hyperlink>
      <w:r w:rsidRPr="00C3377D">
        <w:rPr>
          <w:rFonts w:asciiTheme="minorHAnsi" w:hAnsiTheme="minorHAnsi" w:cstheme="minorHAnsi"/>
          <w:sz w:val="16"/>
          <w:szCs w:val="16"/>
        </w:rPr>
        <w:t xml:space="preserve"> (referencing </w:t>
      </w:r>
      <w:hyperlink r:id="rId413" w:history="1">
        <w:r w:rsidRPr="00C3377D">
          <w:rPr>
            <w:rStyle w:val="Hyperlink"/>
            <w:rFonts w:asciiTheme="minorHAnsi" w:hAnsiTheme="minorHAnsi" w:cstheme="minorHAnsi"/>
            <w:sz w:val="16"/>
            <w:szCs w:val="16"/>
          </w:rPr>
          <w:t>R.C. 3107.062</w:t>
        </w:r>
      </w:hyperlink>
      <w:r w:rsidRPr="00C3377D">
        <w:rPr>
          <w:rFonts w:asciiTheme="minorHAnsi" w:hAnsiTheme="minorHAnsi" w:cstheme="minorHAnsi"/>
          <w:sz w:val="16"/>
          <w:szCs w:val="16"/>
        </w:rPr>
        <w:t xml:space="preserve"> and</w:t>
      </w:r>
      <w:hyperlink r:id="rId414" w:history="1">
        <w:r w:rsidRPr="00C3377D">
          <w:rPr>
            <w:rStyle w:val="Hyperlink"/>
            <w:rFonts w:asciiTheme="minorHAnsi" w:hAnsiTheme="minorHAnsi" w:cstheme="minorHAnsi"/>
            <w:sz w:val="16"/>
            <w:szCs w:val="16"/>
          </w:rPr>
          <w:t xml:space="preserve"> R.C. 3111.69</w:t>
        </w:r>
      </w:hyperlink>
      <w:r w:rsidRPr="00C3377D">
        <w:rPr>
          <w:rFonts w:asciiTheme="minorHAnsi" w:hAnsiTheme="minorHAnsi" w:cstheme="minorHAnsi"/>
          <w:sz w:val="16"/>
          <w:szCs w:val="16"/>
        </w:rPr>
        <w:t>).</w:t>
      </w:r>
    </w:p>
  </w:endnote>
  <w:endnote w:id="281">
    <w:p w14:paraId="7524BB76" w14:textId="06EE236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5" w:history="1">
        <w:r w:rsidRPr="00C3377D">
          <w:rPr>
            <w:rStyle w:val="Hyperlink"/>
            <w:rFonts w:asciiTheme="minorHAnsi" w:hAnsiTheme="minorHAnsi" w:cstheme="minorHAnsi"/>
            <w:sz w:val="16"/>
            <w:szCs w:val="16"/>
          </w:rPr>
          <w:t>R.C. 3705.12.</w:t>
        </w:r>
      </w:hyperlink>
    </w:p>
  </w:endnote>
  <w:endnote w:id="282">
    <w:p w14:paraId="1D388280" w14:textId="3672EDA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6" w:history="1">
        <w:r w:rsidRPr="00C3377D">
          <w:rPr>
            <w:rStyle w:val="Hyperlink"/>
            <w:rFonts w:asciiTheme="minorHAnsi" w:hAnsiTheme="minorHAnsi" w:cstheme="minorHAnsi"/>
            <w:sz w:val="16"/>
            <w:szCs w:val="16"/>
          </w:rPr>
          <w:t>R.C. 3107.063</w:t>
        </w:r>
      </w:hyperlink>
      <w:r w:rsidRPr="00C3377D">
        <w:rPr>
          <w:rFonts w:asciiTheme="minorHAnsi" w:hAnsiTheme="minorHAnsi" w:cstheme="minorHAnsi"/>
          <w:sz w:val="16"/>
          <w:szCs w:val="16"/>
        </w:rPr>
        <w:t>.</w:t>
      </w:r>
    </w:p>
  </w:endnote>
  <w:endnote w:id="283">
    <w:p w14:paraId="1BF319E1" w14:textId="60DE939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7" w:history="1">
        <w:r w:rsidRPr="00C3377D">
          <w:rPr>
            <w:rStyle w:val="Hyperlink"/>
            <w:rFonts w:asciiTheme="minorHAnsi" w:hAnsiTheme="minorHAnsi" w:cstheme="minorHAnsi"/>
            <w:sz w:val="16"/>
            <w:szCs w:val="16"/>
          </w:rPr>
          <w:t>R.C. 3107.17(D)</w:t>
        </w:r>
      </w:hyperlink>
      <w:r w:rsidRPr="00C3377D">
        <w:rPr>
          <w:rFonts w:asciiTheme="minorHAnsi" w:hAnsiTheme="minorHAnsi" w:cstheme="minorHAnsi"/>
          <w:sz w:val="16"/>
          <w:szCs w:val="16"/>
        </w:rPr>
        <w:t>.</w:t>
      </w:r>
    </w:p>
  </w:endnote>
  <w:endnote w:id="284">
    <w:p w14:paraId="58349B1D" w14:textId="6CB1F2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18" w:history="1">
        <w:r w:rsidRPr="00C3377D">
          <w:rPr>
            <w:rStyle w:val="Hyperlink"/>
            <w:rFonts w:asciiTheme="minorHAnsi" w:hAnsiTheme="minorHAnsi" w:cstheme="minorHAnsi"/>
            <w:sz w:val="16"/>
            <w:szCs w:val="16"/>
          </w:rPr>
          <w:t>R.C. 149.43(A)(1)(f)</w:t>
        </w:r>
      </w:hyperlink>
      <w:r w:rsidRPr="00C3377D">
        <w:rPr>
          <w:rFonts w:asciiTheme="minorHAnsi" w:hAnsiTheme="minorHAnsi" w:cstheme="minorHAnsi"/>
          <w:sz w:val="16"/>
          <w:szCs w:val="16"/>
        </w:rPr>
        <w:t xml:space="preserve">; </w:t>
      </w:r>
      <w:hyperlink r:id="rId419" w:history="1">
        <w:r w:rsidRPr="00C3377D">
          <w:rPr>
            <w:rStyle w:val="Hyperlink"/>
            <w:rFonts w:asciiTheme="minorHAnsi" w:hAnsiTheme="minorHAnsi" w:cstheme="minorHAnsi"/>
            <w:sz w:val="16"/>
            <w:szCs w:val="16"/>
          </w:rPr>
          <w:t>R.C. 3107.38(B), (C)</w:t>
        </w:r>
      </w:hyperlink>
      <w:r w:rsidRPr="00C3377D">
        <w:rPr>
          <w:rFonts w:asciiTheme="minorHAnsi" w:hAnsiTheme="minorHAnsi" w:cstheme="minorHAnsi"/>
          <w:sz w:val="16"/>
          <w:szCs w:val="16"/>
        </w:rPr>
        <w:t>.</w:t>
      </w:r>
    </w:p>
  </w:endnote>
  <w:endnote w:id="285">
    <w:p w14:paraId="752F8139" w14:textId="6D20B99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0" w:history="1">
        <w:r w:rsidRPr="00C3377D">
          <w:rPr>
            <w:rStyle w:val="Hyperlink"/>
            <w:rFonts w:asciiTheme="minorHAnsi" w:hAnsiTheme="minorHAnsi" w:cstheme="minorHAnsi"/>
            <w:sz w:val="16"/>
            <w:szCs w:val="16"/>
          </w:rPr>
          <w:t>R.C. 149.43(A)(4)</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r w:rsidRPr="00334396">
        <w:rPr>
          <w:rFonts w:asciiTheme="minorHAnsi" w:hAnsiTheme="minorHAnsi" w:cstheme="minorHAnsi"/>
          <w:sz w:val="16"/>
          <w:szCs w:val="16"/>
        </w:rPr>
        <w:t>Chapter Three: F.5.d. “Trial preparation records.”</w:t>
      </w:r>
    </w:p>
  </w:endnote>
  <w:endnote w:id="286">
    <w:p w14:paraId="3A7D51C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1" w:history="1">
        <w:r w:rsidRPr="00C3377D">
          <w:rPr>
            <w:rStyle w:val="Hyperlink"/>
            <w:rFonts w:asciiTheme="minorHAnsi" w:hAnsiTheme="minorHAnsi" w:cstheme="minorHAnsi"/>
            <w:i/>
            <w:sz w:val="16"/>
            <w:szCs w:val="16"/>
          </w:rPr>
          <w:t>Cleveland Clinic Found. v. Levin</w:t>
        </w:r>
      </w:hyperlink>
      <w:r w:rsidRPr="00C3377D">
        <w:rPr>
          <w:rFonts w:asciiTheme="minorHAnsi" w:hAnsiTheme="minorHAnsi" w:cstheme="minorHAnsi"/>
          <w:sz w:val="16"/>
          <w:szCs w:val="16"/>
        </w:rPr>
        <w:t>, 120 Ohio St.3d 1210, 2008-Ohio-6197, ¶ 10.</w:t>
      </w:r>
    </w:p>
  </w:endnote>
  <w:endnote w:id="287">
    <w:p w14:paraId="74B82D77" w14:textId="4CBC936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2"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163 Ohio St.3d 217, 2020-Ohio-5585, ¶ 46-51.</w:t>
      </w:r>
    </w:p>
  </w:endnote>
  <w:endnote w:id="288">
    <w:p w14:paraId="58B52212" w14:textId="5BFD30B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3"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98 Ohio St.3d 126, 2002-Ohio-7041, ¶ 16-21.</w:t>
      </w:r>
    </w:p>
  </w:endnote>
  <w:endnote w:id="289">
    <w:p w14:paraId="37E8DF7C" w14:textId="36DE2E1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4" w:history="1">
        <w:r w:rsidRPr="00C3377D">
          <w:rPr>
            <w:rStyle w:val="Hyperlink"/>
            <w:rFonts w:asciiTheme="minorHAnsi" w:hAnsiTheme="minorHAnsi" w:cstheme="minorHAnsi"/>
            <w:i/>
            <w:sz w:val="16"/>
            <w:szCs w:val="16"/>
          </w:rPr>
          <w:t xml:space="preserve">State ex rel. O’Shea &amp; Assocs. v. Cuyahoga Metro. </w:t>
        </w:r>
        <w:r w:rsidRPr="00C3377D">
          <w:rPr>
            <w:rStyle w:val="Hyperlink"/>
            <w:rFonts w:asciiTheme="minorHAnsi" w:hAnsiTheme="minorHAnsi" w:cstheme="minorHAnsi"/>
            <w:i/>
            <w:sz w:val="16"/>
            <w:szCs w:val="16"/>
          </w:rPr>
          <w:t>Hous. Auth.</w:t>
        </w:r>
      </w:hyperlink>
      <w:r w:rsidRPr="00C3377D">
        <w:rPr>
          <w:rFonts w:asciiTheme="minorHAnsi" w:hAnsiTheme="minorHAnsi" w:cstheme="minorHAnsi"/>
          <w:sz w:val="16"/>
          <w:szCs w:val="16"/>
        </w:rPr>
        <w:t>, 131 Ohio St.3d 149, 2012-Ohio-115, ¶ 44;</w:t>
      </w:r>
      <w:r w:rsidRPr="00C3377D">
        <w:rPr>
          <w:rFonts w:asciiTheme="minorHAnsi" w:hAnsiTheme="minorHAnsi" w:cstheme="minorHAnsi"/>
          <w:i/>
          <w:sz w:val="16"/>
          <w:szCs w:val="16"/>
        </w:rPr>
        <w:t xml:space="preserve"> </w:t>
      </w:r>
      <w:hyperlink r:id="rId425" w:history="1">
        <w:r w:rsidRPr="00C3377D">
          <w:rPr>
            <w:rStyle w:val="Hyperlink"/>
            <w:rFonts w:asciiTheme="minorHAnsi" w:hAnsiTheme="minorHAnsi" w:cstheme="minorHAnsi"/>
            <w:i/>
            <w:sz w:val="16"/>
            <w:szCs w:val="16"/>
          </w:rPr>
          <w:t>Betkowski v. Trafis</w:t>
        </w:r>
      </w:hyperlink>
      <w:r w:rsidRPr="00C3377D">
        <w:rPr>
          <w:rFonts w:asciiTheme="minorHAnsi" w:hAnsiTheme="minorHAnsi" w:cstheme="minorHAnsi"/>
          <w:sz w:val="16"/>
          <w:szCs w:val="16"/>
        </w:rPr>
        <w:t>, 8th Dist. Cuyahoga No. 102540, 2015-Ohio-5139, ¶ 27 (trial preparation records exemption is inapplicable to records of a police investigation when the police had closed the investigation, no crime was charged or even contemplated, and thus trial was not reasonably anticipated).</w:t>
      </w:r>
    </w:p>
  </w:endnote>
  <w:endnote w:id="290">
    <w:p w14:paraId="7BD274CE" w14:textId="7283B77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6" w:history="1">
        <w:r w:rsidRPr="00C3377D">
          <w:rPr>
            <w:rStyle w:val="Hyperlink"/>
            <w:rFonts w:asciiTheme="minorHAnsi" w:hAnsiTheme="minorHAnsi" w:cstheme="minorHAnsi"/>
            <w:sz w:val="16"/>
            <w:szCs w:val="16"/>
          </w:rPr>
          <w:t>R.C. 149.43(A)(2).</w:t>
        </w:r>
      </w:hyperlink>
    </w:p>
  </w:endnote>
  <w:endnote w:id="291">
    <w:p w14:paraId="53D7FE18" w14:textId="0B9E2FA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7" w:history="1">
        <w:r w:rsidRPr="00C3377D">
          <w:rPr>
            <w:rStyle w:val="Hyperlink"/>
            <w:rFonts w:asciiTheme="minorHAnsi" w:hAnsiTheme="minorHAnsi" w:cstheme="minorHAnsi"/>
            <w:sz w:val="16"/>
            <w:szCs w:val="16"/>
          </w:rPr>
          <w:t>R.C. 149.43(A)(1)(</w:t>
        </w:r>
        <w:r w:rsidRPr="00C3377D">
          <w:rPr>
            <w:rStyle w:val="Hyperlink"/>
            <w:rFonts w:asciiTheme="minorHAnsi" w:hAnsiTheme="minorHAnsi" w:cstheme="minorHAnsi"/>
            <w:sz w:val="16"/>
            <w:szCs w:val="16"/>
          </w:rPr>
          <w:t>i).</w:t>
        </w:r>
      </w:hyperlink>
    </w:p>
  </w:endnote>
  <w:endnote w:id="292">
    <w:p w14:paraId="203BB0EB" w14:textId="3079D84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8" w:history="1">
        <w:r w:rsidRPr="00C3377D">
          <w:rPr>
            <w:rStyle w:val="Hyperlink"/>
            <w:rFonts w:asciiTheme="minorHAnsi" w:hAnsiTheme="minorHAnsi" w:cstheme="minorHAnsi"/>
            <w:sz w:val="16"/>
            <w:szCs w:val="16"/>
          </w:rPr>
          <w:t>R.C. 149.43(A)(1)(j).</w:t>
        </w:r>
      </w:hyperlink>
    </w:p>
  </w:endnote>
  <w:endnote w:id="293">
    <w:p w14:paraId="2CFEE4D0" w14:textId="74B04C5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29" w:history="1">
        <w:r w:rsidRPr="00C3377D">
          <w:rPr>
            <w:rStyle w:val="Hyperlink"/>
            <w:rFonts w:asciiTheme="minorHAnsi" w:hAnsiTheme="minorHAnsi" w:cstheme="minorHAnsi"/>
            <w:sz w:val="16"/>
            <w:szCs w:val="16"/>
          </w:rPr>
          <w:t>R.C. 149.43(A)(1)(k).</w:t>
        </w:r>
      </w:hyperlink>
    </w:p>
  </w:endnote>
  <w:endnote w:id="294">
    <w:p w14:paraId="499CD74E" w14:textId="408AA2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0" w:history="1">
        <w:r w:rsidRPr="00C3377D">
          <w:rPr>
            <w:rStyle w:val="Hyperlink"/>
            <w:rFonts w:asciiTheme="minorHAnsi" w:hAnsiTheme="minorHAnsi" w:cstheme="minorHAnsi"/>
            <w:sz w:val="16"/>
            <w:szCs w:val="16"/>
          </w:rPr>
          <w:t>R.C. 149.43(A)(1)(l)</w:t>
        </w:r>
      </w:hyperlink>
      <w:r w:rsidRPr="00C3377D">
        <w:rPr>
          <w:rFonts w:asciiTheme="minorHAnsi" w:hAnsiTheme="minorHAnsi" w:cstheme="minorHAnsi"/>
          <w:sz w:val="16"/>
          <w:szCs w:val="16"/>
        </w:rPr>
        <w:t xml:space="preserve">; </w:t>
      </w:r>
      <w:hyperlink r:id="rId431" w:history="1">
        <w:r w:rsidRPr="00C3377D">
          <w:rPr>
            <w:rStyle w:val="Hyperlink"/>
            <w:rFonts w:asciiTheme="minorHAnsi" w:hAnsiTheme="minorHAnsi" w:cstheme="minorHAnsi"/>
            <w:sz w:val="16"/>
            <w:szCs w:val="16"/>
          </w:rPr>
          <w:t>R.C. 5139.05(D)(1)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432" w:history="1">
        <w:r w:rsidRPr="00C3377D">
          <w:rPr>
            <w:rStyle w:val="Hyperlink"/>
            <w:rFonts w:asciiTheme="minorHAnsi" w:hAnsiTheme="minorHAnsi" w:cstheme="minorHAnsi"/>
            <w:sz w:val="16"/>
            <w:szCs w:val="16"/>
          </w:rPr>
          <w:t>R.C. 5139.05(D)</w:t>
        </w:r>
      </w:hyperlink>
      <w:r w:rsidRPr="00C3377D">
        <w:rPr>
          <w:rFonts w:asciiTheme="minorHAnsi" w:hAnsiTheme="minorHAnsi" w:cstheme="minorHAnsi"/>
          <w:sz w:val="16"/>
          <w:szCs w:val="16"/>
        </w:rPr>
        <w:t xml:space="preserve"> for all records maintained by DYS of children in its custody.</w:t>
      </w:r>
    </w:p>
  </w:endnote>
  <w:endnote w:id="295">
    <w:p w14:paraId="20FC99B7" w14:textId="74595F2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3" w:history="1">
        <w:r w:rsidRPr="00C3377D">
          <w:rPr>
            <w:rStyle w:val="Hyperlink"/>
            <w:rFonts w:asciiTheme="minorHAnsi" w:hAnsiTheme="minorHAnsi" w:cstheme="minorHAnsi"/>
            <w:sz w:val="16"/>
            <w:szCs w:val="16"/>
          </w:rPr>
          <w:t>R.C. 149.43(A)(1)(m)</w:t>
        </w:r>
      </w:hyperlink>
      <w:r w:rsidRPr="00C3377D">
        <w:rPr>
          <w:rFonts w:asciiTheme="minorHAnsi" w:hAnsiTheme="minorHAnsi" w:cstheme="minorHAnsi"/>
          <w:sz w:val="16"/>
          <w:szCs w:val="16"/>
        </w:rPr>
        <w:t xml:space="preserve">; </w:t>
      </w:r>
      <w:hyperlink r:id="rId434" w:history="1">
        <w:r w:rsidRPr="00C3377D">
          <w:rPr>
            <w:rStyle w:val="Hyperlink"/>
            <w:rFonts w:asciiTheme="minorHAnsi" w:hAnsiTheme="minorHAnsi" w:cstheme="minorHAnsi"/>
            <w:sz w:val="16"/>
            <w:szCs w:val="16"/>
          </w:rPr>
          <w:t>R.C. 149.43(A)(5)</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435" w:history="1">
        <w:r w:rsidRPr="00C3377D">
          <w:rPr>
            <w:rStyle w:val="Hyperlink"/>
            <w:rFonts w:asciiTheme="minorHAnsi" w:hAnsiTheme="minorHAnsi" w:cstheme="minorHAnsi"/>
            <w:i/>
            <w:sz w:val="16"/>
            <w:szCs w:val="16"/>
          </w:rPr>
          <w:t>Zamlen-Spotts v. Cleveland State Univ.</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2021-00087PQ, 2021-Ohio-2704, ¶ 9-18,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 xml:space="preserve">Ct. of Cl. No. 2021-00087PQ, 2021-Ohio-3128 (individual questionnaire responses to a university-conducted survey are exempted intellectual property records); </w:t>
      </w:r>
      <w:hyperlink r:id="rId436" w:history="1">
        <w:r w:rsidRPr="00C3377D">
          <w:rPr>
            <w:rStyle w:val="Hyperlink"/>
            <w:rFonts w:asciiTheme="minorHAnsi" w:hAnsiTheme="minorHAnsi" w:cstheme="minorHAnsi"/>
            <w:i/>
            <w:sz w:val="16"/>
            <w:szCs w:val="16"/>
          </w:rPr>
          <w:t>State ex rel. Physicians Commt. for Responsible Medicine v. Bd. of Trustees of Ohio State Univ.</w:t>
        </w:r>
      </w:hyperlink>
      <w:r w:rsidRPr="00C3377D">
        <w:rPr>
          <w:rFonts w:asciiTheme="minorHAnsi" w:hAnsiTheme="minorHAnsi" w:cstheme="minorHAnsi"/>
          <w:sz w:val="16"/>
          <w:szCs w:val="16"/>
        </w:rPr>
        <w:t xml:space="preserve">, 108 Ohio St.3d 288, 2006-Ohio-903, ¶ 33 (university’s records of spinal cord injury research are exempted intellectual property records because the limited sharing of the records with other researchers to further the advancement of spinal cord injury research did not mean that the records had been “publicly released”); </w:t>
      </w:r>
      <w:hyperlink r:id="rId437" w:history="1">
        <w:r w:rsidRPr="00C3377D">
          <w:rPr>
            <w:rStyle w:val="Hyperlink"/>
            <w:rFonts w:asciiTheme="minorHAnsi" w:hAnsiTheme="minorHAnsi" w:cstheme="minorHAnsi"/>
            <w:i/>
            <w:sz w:val="16"/>
            <w:szCs w:val="16"/>
          </w:rPr>
          <w:t>Citak v. Ohio State Univ</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2021-00563PQ, 2022-Ohio-1195, ¶ 2, 11,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2021-00563PQ, 2022-Ohio-1616 (individual results of university-administered COVID survey qualified as intellectual property records because they were compiled as part of scholarly research).</w:t>
      </w:r>
    </w:p>
  </w:endnote>
  <w:endnote w:id="296">
    <w:p w14:paraId="15A1B4CF" w14:textId="22049C2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8" w:history="1">
        <w:r w:rsidRPr="00C3377D">
          <w:rPr>
            <w:rStyle w:val="Hyperlink"/>
            <w:rFonts w:asciiTheme="minorHAnsi" w:hAnsiTheme="minorHAnsi" w:cstheme="minorHAnsi"/>
            <w:sz w:val="16"/>
            <w:szCs w:val="16"/>
          </w:rPr>
          <w:t>R.C. 149.43(A)(6)</w:t>
        </w:r>
      </w:hyperlink>
      <w:r w:rsidRPr="00C3377D">
        <w:rPr>
          <w:rFonts w:asciiTheme="minorHAnsi" w:hAnsiTheme="minorHAnsi" w:cstheme="minorHAnsi"/>
          <w:sz w:val="16"/>
          <w:szCs w:val="16"/>
        </w:rPr>
        <w:t xml:space="preserve"> (“‘Donor profile record’ means all records about donors or potential donors to a public institution of higher education….”).</w:t>
      </w:r>
    </w:p>
  </w:endnote>
  <w:endnote w:id="297">
    <w:p w14:paraId="77A22CEE" w14:textId="4B66C9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39" w:history="1">
        <w:r w:rsidRPr="00C3377D">
          <w:rPr>
            <w:rStyle w:val="Hyperlink"/>
            <w:rFonts w:asciiTheme="minorHAnsi" w:hAnsiTheme="minorHAnsi" w:cstheme="minorHAnsi"/>
            <w:sz w:val="16"/>
            <w:szCs w:val="16"/>
          </w:rPr>
          <w:t>R.C. 149.43(A)(6).</w:t>
        </w:r>
      </w:hyperlink>
    </w:p>
  </w:endnote>
  <w:endnote w:id="298">
    <w:p w14:paraId="23A2AE75" w14:textId="513D7D0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0" w:history="1">
        <w:r w:rsidRPr="00C3377D">
          <w:rPr>
            <w:rStyle w:val="Hyperlink"/>
            <w:rFonts w:asciiTheme="minorHAnsi" w:hAnsiTheme="minorHAnsi" w:cstheme="minorHAnsi"/>
            <w:sz w:val="16"/>
            <w:szCs w:val="16"/>
          </w:rPr>
          <w:t>R.C. 149.43(A)(1)(o)</w:t>
        </w:r>
      </w:hyperlink>
      <w:r w:rsidRPr="00C3377D">
        <w:rPr>
          <w:rFonts w:asciiTheme="minorHAnsi" w:hAnsiTheme="minorHAnsi" w:cstheme="minorHAnsi"/>
          <w:sz w:val="16"/>
          <w:szCs w:val="16"/>
        </w:rPr>
        <w:t xml:space="preserve"> (referencing</w:t>
      </w:r>
      <w:hyperlink r:id="rId441" w:history="1">
        <w:r w:rsidRPr="00C3377D">
          <w:rPr>
            <w:rStyle w:val="Hyperlink"/>
            <w:rFonts w:asciiTheme="minorHAnsi" w:hAnsiTheme="minorHAnsi" w:cstheme="minorHAnsi"/>
            <w:sz w:val="16"/>
            <w:szCs w:val="16"/>
          </w:rPr>
          <w:t xml:space="preserve"> R.C. 3121.894</w:t>
        </w:r>
      </w:hyperlink>
      <w:r w:rsidRPr="00C3377D">
        <w:rPr>
          <w:rFonts w:asciiTheme="minorHAnsi" w:hAnsiTheme="minorHAnsi" w:cstheme="minorHAnsi"/>
          <w:sz w:val="16"/>
          <w:szCs w:val="16"/>
        </w:rPr>
        <w:t>).</w:t>
      </w:r>
    </w:p>
  </w:endnote>
  <w:endnote w:id="299">
    <w:p w14:paraId="5D08CED9" w14:textId="324DE09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2" w:history="1">
        <w:r w:rsidRPr="00C3377D">
          <w:rPr>
            <w:rStyle w:val="Hyperlink"/>
            <w:rFonts w:asciiTheme="minorHAnsi" w:hAnsiTheme="minorHAnsi" w:cstheme="minorHAnsi"/>
            <w:sz w:val="16"/>
            <w:szCs w:val="16"/>
          </w:rPr>
          <w:t>R.C. 149.43(A)(1)(p)</w:t>
        </w:r>
      </w:hyperlink>
      <w:r w:rsidRPr="00C3377D">
        <w:rPr>
          <w:rFonts w:asciiTheme="minorHAnsi" w:hAnsiTheme="minorHAnsi" w:cstheme="minorHAnsi"/>
          <w:sz w:val="16"/>
          <w:szCs w:val="16"/>
        </w:rPr>
        <w:t xml:space="preserve">; </w:t>
      </w:r>
      <w:hyperlink r:id="rId443" w:history="1">
        <w:r w:rsidRPr="00C3377D">
          <w:rPr>
            <w:rStyle w:val="Hyperlink"/>
            <w:rFonts w:asciiTheme="minorHAnsi" w:hAnsiTheme="minorHAnsi" w:cstheme="minorHAnsi"/>
            <w:sz w:val="16"/>
            <w:szCs w:val="16"/>
          </w:rPr>
          <w:t>R.C. 149.43(A)(7)-(8).</w:t>
        </w:r>
      </w:hyperlink>
      <w:r w:rsidRPr="00C3377D">
        <w:rPr>
          <w:rFonts w:asciiTheme="minorHAnsi" w:hAnsiTheme="minorHAnsi" w:cstheme="minorHAnsi"/>
          <w:sz w:val="16"/>
          <w:szCs w:val="16"/>
        </w:rPr>
        <w:t xml:space="preserve"> </w:t>
      </w:r>
    </w:p>
  </w:endnote>
  <w:endnote w:id="300">
    <w:p w14:paraId="35F44BE6" w14:textId="421CC3E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4" w:history="1">
        <w:r w:rsidRPr="00C3377D">
          <w:rPr>
            <w:rStyle w:val="Hyperlink"/>
            <w:rFonts w:asciiTheme="minorHAnsi" w:hAnsiTheme="minorHAnsi" w:cstheme="minorHAnsi"/>
            <w:sz w:val="16"/>
            <w:szCs w:val="16"/>
          </w:rPr>
          <w:t>R.C. 149.43(A)(1)(q).</w:t>
        </w:r>
      </w:hyperlink>
    </w:p>
  </w:endnote>
  <w:endnote w:id="301">
    <w:p w14:paraId="78109410" w14:textId="44EE377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5" w:history="1">
        <w:r w:rsidRPr="00C3377D">
          <w:rPr>
            <w:rStyle w:val="Hyperlink"/>
            <w:rFonts w:asciiTheme="minorHAnsi" w:hAnsiTheme="minorHAnsi" w:cstheme="minorHAnsi"/>
            <w:sz w:val="16"/>
            <w:szCs w:val="16"/>
          </w:rPr>
          <w:t>R.C. 149.43(A)(1)(r)</w:t>
        </w:r>
      </w:hyperlink>
      <w:r w:rsidRPr="00C3377D">
        <w:rPr>
          <w:rFonts w:asciiTheme="minorHAnsi" w:hAnsiTheme="minorHAnsi" w:cstheme="minorHAnsi"/>
          <w:sz w:val="16"/>
          <w:szCs w:val="16"/>
        </w:rPr>
        <w:t xml:space="preserve">; </w:t>
      </w:r>
      <w:hyperlink r:id="rId446" w:history="1">
        <w:r w:rsidRPr="00C3377D">
          <w:rPr>
            <w:rStyle w:val="Hyperlink"/>
            <w:rFonts w:asciiTheme="minorHAnsi" w:hAnsiTheme="minorHAnsi" w:cstheme="minorHAnsi"/>
            <w:sz w:val="16"/>
            <w:szCs w:val="16"/>
          </w:rPr>
          <w:t>R.C. 149.43(A)(10).</w:t>
        </w:r>
      </w:hyperlink>
    </w:p>
  </w:endnote>
  <w:endnote w:id="302">
    <w:p w14:paraId="2F0D1E07" w14:textId="004B447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7" w:history="1">
        <w:r w:rsidRPr="00C3377D">
          <w:rPr>
            <w:rStyle w:val="Hyperlink"/>
            <w:rFonts w:asciiTheme="minorHAnsi" w:hAnsiTheme="minorHAnsi" w:cstheme="minorHAnsi"/>
            <w:sz w:val="16"/>
            <w:szCs w:val="16"/>
          </w:rPr>
          <w:t>R.C. 149.43(A)(1)(s)</w:t>
        </w:r>
      </w:hyperlink>
      <w:r w:rsidRPr="00C3377D">
        <w:rPr>
          <w:rFonts w:asciiTheme="minorHAnsi" w:hAnsiTheme="minorHAnsi" w:cstheme="minorHAnsi"/>
          <w:sz w:val="16"/>
          <w:szCs w:val="16"/>
        </w:rPr>
        <w:t xml:space="preserve"> (referencing </w:t>
      </w:r>
      <w:hyperlink r:id="rId448" w:history="1">
        <w:r w:rsidRPr="00754EF5">
          <w:rPr>
            <w:rStyle w:val="Hyperlink"/>
            <w:rFonts w:asciiTheme="minorHAnsi" w:hAnsiTheme="minorHAnsi" w:cstheme="minorHAnsi"/>
            <w:sz w:val="16"/>
            <w:szCs w:val="16"/>
          </w:rPr>
          <w:t>R.C. 307.621</w:t>
        </w:r>
      </w:hyperlink>
      <w:r w:rsidRPr="00C3377D">
        <w:rPr>
          <w:rFonts w:asciiTheme="minorHAnsi" w:hAnsiTheme="minorHAnsi" w:cstheme="minorHAnsi"/>
          <w:sz w:val="16"/>
          <w:szCs w:val="16"/>
        </w:rPr>
        <w:t xml:space="preserve"> - 629).</w:t>
      </w:r>
    </w:p>
  </w:endnote>
  <w:endnote w:id="303">
    <w:p w14:paraId="2545C1E5" w14:textId="72B6B6C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49" w:history="1">
        <w:r w:rsidRPr="00C3377D">
          <w:rPr>
            <w:rStyle w:val="Hyperlink"/>
            <w:rFonts w:asciiTheme="minorHAnsi" w:hAnsiTheme="minorHAnsi" w:cstheme="minorHAnsi"/>
            <w:sz w:val="16"/>
            <w:szCs w:val="16"/>
          </w:rPr>
          <w:t>R.C. 149.43(A)(1)(t)</w:t>
        </w:r>
      </w:hyperlink>
      <w:r w:rsidRPr="00C3377D">
        <w:rPr>
          <w:rFonts w:asciiTheme="minorHAnsi" w:hAnsiTheme="minorHAnsi" w:cstheme="minorHAnsi"/>
          <w:sz w:val="16"/>
          <w:szCs w:val="16"/>
        </w:rPr>
        <w:t xml:space="preserve"> (referencing </w:t>
      </w:r>
      <w:hyperlink r:id="rId450" w:history="1">
        <w:r w:rsidRPr="00C3377D">
          <w:rPr>
            <w:rStyle w:val="Hyperlink"/>
            <w:rFonts w:asciiTheme="minorHAnsi" w:hAnsiTheme="minorHAnsi" w:cstheme="minorHAnsi"/>
            <w:sz w:val="16"/>
            <w:szCs w:val="16"/>
          </w:rPr>
          <w:t>R.C. 5153.171</w:t>
        </w:r>
      </w:hyperlink>
      <w:r w:rsidRPr="00C3377D">
        <w:rPr>
          <w:rFonts w:asciiTheme="minorHAnsi" w:hAnsiTheme="minorHAnsi" w:cstheme="minorHAnsi"/>
          <w:sz w:val="16"/>
          <w:szCs w:val="16"/>
        </w:rPr>
        <w:t>).</w:t>
      </w:r>
    </w:p>
  </w:endnote>
  <w:endnote w:id="304">
    <w:p w14:paraId="002C2F62" w14:textId="1E9A0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1" w:history="1">
        <w:r w:rsidRPr="00C3377D">
          <w:rPr>
            <w:rStyle w:val="Hyperlink"/>
            <w:rFonts w:asciiTheme="minorHAnsi" w:hAnsiTheme="minorHAnsi" w:cstheme="minorHAnsi"/>
            <w:sz w:val="16"/>
            <w:szCs w:val="16"/>
          </w:rPr>
          <w:t>R.C. 149.43(A)(1)(u)</w:t>
        </w:r>
      </w:hyperlink>
      <w:r w:rsidRPr="00C3377D">
        <w:rPr>
          <w:rFonts w:asciiTheme="minorHAnsi" w:hAnsiTheme="minorHAnsi" w:cstheme="minorHAnsi"/>
          <w:sz w:val="16"/>
          <w:szCs w:val="16"/>
        </w:rPr>
        <w:t xml:space="preserve"> (referencing </w:t>
      </w:r>
      <w:hyperlink r:id="rId452" w:history="1">
        <w:r w:rsidRPr="00C3377D">
          <w:rPr>
            <w:rStyle w:val="Hyperlink"/>
            <w:rFonts w:asciiTheme="minorHAnsi" w:hAnsiTheme="minorHAnsi" w:cstheme="minorHAnsi"/>
            <w:sz w:val="16"/>
            <w:szCs w:val="16"/>
          </w:rPr>
          <w:t>R.C. 4751.15</w:t>
        </w:r>
      </w:hyperlink>
      <w:r w:rsidRPr="00C3377D">
        <w:rPr>
          <w:rFonts w:asciiTheme="minorHAnsi" w:hAnsiTheme="minorHAnsi" w:cstheme="minorHAnsi"/>
          <w:sz w:val="16"/>
          <w:szCs w:val="16"/>
        </w:rPr>
        <w:t>).</w:t>
      </w:r>
    </w:p>
  </w:endnote>
  <w:endnote w:id="305">
    <w:p w14:paraId="5712CC9F" w14:textId="08663E4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3" w:history="1">
        <w:r w:rsidRPr="00C3377D">
          <w:rPr>
            <w:rStyle w:val="Hyperlink"/>
            <w:rFonts w:asciiTheme="minorHAnsi" w:hAnsiTheme="minorHAnsi" w:cstheme="minorHAnsi"/>
            <w:sz w:val="16"/>
            <w:szCs w:val="16"/>
          </w:rPr>
          <w:t>R.C. 149.43(A)(1)(v)</w:t>
        </w:r>
      </w:hyperlink>
      <w:r w:rsidRPr="00C3377D">
        <w:rPr>
          <w:rFonts w:asciiTheme="minorHAnsi" w:hAnsiTheme="minorHAnsi" w:cstheme="minorHAnsi"/>
          <w:sz w:val="16"/>
          <w:szCs w:val="16"/>
        </w:rPr>
        <w:t>.</w:t>
      </w:r>
    </w:p>
  </w:endnote>
  <w:endnote w:id="306">
    <w:p w14:paraId="5740ED21" w14:textId="18E8A31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Lindsay v. Dwyer</w:t>
      </w:r>
      <w:r w:rsidRPr="00C3377D">
        <w:rPr>
          <w:rFonts w:asciiTheme="minorHAnsi" w:hAnsiTheme="minorHAnsi" w:cstheme="minorHAnsi"/>
          <w:sz w:val="16"/>
          <w:szCs w:val="16"/>
        </w:rPr>
        <w:t xml:space="preserve">, 108 Ohio App.3d 462, 466-467 (10th Dist. 1996) (State Teachers Retirement System properly denied access to beneficiary form pursuant to Ohio Administrative Code); </w:t>
      </w:r>
      <w:hyperlink r:id="rId454" w:history="1">
        <w:r w:rsidRPr="00C3377D">
          <w:rPr>
            <w:rStyle w:val="Hyperlink"/>
            <w:rFonts w:asciiTheme="minorHAnsi" w:hAnsiTheme="minorHAnsi" w:cstheme="minorHAnsi"/>
            <w:sz w:val="16"/>
            <w:szCs w:val="16"/>
          </w:rPr>
          <w:t xml:space="preserve">2000 Ohio </w:t>
        </w:r>
        <w:r w:rsidRPr="00C3377D">
          <w:rPr>
            <w:rStyle w:val="Hyperlink"/>
            <w:rFonts w:asciiTheme="minorHAnsi" w:hAnsiTheme="minorHAnsi" w:cstheme="minorHAnsi"/>
            <w:sz w:val="16"/>
            <w:szCs w:val="16"/>
          </w:rPr>
          <w:t>Atty.Gen.Ops. No. 036</w:t>
        </w:r>
      </w:hyperlink>
      <w:r w:rsidRPr="00C3377D">
        <w:rPr>
          <w:rFonts w:asciiTheme="minorHAnsi" w:hAnsiTheme="minorHAnsi" w:cstheme="minorHAnsi"/>
          <w:sz w:val="16"/>
          <w:szCs w:val="16"/>
        </w:rPr>
        <w:t xml:space="preserve"> (federal regulation</w:t>
      </w:r>
      <w:r w:rsidR="00AC3082" w:rsidRPr="00C3377D">
        <w:rPr>
          <w:rFonts w:asciiTheme="minorHAnsi" w:hAnsiTheme="minorHAnsi" w:cstheme="minorHAnsi"/>
          <w:sz w:val="16"/>
          <w:szCs w:val="16"/>
        </w:rPr>
        <w:t xml:space="preserve"> prohibits Governor’s Office of Veterans Affairs from releasing</w:t>
      </w:r>
      <w:r w:rsidRPr="00C3377D">
        <w:rPr>
          <w:rFonts w:asciiTheme="minorHAnsi" w:hAnsiTheme="minorHAnsi" w:cstheme="minorHAnsi"/>
          <w:sz w:val="16"/>
          <w:szCs w:val="16"/>
        </w:rPr>
        <w:t xml:space="preserve"> service member’s discharge certificate prohibited from release</w:t>
      </w:r>
      <w:r w:rsidR="00AC3082" w:rsidRPr="00C3377D">
        <w:rPr>
          <w:rFonts w:asciiTheme="minorHAnsi" w:hAnsiTheme="minorHAnsi" w:cstheme="minorHAnsi"/>
          <w:sz w:val="16"/>
          <w:szCs w:val="16"/>
        </w:rPr>
        <w:t xml:space="preserve"> </w:t>
      </w:r>
      <w:r w:rsidRPr="00C3377D">
        <w:rPr>
          <w:rFonts w:asciiTheme="minorHAnsi" w:hAnsiTheme="minorHAnsi" w:cstheme="minorHAnsi"/>
          <w:sz w:val="16"/>
          <w:szCs w:val="16"/>
        </w:rPr>
        <w:t>without service member’s written consent).</w:t>
      </w:r>
    </w:p>
  </w:endnote>
  <w:endnote w:id="307">
    <w:p w14:paraId="70D5DF6E" w14:textId="28BA178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5" w:history="1">
        <w:r w:rsidRPr="00C3377D">
          <w:rPr>
            <w:rStyle w:val="Hyperlink"/>
            <w:rFonts w:asciiTheme="minorHAnsi" w:hAnsiTheme="minorHAnsi" w:cstheme="minorHAnsi"/>
            <w:i/>
            <w:sz w:val="16"/>
            <w:szCs w:val="16"/>
          </w:rPr>
          <w:t>Columbus &amp; Southern Ohio Elec. Co. v. Indus. Comm.</w:t>
        </w:r>
        <w:r w:rsidRPr="00C3377D">
          <w:rPr>
            <w:rStyle w:val="Hyperlink"/>
            <w:rFonts w:asciiTheme="minorHAnsi" w:hAnsiTheme="minorHAnsi" w:cstheme="minorHAnsi"/>
            <w:sz w:val="16"/>
            <w:szCs w:val="16"/>
          </w:rPr>
          <w:t>, 64 Ohio St.3d 119, 122 (1992)</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Doyle v. Ohio Bur. of Motor Vehicles</w:t>
      </w:r>
      <w:r w:rsidRPr="00C3377D">
        <w:rPr>
          <w:rFonts w:asciiTheme="minorHAnsi" w:hAnsiTheme="minorHAnsi" w:cstheme="minorHAnsi"/>
          <w:sz w:val="16"/>
          <w:szCs w:val="16"/>
        </w:rPr>
        <w:t xml:space="preserve">, 52 Ohio St.3d 46, 48 (1990);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DeBoe v. Indus. Comm.</w:t>
      </w:r>
      <w:r w:rsidRPr="00C3377D">
        <w:rPr>
          <w:rFonts w:asciiTheme="minorHAnsi" w:hAnsiTheme="minorHAnsi" w:cstheme="minorHAnsi"/>
          <w:sz w:val="16"/>
          <w:szCs w:val="16"/>
        </w:rPr>
        <w:t xml:space="preserve">, 161 Ohio St. 67 (1954), paragraph one of the </w:t>
      </w:r>
      <w:r w:rsidRPr="00C3377D">
        <w:rPr>
          <w:rFonts w:asciiTheme="minorHAnsi" w:hAnsiTheme="minorHAnsi" w:cstheme="minorHAnsi"/>
          <w:sz w:val="16"/>
          <w:szCs w:val="16"/>
        </w:rPr>
        <w:t>syllabus.</w:t>
      </w:r>
    </w:p>
  </w:endnote>
  <w:endnote w:id="308">
    <w:p w14:paraId="57E973FF" w14:textId="2FB398E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Gallon &amp; Takacs Co., L.P.A. v. Conrad</w:t>
      </w:r>
      <w:r w:rsidRPr="00C3377D">
        <w:rPr>
          <w:rFonts w:asciiTheme="minorHAnsi" w:hAnsiTheme="minorHAnsi" w:cstheme="minorHAnsi"/>
          <w:sz w:val="16"/>
          <w:szCs w:val="16"/>
        </w:rPr>
        <w:t>, 123 Ohio App.3d 554, 560-61 (10th Dist. 1997) (Bureau of Workers’ Compensation administrative rule prohibiting release of managed care organization applications was unauthorized attempt to create exemption).</w:t>
      </w:r>
    </w:p>
  </w:endnote>
  <w:endnote w:id="309">
    <w:p w14:paraId="3213F35A" w14:textId="24894B1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6" w:history="1">
        <w:r w:rsidRPr="00C3377D">
          <w:rPr>
            <w:rStyle w:val="Hyperlink"/>
            <w:rFonts w:asciiTheme="minorHAnsi" w:hAnsiTheme="minorHAnsi" w:cstheme="minorHAnsi"/>
            <w:sz w:val="16"/>
            <w:szCs w:val="16"/>
          </w:rPr>
          <w:t>R.C. 149.43(A)(1)(w)</w:t>
        </w:r>
      </w:hyperlink>
      <w:r w:rsidRPr="00C3377D">
        <w:rPr>
          <w:rFonts w:asciiTheme="minorHAnsi" w:hAnsiTheme="minorHAnsi" w:cstheme="minorHAnsi"/>
          <w:sz w:val="16"/>
          <w:szCs w:val="16"/>
        </w:rPr>
        <w:t xml:space="preserve"> (referencing </w:t>
      </w:r>
      <w:hyperlink r:id="rId457" w:history="1">
        <w:r w:rsidRPr="00C3377D">
          <w:rPr>
            <w:rStyle w:val="Hyperlink"/>
            <w:rFonts w:asciiTheme="minorHAnsi" w:hAnsiTheme="minorHAnsi" w:cstheme="minorHAnsi"/>
            <w:sz w:val="16"/>
            <w:szCs w:val="16"/>
          </w:rPr>
          <w:t>R.C. 150.01</w:t>
        </w:r>
      </w:hyperlink>
      <w:r w:rsidRPr="00C3377D">
        <w:rPr>
          <w:rFonts w:asciiTheme="minorHAnsi" w:hAnsiTheme="minorHAnsi" w:cstheme="minorHAnsi"/>
          <w:sz w:val="16"/>
          <w:szCs w:val="16"/>
        </w:rPr>
        <w:t>).</w:t>
      </w:r>
    </w:p>
  </w:endnote>
  <w:endnote w:id="310">
    <w:p w14:paraId="426B84E2" w14:textId="4CEB6CB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8" w:history="1">
        <w:r w:rsidRPr="00C3377D">
          <w:rPr>
            <w:rStyle w:val="Hyperlink"/>
            <w:rFonts w:asciiTheme="minorHAnsi" w:hAnsiTheme="minorHAnsi" w:cstheme="minorHAnsi"/>
            <w:sz w:val="16"/>
            <w:szCs w:val="16"/>
          </w:rPr>
          <w:t>R.C. 149.43(A)(1)(x).</w:t>
        </w:r>
      </w:hyperlink>
    </w:p>
  </w:endnote>
  <w:endnote w:id="311">
    <w:p w14:paraId="31D5ACFE" w14:textId="592FB84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59" w:history="1">
        <w:r w:rsidRPr="00C3377D">
          <w:rPr>
            <w:rStyle w:val="Hyperlink"/>
            <w:rFonts w:asciiTheme="minorHAnsi" w:hAnsiTheme="minorHAnsi" w:cstheme="minorHAnsi"/>
            <w:sz w:val="16"/>
            <w:szCs w:val="16"/>
          </w:rPr>
          <w:t>R.C. 149.43(A)(1)(y)</w:t>
        </w:r>
      </w:hyperlink>
      <w:r w:rsidRPr="00C3377D">
        <w:rPr>
          <w:rFonts w:asciiTheme="minorHAnsi" w:hAnsiTheme="minorHAnsi" w:cstheme="minorHAnsi"/>
          <w:sz w:val="16"/>
          <w:szCs w:val="16"/>
        </w:rPr>
        <w:t xml:space="preserve"> (referencing </w:t>
      </w:r>
      <w:hyperlink r:id="rId460" w:history="1">
        <w:r w:rsidRPr="00C3377D">
          <w:rPr>
            <w:rStyle w:val="Hyperlink"/>
            <w:rFonts w:asciiTheme="minorHAnsi" w:hAnsiTheme="minorHAnsi" w:cstheme="minorHAnsi"/>
            <w:sz w:val="16"/>
            <w:szCs w:val="16"/>
          </w:rPr>
          <w:t>R.C. 5101.29</w:t>
        </w:r>
      </w:hyperlink>
      <w:r w:rsidRPr="00C3377D">
        <w:rPr>
          <w:rFonts w:asciiTheme="minorHAnsi" w:hAnsiTheme="minorHAnsi" w:cstheme="minorHAnsi"/>
          <w:sz w:val="16"/>
          <w:szCs w:val="16"/>
        </w:rPr>
        <w:t>).</w:t>
      </w:r>
    </w:p>
  </w:endnote>
  <w:endnote w:id="312">
    <w:p w14:paraId="6D5A4C69" w14:textId="3E2583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1" w:history="1">
        <w:r w:rsidRPr="00C3377D">
          <w:rPr>
            <w:rStyle w:val="Hyperlink"/>
            <w:rFonts w:asciiTheme="minorHAnsi" w:hAnsiTheme="minorHAnsi" w:cstheme="minorHAnsi"/>
            <w:sz w:val="16"/>
            <w:szCs w:val="16"/>
          </w:rPr>
          <w:t xml:space="preserve">R.C. 149.43(A)(1)(z) </w:t>
        </w:r>
      </w:hyperlink>
      <w:r w:rsidRPr="00C3377D">
        <w:rPr>
          <w:rFonts w:asciiTheme="minorHAnsi" w:hAnsiTheme="minorHAnsi" w:cstheme="minorHAnsi"/>
          <w:sz w:val="16"/>
          <w:szCs w:val="16"/>
        </w:rPr>
        <w:t xml:space="preserve">(referencing </w:t>
      </w:r>
      <w:hyperlink r:id="rId462" w:history="1">
        <w:r w:rsidRPr="00C3377D">
          <w:rPr>
            <w:rStyle w:val="Hyperlink"/>
            <w:rFonts w:asciiTheme="minorHAnsi" w:hAnsiTheme="minorHAnsi" w:cstheme="minorHAnsi"/>
            <w:sz w:val="16"/>
            <w:szCs w:val="16"/>
          </w:rPr>
          <w:t>R.C. 317.24</w:t>
        </w:r>
      </w:hyperlink>
      <w:r w:rsidRPr="00C3377D">
        <w:rPr>
          <w:rFonts w:asciiTheme="minorHAnsi" w:hAnsiTheme="minorHAnsi" w:cstheme="minorHAnsi"/>
          <w:sz w:val="16"/>
          <w:szCs w:val="16"/>
        </w:rPr>
        <w:t>).</w:t>
      </w:r>
    </w:p>
  </w:endnote>
  <w:endnote w:id="313">
    <w:p w14:paraId="3C324491" w14:textId="38E86E6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3"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1)(aa)</w:t>
        </w:r>
      </w:hyperlink>
      <w:r w:rsidR="009752B6" w:rsidRPr="00C3377D">
        <w:rPr>
          <w:rFonts w:asciiTheme="minorHAnsi" w:hAnsiTheme="minorHAnsi" w:cstheme="minorHAnsi"/>
          <w:sz w:val="16"/>
          <w:szCs w:val="16"/>
        </w:rPr>
        <w:t>.</w:t>
      </w:r>
    </w:p>
  </w:endnote>
  <w:endnote w:id="314">
    <w:p w14:paraId="6F7D4238" w14:textId="2820E9E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4"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1)(bb).</w:t>
        </w:r>
      </w:hyperlink>
    </w:p>
  </w:endnote>
  <w:endnote w:id="315">
    <w:p w14:paraId="33624C7D" w14:textId="42267BD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65" w:history="1">
        <w:r w:rsidRPr="00C3377D">
          <w:rPr>
            <w:rStyle w:val="Hyperlink"/>
            <w:rFonts w:asciiTheme="minorHAnsi" w:hAnsiTheme="minorHAnsi" w:cstheme="minorHAnsi"/>
            <w:sz w:val="16"/>
            <w:szCs w:val="16"/>
          </w:rPr>
          <w:t>R.C. 149.43(A)(1)(cc)</w:t>
        </w:r>
      </w:hyperlink>
      <w:r w:rsidRPr="00C3377D">
        <w:rPr>
          <w:rFonts w:asciiTheme="minorHAnsi" w:hAnsiTheme="minorHAnsi" w:cstheme="minorHAnsi"/>
          <w:sz w:val="16"/>
          <w:szCs w:val="16"/>
        </w:rPr>
        <w:t xml:space="preserve"> (referencing </w:t>
      </w:r>
      <w:hyperlink r:id="rId466" w:history="1">
        <w:r w:rsidRPr="00C3377D">
          <w:rPr>
            <w:rStyle w:val="Hyperlink"/>
            <w:rFonts w:asciiTheme="minorHAnsi" w:hAnsiTheme="minorHAnsi" w:cstheme="minorHAnsi"/>
            <w:sz w:val="16"/>
            <w:szCs w:val="16"/>
          </w:rPr>
          <w:t>R.C. 2949.221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467" w:history="1">
        <w:r w:rsidRPr="00C3377D">
          <w:rPr>
            <w:rStyle w:val="Hyperlink"/>
            <w:rFonts w:asciiTheme="minorHAnsi" w:hAnsiTheme="minorHAnsi" w:cstheme="minorHAnsi"/>
            <w:i/>
            <w:sz w:val="16"/>
            <w:szCs w:val="16"/>
          </w:rPr>
          <w:t>State ex rel. Hogan Lovells U.S., L.L.P. v. Dept. of Rehab &amp; Corr</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156 Ohio St.3d 56, 2018-Ohio-5133, ¶ 13-24 (applying </w:t>
      </w:r>
      <w:hyperlink r:id="rId468" w:history="1">
        <w:r w:rsidRPr="00C3377D">
          <w:rPr>
            <w:rStyle w:val="Hyperlink"/>
            <w:rFonts w:asciiTheme="minorHAnsi" w:hAnsiTheme="minorHAnsi" w:cstheme="minorHAnsi"/>
            <w:sz w:val="16"/>
            <w:szCs w:val="16"/>
          </w:rPr>
          <w:t>R.C. 2949.221</w:t>
        </w:r>
      </w:hyperlink>
      <w:r w:rsidRPr="00C3377D">
        <w:rPr>
          <w:rFonts w:asciiTheme="minorHAnsi" w:hAnsiTheme="minorHAnsi" w:cstheme="minorHAnsi"/>
          <w:sz w:val="16"/>
          <w:szCs w:val="16"/>
        </w:rPr>
        <w:t>).</w:t>
      </w:r>
    </w:p>
  </w:endnote>
  <w:endnote w:id="316">
    <w:p w14:paraId="5D1D31D9" w14:textId="03FC443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469" w:history="1">
        <w:r w:rsidRPr="00C3377D">
          <w:rPr>
            <w:rStyle w:val="Hyperlink"/>
            <w:rFonts w:asciiTheme="minorHAnsi" w:hAnsiTheme="minorHAnsi" w:cstheme="minorHAnsi"/>
            <w:sz w:val="16"/>
            <w:szCs w:val="16"/>
          </w:rPr>
          <w:t xml:space="preserve"> R.C. 149.43(A)(</w:t>
        </w:r>
        <w:r w:rsidRPr="00C3377D">
          <w:rPr>
            <w:rStyle w:val="Hyperlink"/>
            <w:rFonts w:asciiTheme="minorHAnsi" w:hAnsiTheme="minorHAnsi" w:cstheme="minorHAnsi"/>
            <w:sz w:val="16"/>
            <w:szCs w:val="16"/>
          </w:rPr>
          <w:t xml:space="preserve">1)(dd) </w:t>
        </w:r>
      </w:hyperlink>
      <w:r w:rsidRPr="00C3377D">
        <w:rPr>
          <w:rFonts w:asciiTheme="minorHAnsi" w:hAnsiTheme="minorHAnsi" w:cstheme="minorHAnsi"/>
          <w:sz w:val="16"/>
          <w:szCs w:val="16"/>
        </w:rPr>
        <w:t xml:space="preserve">(referencing </w:t>
      </w:r>
      <w:hyperlink r:id="rId470" w:history="1">
        <w:r w:rsidRPr="00C3377D">
          <w:rPr>
            <w:rStyle w:val="Hyperlink"/>
            <w:rFonts w:asciiTheme="minorHAnsi" w:hAnsiTheme="minorHAnsi" w:cstheme="minorHAnsi"/>
            <w:sz w:val="16"/>
            <w:szCs w:val="16"/>
          </w:rPr>
          <w:t>R.C. 149.45</w:t>
        </w:r>
      </w:hyperlink>
      <w:r w:rsidRPr="00C3377D">
        <w:rPr>
          <w:rFonts w:asciiTheme="minorHAnsi" w:hAnsiTheme="minorHAnsi" w:cstheme="minorHAnsi"/>
          <w:sz w:val="16"/>
          <w:szCs w:val="16"/>
        </w:rPr>
        <w:t>)</w:t>
      </w:r>
      <w:r w:rsidR="009752B6" w:rsidRPr="00C3377D">
        <w:rPr>
          <w:rFonts w:asciiTheme="minorHAnsi" w:hAnsiTheme="minorHAnsi" w:cstheme="minorHAnsi"/>
          <w:sz w:val="16"/>
          <w:szCs w:val="16"/>
        </w:rPr>
        <w:t>.</w:t>
      </w:r>
    </w:p>
  </w:endnote>
  <w:endnote w:id="317">
    <w:p w14:paraId="440E34E3" w14:textId="7693F0D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1"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ee).</w:t>
        </w:r>
      </w:hyperlink>
    </w:p>
  </w:endnote>
  <w:endnote w:id="318">
    <w:p w14:paraId="700FC73F" w14:textId="0E4D480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2"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1)(ff).</w:t>
        </w:r>
      </w:hyperlink>
    </w:p>
  </w:endnote>
  <w:endnote w:id="319">
    <w:p w14:paraId="285BB379" w14:textId="400EFD9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3"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1)(gg).</w:t>
        </w:r>
      </w:hyperlink>
    </w:p>
  </w:endnote>
  <w:endnote w:id="320">
    <w:p w14:paraId="6100FEE6" w14:textId="3AD3F6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4"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hh).</w:t>
        </w:r>
      </w:hyperlink>
    </w:p>
  </w:endnote>
  <w:endnote w:id="321">
    <w:p w14:paraId="7E3FA481" w14:textId="2FDE21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5" w:history="1">
        <w:r w:rsidRPr="00C3377D">
          <w:rPr>
            <w:rStyle w:val="Hyperlink"/>
            <w:rFonts w:asciiTheme="minorHAnsi" w:hAnsiTheme="minorHAnsi" w:cstheme="minorHAnsi"/>
            <w:sz w:val="16"/>
            <w:szCs w:val="16"/>
          </w:rPr>
          <w:t>R.C. 149.43(A)(1)(ii).</w:t>
        </w:r>
      </w:hyperlink>
    </w:p>
  </w:endnote>
  <w:endnote w:id="322">
    <w:p w14:paraId="5515D3F4" w14:textId="73D984C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AC3082" w:rsidRPr="00C3377D">
        <w:rPr>
          <w:rFonts w:asciiTheme="minorHAnsi" w:hAnsiTheme="minorHAnsi" w:cstheme="minorHAnsi"/>
          <w:sz w:val="16"/>
          <w:szCs w:val="16"/>
        </w:rPr>
        <w:t xml:space="preserve"> </w:t>
      </w:r>
      <w:hyperlink r:id="rId476"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jj)</w:t>
        </w:r>
        <w:r w:rsidR="00754EF5">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(A)(17).</w:t>
        </w:r>
      </w:hyperlink>
    </w:p>
  </w:endnote>
  <w:endnote w:id="323">
    <w:p w14:paraId="38055F1E" w14:textId="5A2EFA1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7" w:history="1">
        <w:r w:rsidRPr="00C3377D">
          <w:rPr>
            <w:rStyle w:val="Hyperlink"/>
            <w:rFonts w:asciiTheme="minorHAnsi" w:hAnsiTheme="minorHAnsi" w:cstheme="minorHAnsi"/>
            <w:sz w:val="16"/>
            <w:szCs w:val="16"/>
          </w:rPr>
          <w:t>R.C. 149.43(A)(17)(a)-(q)</w:t>
        </w:r>
        <w:r w:rsidR="00754EF5">
          <w:rPr>
            <w:rStyle w:val="Hyperlink"/>
            <w:rFonts w:asciiTheme="minorHAnsi" w:hAnsiTheme="minorHAnsi" w:cstheme="minorHAnsi"/>
            <w:sz w:val="16"/>
            <w:szCs w:val="16"/>
          </w:rPr>
          <w:t>,</w:t>
        </w:r>
        <w:r w:rsidRPr="00C3377D">
          <w:rPr>
            <w:rStyle w:val="Hyperlink"/>
            <w:rFonts w:asciiTheme="minorHAnsi" w:hAnsiTheme="minorHAnsi" w:cstheme="minorHAnsi"/>
            <w:sz w:val="16"/>
            <w:szCs w:val="16"/>
          </w:rPr>
          <w:t xml:space="preserve"> (H).</w:t>
        </w:r>
      </w:hyperlink>
    </w:p>
  </w:endnote>
  <w:endnote w:id="324">
    <w:p w14:paraId="411ECBEE" w14:textId="261D3AF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8" w:history="1">
        <w:r w:rsidRPr="00C3377D">
          <w:rPr>
            <w:rStyle w:val="Hyperlink"/>
            <w:rFonts w:asciiTheme="minorHAnsi" w:hAnsiTheme="minorHAnsi" w:cstheme="minorHAnsi"/>
            <w:sz w:val="16"/>
            <w:szCs w:val="16"/>
          </w:rPr>
          <w:t>R.C. 149.43(H)(2).</w:t>
        </w:r>
      </w:hyperlink>
    </w:p>
  </w:endnote>
  <w:endnote w:id="325">
    <w:p w14:paraId="6B96015B" w14:textId="63AC5541"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79"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1)(kk).</w:t>
        </w:r>
      </w:hyperlink>
    </w:p>
  </w:endnote>
  <w:endnote w:id="326">
    <w:p w14:paraId="227E8456" w14:textId="6D0FFBEC"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0"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ll).</w:t>
        </w:r>
      </w:hyperlink>
    </w:p>
  </w:endnote>
  <w:endnote w:id="327">
    <w:p w14:paraId="2F75D697" w14:textId="4FAA670E"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1" w:history="1">
        <w:r w:rsidRPr="00C3377D">
          <w:rPr>
            <w:rStyle w:val="Hyperlink"/>
            <w:rFonts w:asciiTheme="minorHAnsi" w:hAnsiTheme="minorHAnsi" w:cstheme="minorHAnsi"/>
            <w:sz w:val="16"/>
            <w:szCs w:val="16"/>
          </w:rPr>
          <w:t>R.C. 149.43(A)(1)(mm).</w:t>
        </w:r>
      </w:hyperlink>
    </w:p>
  </w:endnote>
  <w:endnote w:id="328">
    <w:p w14:paraId="25B9B1C4" w14:textId="21546C4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2"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nn).</w:t>
        </w:r>
      </w:hyperlink>
    </w:p>
  </w:endnote>
  <w:endnote w:id="329">
    <w:p w14:paraId="151037C6" w14:textId="605CE48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3"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oo).</w:t>
        </w:r>
      </w:hyperlink>
    </w:p>
  </w:endnote>
  <w:endnote w:id="330">
    <w:p w14:paraId="7F06F35A" w14:textId="0BFA900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4"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1)(pp)</w:t>
        </w:r>
      </w:hyperlink>
      <w:r w:rsidRPr="00C3377D">
        <w:rPr>
          <w:rFonts w:asciiTheme="minorHAnsi" w:hAnsiTheme="minorHAnsi" w:cstheme="minorHAnsi"/>
          <w:sz w:val="16"/>
          <w:szCs w:val="16"/>
        </w:rPr>
        <w:t xml:space="preserve"> (referencing</w:t>
      </w:r>
      <w:hyperlink r:id="rId485" w:history="1">
        <w:r w:rsidRPr="00C3377D">
          <w:rPr>
            <w:rStyle w:val="Hyperlink"/>
            <w:rFonts w:asciiTheme="minorHAnsi" w:hAnsiTheme="minorHAnsi" w:cstheme="minorHAnsi"/>
            <w:sz w:val="16"/>
            <w:szCs w:val="16"/>
          </w:rPr>
          <w:t xml:space="preserve"> R.C. 5502.703</w:t>
        </w:r>
      </w:hyperlink>
      <w:r w:rsidRPr="00C3377D">
        <w:rPr>
          <w:rFonts w:asciiTheme="minorHAnsi" w:hAnsiTheme="minorHAnsi" w:cstheme="minorHAnsi"/>
          <w:sz w:val="16"/>
          <w:szCs w:val="16"/>
        </w:rPr>
        <w:t xml:space="preserve">).  Note, however, that boards of education must notify the public if the board has authorized any persons to go armed within a school.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w:t>
      </w:r>
      <w:hyperlink r:id="rId486" w:history="1">
        <w:r w:rsidRPr="00C3377D">
          <w:rPr>
            <w:rStyle w:val="Hyperlink"/>
            <w:rFonts w:asciiTheme="minorHAnsi" w:hAnsiTheme="minorHAnsi" w:cstheme="minorHAnsi"/>
            <w:sz w:val="16"/>
            <w:szCs w:val="16"/>
          </w:rPr>
          <w:t>R.C. 2923.122(D)(1)(d)</w:t>
        </w:r>
      </w:hyperlink>
      <w:r w:rsidRPr="00C3377D">
        <w:rPr>
          <w:rFonts w:asciiTheme="minorHAnsi" w:hAnsiTheme="minorHAnsi" w:cstheme="minorHAnsi"/>
          <w:sz w:val="16"/>
          <w:szCs w:val="16"/>
        </w:rPr>
        <w:t xml:space="preserve">; </w:t>
      </w:r>
      <w:hyperlink r:id="rId487" w:history="1">
        <w:r w:rsidRPr="00C3377D">
          <w:rPr>
            <w:rStyle w:val="Hyperlink"/>
            <w:rFonts w:asciiTheme="minorHAnsi" w:hAnsiTheme="minorHAnsi" w:cstheme="minorHAnsi"/>
            <w:sz w:val="16"/>
            <w:szCs w:val="16"/>
          </w:rPr>
          <w:t>R.C. 149.433(B)(4).</w:t>
        </w:r>
      </w:hyperlink>
    </w:p>
  </w:endnote>
  <w:endnote w:id="331">
    <w:p w14:paraId="6AA6114E" w14:textId="144166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8" w:history="1">
        <w:r w:rsidR="009752B6" w:rsidRPr="00C3377D">
          <w:rPr>
            <w:rStyle w:val="Hyperlink"/>
            <w:rFonts w:asciiTheme="minorHAnsi" w:hAnsiTheme="minorHAnsi" w:cstheme="minorHAnsi"/>
            <w:sz w:val="16"/>
            <w:szCs w:val="16"/>
          </w:rPr>
          <w:t>R.C. 149.43(A)(</w:t>
        </w:r>
        <w:r w:rsidR="009752B6" w:rsidRPr="00C3377D">
          <w:rPr>
            <w:rStyle w:val="Hyperlink"/>
            <w:rFonts w:asciiTheme="minorHAnsi" w:hAnsiTheme="minorHAnsi" w:cstheme="minorHAnsi"/>
            <w:sz w:val="16"/>
            <w:szCs w:val="16"/>
          </w:rPr>
          <w:t>1)(gg).</w:t>
        </w:r>
      </w:hyperlink>
    </w:p>
  </w:endnote>
  <w:endnote w:id="332">
    <w:p w14:paraId="36424810" w14:textId="32046BE3" w:rsidR="008D0CC6" w:rsidRPr="00C3377D" w:rsidRDefault="008D0CC6"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89" w:history="1">
        <w:r w:rsidRPr="00C3377D">
          <w:rPr>
            <w:rStyle w:val="Hyperlink"/>
            <w:rFonts w:asciiTheme="minorHAnsi" w:hAnsiTheme="minorHAnsi" w:cstheme="minorHAnsi"/>
            <w:sz w:val="16"/>
            <w:szCs w:val="16"/>
          </w:rPr>
          <w:t>R.C. 149.43(A)(</w:t>
        </w:r>
        <w:r w:rsidRPr="00C3377D">
          <w:rPr>
            <w:rStyle w:val="Hyperlink"/>
            <w:rFonts w:asciiTheme="minorHAnsi" w:hAnsiTheme="minorHAnsi" w:cstheme="minorHAnsi"/>
            <w:sz w:val="16"/>
            <w:szCs w:val="16"/>
          </w:rPr>
          <w:t>1)(</w:t>
        </w:r>
        <w:r w:rsidRPr="00C3377D">
          <w:rPr>
            <w:rStyle w:val="Hyperlink"/>
            <w:rFonts w:asciiTheme="minorHAnsi" w:hAnsiTheme="minorHAnsi" w:cstheme="minorHAnsi"/>
            <w:sz w:val="16"/>
            <w:szCs w:val="16"/>
          </w:rPr>
          <w:t>rr).</w:t>
        </w:r>
      </w:hyperlink>
    </w:p>
  </w:endnote>
  <w:endnote w:id="333">
    <w:p w14:paraId="57114E91" w14:textId="605D6AA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0" w:history="1">
        <w:r w:rsidR="009752B6" w:rsidRPr="00C3377D">
          <w:rPr>
            <w:rStyle w:val="Hyperlink"/>
            <w:rFonts w:asciiTheme="minorHAnsi" w:hAnsiTheme="minorHAnsi" w:cstheme="minorHAnsi"/>
            <w:sz w:val="16"/>
            <w:szCs w:val="16"/>
          </w:rPr>
          <w:t>R.C. 149.43(A)(</w:t>
        </w:r>
        <w:r w:rsidR="009752B6" w:rsidRPr="00C3377D">
          <w:rPr>
            <w:rStyle w:val="Hyperlink"/>
            <w:rFonts w:asciiTheme="minorHAnsi" w:hAnsiTheme="minorHAnsi" w:cstheme="minorHAnsi"/>
            <w:sz w:val="16"/>
            <w:szCs w:val="16"/>
          </w:rPr>
          <w:t>1)(ss).</w:t>
        </w:r>
      </w:hyperlink>
    </w:p>
  </w:endnote>
  <w:endnote w:id="334">
    <w:p w14:paraId="55822E9E" w14:textId="2B9AE7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5 U.S.C. § 552a.</w:t>
      </w:r>
    </w:p>
  </w:endnote>
  <w:endnote w:id="335">
    <w:p w14:paraId="7E435656" w14:textId="5350E41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Ohio</w:t>
      </w:r>
      <w:r w:rsidR="009752B6" w:rsidRPr="00C3377D">
        <w:rPr>
          <w:rFonts w:asciiTheme="minorHAnsi" w:hAnsiTheme="minorHAnsi" w:cstheme="minorHAnsi"/>
          <w:sz w:val="16"/>
          <w:szCs w:val="16"/>
        </w:rPr>
        <w:t xml:space="preserve">’s </w:t>
      </w:r>
      <w:r w:rsidRPr="00C3377D">
        <w:rPr>
          <w:rFonts w:asciiTheme="minorHAnsi" w:hAnsiTheme="minorHAnsi" w:cstheme="minorHAnsi"/>
          <w:sz w:val="16"/>
          <w:szCs w:val="16"/>
        </w:rPr>
        <w:t xml:space="preserve">Personal Information Systems Act (PISA) </w:t>
      </w:r>
      <w:r w:rsidR="00754EF5">
        <w:rPr>
          <w:rFonts w:asciiTheme="minorHAnsi" w:hAnsiTheme="minorHAnsi" w:cstheme="minorHAnsi"/>
          <w:sz w:val="16"/>
          <w:szCs w:val="16"/>
        </w:rPr>
        <w:t>(</w:t>
      </w:r>
      <w:hyperlink r:id="rId491" w:history="1">
        <w:r w:rsidRPr="00C3377D">
          <w:rPr>
            <w:rStyle w:val="Hyperlink"/>
            <w:rFonts w:asciiTheme="minorHAnsi" w:hAnsiTheme="minorHAnsi" w:cstheme="minorHAnsi"/>
            <w:sz w:val="16"/>
            <w:szCs w:val="16"/>
          </w:rPr>
          <w:t>R.C. Chapter 1347</w:t>
        </w:r>
      </w:hyperlink>
      <w:r w:rsidR="00754EF5">
        <w:rPr>
          <w:rStyle w:val="Hyperlink"/>
          <w:rFonts w:asciiTheme="minorHAnsi" w:hAnsiTheme="minorHAnsi" w:cstheme="minorHAnsi"/>
          <w:sz w:val="16"/>
          <w:szCs w:val="16"/>
        </w:rPr>
        <w:t>)</w:t>
      </w:r>
      <w:r w:rsidRPr="00C3377D">
        <w:rPr>
          <w:rFonts w:asciiTheme="minorHAnsi" w:hAnsiTheme="minorHAnsi" w:cstheme="minorHAnsi"/>
          <w:sz w:val="16"/>
          <w:szCs w:val="16"/>
        </w:rPr>
        <w:t xml:space="preserve">, that only applies when the Public Records Act does not apply; that is, PISA does not apply to public records but only applies to records that have been determined to be non-public and information that is not a “record” as defined by the Public Records Act.  Public offices can find more detailed guidance at </w:t>
      </w:r>
      <w:hyperlink r:id="rId492" w:history="1">
        <w:r w:rsidRPr="00C3377D">
          <w:rPr>
            <w:rStyle w:val="Hyperlink"/>
            <w:rFonts w:asciiTheme="minorHAnsi" w:hAnsiTheme="minorHAnsi" w:cstheme="minorHAnsi"/>
            <w:sz w:val="16"/>
            <w:szCs w:val="16"/>
          </w:rPr>
          <w:t>https://infosec.ohio.gov/Government.aspx</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493" w:history="1">
        <w:r w:rsidRPr="00C3377D">
          <w:rPr>
            <w:rStyle w:val="Hyperlink"/>
            <w:rFonts w:asciiTheme="minorHAnsi" w:hAnsiTheme="minorHAnsi" w:cstheme="minorHAnsi"/>
            <w:i/>
            <w:sz w:val="16"/>
            <w:szCs w:val="16"/>
          </w:rPr>
          <w:t>Fischer v. Kent State Univ.</w:t>
        </w:r>
      </w:hyperlink>
      <w:r w:rsidRPr="00C3377D">
        <w:rPr>
          <w:rFonts w:asciiTheme="minorHAnsi" w:hAnsiTheme="minorHAnsi" w:cstheme="minorHAnsi"/>
          <w:sz w:val="16"/>
          <w:szCs w:val="16"/>
        </w:rPr>
        <w:t>,</w:t>
      </w:r>
      <w:r w:rsidR="00E10B2E">
        <w:rPr>
          <w:rFonts w:asciiTheme="minorHAnsi" w:hAnsiTheme="minorHAnsi" w:cstheme="minorHAnsi"/>
          <w:sz w:val="16"/>
          <w:szCs w:val="16"/>
        </w:rPr>
        <w:t xml:space="preserve"> 10th Dist. Franklin No. </w:t>
      </w:r>
      <w:r w:rsidR="00E10B2E" w:rsidRPr="00E10B2E">
        <w:rPr>
          <w:rFonts w:asciiTheme="minorHAnsi" w:hAnsiTheme="minorHAnsi" w:cstheme="minorHAnsi"/>
          <w:sz w:val="16"/>
          <w:szCs w:val="16"/>
        </w:rPr>
        <w:t>14AP-789</w:t>
      </w:r>
      <w:r w:rsidR="00E10B2E">
        <w:rPr>
          <w:rFonts w:asciiTheme="minorHAnsi" w:hAnsiTheme="minorHAnsi" w:cstheme="minorHAnsi"/>
          <w:sz w:val="16"/>
          <w:szCs w:val="16"/>
        </w:rPr>
        <w:t>,</w:t>
      </w:r>
      <w:r w:rsidRPr="00C3377D">
        <w:rPr>
          <w:rFonts w:asciiTheme="minorHAnsi" w:hAnsiTheme="minorHAnsi" w:cstheme="minorHAnsi"/>
          <w:sz w:val="16"/>
          <w:szCs w:val="16"/>
        </w:rPr>
        <w:t xml:space="preserve"> 2015-Ohio-3569, ¶ 15 (legal brief written by state university’s attorneys in response to retired professor’s Equal Employment Opportunity Commission claims constituted a public record; even though the brief contained stored personal information from professor’s employment records, it was not exempt from disclosure pursuant to Ohio’s PISA Act).</w:t>
      </w:r>
    </w:p>
  </w:endnote>
  <w:endnote w:id="336">
    <w:p w14:paraId="78541381" w14:textId="42D2A60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1061 (6th Cir. 1998).</w:t>
      </w:r>
    </w:p>
  </w:endnote>
  <w:endnote w:id="337">
    <w:p w14:paraId="4C7D3C37" w14:textId="05B80A1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1061 (6th Cir. 1998).</w:t>
      </w:r>
    </w:p>
  </w:endnote>
  <w:endnote w:id="338">
    <w:p w14:paraId="7B7BE9A9"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1059 (6th Cir. 1998).</w:t>
      </w:r>
    </w:p>
  </w:endnote>
  <w:endnote w:id="339">
    <w:p w14:paraId="5BBFF6DF" w14:textId="1A8DB2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1062 (6th Cir. 1998).</w:t>
      </w:r>
    </w:p>
  </w:endnote>
  <w:endnote w:id="340">
    <w:p w14:paraId="6E6EBA3A" w14:textId="78EA12F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Fonts w:asciiTheme="minorHAnsi" w:hAnsiTheme="minorHAnsi" w:cstheme="minorHAnsi"/>
          <w:sz w:val="16"/>
          <w:szCs w:val="16"/>
          <w:vertAlign w:val="superscript"/>
        </w:rPr>
        <w:endnoteRef/>
      </w:r>
      <w:r w:rsidRPr="00C3377D">
        <w:rPr>
          <w:rFonts w:asciiTheme="minorHAnsi" w:hAnsiTheme="minorHAnsi" w:cstheme="minorHAnsi"/>
          <w:sz w:val="16"/>
          <w:szCs w:val="16"/>
        </w:rPr>
        <w:t xml:space="preserve"> </w:t>
      </w:r>
      <w:hyperlink r:id="rId494" w:history="1">
        <w:r w:rsidRPr="00C3377D">
          <w:rPr>
            <w:rStyle w:val="Hyperlink"/>
            <w:rFonts w:asciiTheme="minorHAnsi" w:hAnsiTheme="minorHAnsi" w:cstheme="minorHAnsi"/>
            <w:i/>
            <w:sz w:val="16"/>
            <w:szCs w:val="16"/>
          </w:rPr>
          <w:t>State ex rel. WBNS TV v. Dues</w:t>
        </w:r>
      </w:hyperlink>
      <w:r w:rsidRPr="00C3377D">
        <w:rPr>
          <w:rFonts w:asciiTheme="minorHAnsi" w:hAnsiTheme="minorHAnsi" w:cstheme="minorHAnsi"/>
          <w:sz w:val="16"/>
          <w:szCs w:val="16"/>
        </w:rPr>
        <w:t>, 101 Ohio St.3d 406, 2004-Ohio-1497, ¶ 30-31, 36-37.</w:t>
      </w:r>
    </w:p>
  </w:endnote>
  <w:endnote w:id="341">
    <w:p w14:paraId="28EB2E85"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Toledo Blade Co. v. Univ. of Toledo Found.</w:t>
      </w:r>
      <w:r w:rsidRPr="00C3377D">
        <w:rPr>
          <w:rFonts w:asciiTheme="minorHAnsi" w:hAnsiTheme="minorHAnsi" w:cstheme="minorHAnsi"/>
          <w:sz w:val="16"/>
          <w:szCs w:val="16"/>
        </w:rPr>
        <w:t>, 65 Ohio St.3d 258, 266 (1992).</w:t>
      </w:r>
    </w:p>
  </w:endnote>
  <w:endnote w:id="342">
    <w:p w14:paraId="61646A13"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1059 (6th Cir. 1998).</w:t>
      </w:r>
    </w:p>
  </w:endnote>
  <w:endnote w:id="343">
    <w:p w14:paraId="644638DC" w14:textId="6113468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1063 (6th Cir. 1998).</w:t>
      </w:r>
    </w:p>
  </w:endnote>
  <w:endnote w:id="344">
    <w:p w14:paraId="75004794" w14:textId="65D69DA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1063 (6th Cir. 1998).</w:t>
      </w:r>
    </w:p>
  </w:endnote>
  <w:endnote w:id="345">
    <w:p w14:paraId="26C6FC0B"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Kallstrom v. Columbus</w:t>
      </w:r>
      <w:r w:rsidRPr="00C3377D">
        <w:rPr>
          <w:rFonts w:asciiTheme="minorHAnsi" w:hAnsiTheme="minorHAnsi" w:cstheme="minorHAnsi"/>
          <w:sz w:val="16"/>
          <w:szCs w:val="16"/>
        </w:rPr>
        <w:t>, 136 F.3d 1055, 1065 (6th Cir. 1998).</w:t>
      </w:r>
    </w:p>
  </w:endnote>
  <w:endnote w:id="346">
    <w:p w14:paraId="3ABFEE77" w14:textId="7827B38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Deja Vu of Cincinnati, LLC v. Union Twp. Bd. of Trustees</w:t>
      </w:r>
      <w:r w:rsidRPr="00C3377D">
        <w:rPr>
          <w:rFonts w:asciiTheme="minorHAnsi" w:hAnsiTheme="minorHAnsi" w:cstheme="minorHAnsi"/>
          <w:sz w:val="16"/>
          <w:szCs w:val="16"/>
        </w:rPr>
        <w:t>, 411 F.3d 777, 793-794 (6th Cir. 2005) (</w:t>
      </w:r>
      <w:r w:rsidRPr="00C3377D">
        <w:rPr>
          <w:rFonts w:asciiTheme="minorHAnsi" w:hAnsiTheme="minorHAnsi" w:cstheme="minorHAnsi"/>
          <w:sz w:val="16"/>
          <w:szCs w:val="16"/>
        </w:rPr>
        <w:t>en banc).</w:t>
      </w:r>
    </w:p>
  </w:endnote>
  <w:endnote w:id="347">
    <w:p w14:paraId="702C151B" w14:textId="1682B7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5" w:history="1">
        <w:r w:rsidRPr="00C3377D">
          <w:rPr>
            <w:rStyle w:val="Hyperlink"/>
            <w:rFonts w:asciiTheme="minorHAnsi" w:hAnsiTheme="minorHAnsi" w:cstheme="minorHAnsi"/>
            <w:i/>
            <w:sz w:val="16"/>
            <w:szCs w:val="16"/>
          </w:rPr>
          <w:t>State ex rel. Keller v. Cox</w:t>
        </w:r>
      </w:hyperlink>
      <w:r w:rsidRPr="00C3377D">
        <w:rPr>
          <w:rFonts w:asciiTheme="minorHAnsi" w:hAnsiTheme="minorHAnsi" w:cstheme="minorHAnsi"/>
          <w:sz w:val="16"/>
          <w:szCs w:val="16"/>
        </w:rPr>
        <w:t xml:space="preserve">, 85 Ohio St.3d 279, 282 (1999); </w:t>
      </w:r>
      <w:r w:rsidRPr="00C3377D">
        <w:rPr>
          <w:rFonts w:asciiTheme="minorHAnsi" w:hAnsiTheme="minorHAnsi" w:cstheme="minorHAnsi"/>
          <w:i/>
          <w:sz w:val="16"/>
          <w:szCs w:val="16"/>
        </w:rPr>
        <w:t xml:space="preserve">see also </w:t>
      </w:r>
      <w:hyperlink r:id="rId496" w:history="1">
        <w:r w:rsidRPr="00C3377D">
          <w:rPr>
            <w:rStyle w:val="Hyperlink"/>
            <w:rFonts w:asciiTheme="minorHAnsi" w:hAnsiTheme="minorHAnsi" w:cstheme="minorHAnsi"/>
            <w:i/>
            <w:sz w:val="16"/>
            <w:szCs w:val="16"/>
          </w:rPr>
          <w:t>State ex rel. Cincinnati Enquirer v. Craig</w:t>
        </w:r>
      </w:hyperlink>
      <w:r w:rsidRPr="00C3377D">
        <w:rPr>
          <w:rFonts w:asciiTheme="minorHAnsi" w:hAnsiTheme="minorHAnsi" w:cstheme="minorHAnsi"/>
          <w:sz w:val="16"/>
          <w:szCs w:val="16"/>
        </w:rPr>
        <w:t xml:space="preserve">, 132 Ohio St.3d 68, 2012-Ohio-1999, ¶ 13-23 </w:t>
      </w:r>
      <w:r w:rsidR="009123C0" w:rsidRPr="00C3377D">
        <w:rPr>
          <w:rFonts w:asciiTheme="minorHAnsi" w:hAnsiTheme="minorHAnsi" w:cstheme="minorHAnsi"/>
          <w:sz w:val="16"/>
          <w:szCs w:val="16"/>
        </w:rPr>
        <w:t>(</w:t>
      </w:r>
      <w:r w:rsidRPr="00C3377D">
        <w:rPr>
          <w:rFonts w:asciiTheme="minorHAnsi" w:hAnsiTheme="minorHAnsi" w:cstheme="minorHAnsi"/>
          <w:sz w:val="16"/>
          <w:szCs w:val="16"/>
        </w:rPr>
        <w:t>identities of officers involved in fatal accident with motorcycle club exempted from disclosure based on constitutional right of privacy when release would create likely threat of serious bodily harm or death).</w:t>
      </w:r>
    </w:p>
  </w:endnote>
  <w:endnote w:id="348">
    <w:p w14:paraId="6632B0C1" w14:textId="40C1C3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7"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xml:space="preserve">, </w:t>
      </w:r>
      <w:r w:rsidR="00EB2D47" w:rsidRPr="00C3377D">
        <w:rPr>
          <w:rFonts w:asciiTheme="minorHAnsi" w:hAnsiTheme="minorHAnsi" w:cstheme="minorHAnsi"/>
          <w:sz w:val="16"/>
          <w:szCs w:val="16"/>
        </w:rPr>
        <w:t>88 Ohio St.3d 365, 3</w:t>
      </w:r>
      <w:r w:rsidR="00EB2D47">
        <w:rPr>
          <w:rFonts w:asciiTheme="minorHAnsi" w:hAnsiTheme="minorHAnsi" w:cstheme="minorHAnsi"/>
          <w:sz w:val="16"/>
          <w:szCs w:val="16"/>
        </w:rPr>
        <w:t>72</w:t>
      </w:r>
      <w:r w:rsidR="00EB2D47" w:rsidRPr="00C3377D">
        <w:rPr>
          <w:rFonts w:asciiTheme="minorHAnsi" w:hAnsiTheme="minorHAnsi" w:cstheme="minorHAnsi"/>
          <w:sz w:val="16"/>
          <w:szCs w:val="16"/>
        </w:rPr>
        <w:t xml:space="preserve">, 2000-Ohio-345 </w:t>
      </w:r>
      <w:r w:rsidRPr="00C3377D">
        <w:rPr>
          <w:rFonts w:asciiTheme="minorHAnsi" w:hAnsiTheme="minorHAnsi" w:cstheme="minorHAnsi"/>
          <w:sz w:val="16"/>
          <w:szCs w:val="16"/>
        </w:rPr>
        <w:t xml:space="preserve">(2000); </w:t>
      </w:r>
      <w:r w:rsidRPr="00C3377D">
        <w:rPr>
          <w:rFonts w:asciiTheme="minorHAnsi" w:hAnsiTheme="minorHAnsi" w:cstheme="minorHAnsi"/>
          <w:i/>
          <w:sz w:val="16"/>
          <w:szCs w:val="16"/>
        </w:rPr>
        <w:t xml:space="preserve">but see </w:t>
      </w:r>
      <w:hyperlink r:id="rId498" w:history="1">
        <w:r w:rsidRPr="00C3377D">
          <w:rPr>
            <w:rStyle w:val="Hyperlink"/>
            <w:rFonts w:asciiTheme="minorHAnsi" w:hAnsiTheme="minorHAnsi" w:cstheme="minorHAnsi"/>
            <w:i/>
            <w:sz w:val="16"/>
            <w:szCs w:val="16"/>
          </w:rPr>
          <w:t>Sengstock v. City of Twinsburg</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2021-0330PQ, 2021-Ohio-4438, ¶ 23, </w:t>
      </w:r>
      <w:r w:rsidRPr="00C3377D">
        <w:rPr>
          <w:rFonts w:asciiTheme="minorHAnsi" w:hAnsiTheme="minorHAnsi" w:cstheme="minorHAnsi"/>
          <w:i/>
          <w:sz w:val="16"/>
          <w:szCs w:val="16"/>
        </w:rPr>
        <w:t>adopted b</w:t>
      </w:r>
      <w:r w:rsidR="009752B6" w:rsidRPr="00C3377D">
        <w:rPr>
          <w:rFonts w:asciiTheme="minorHAnsi" w:hAnsiTheme="minorHAnsi" w:cstheme="minorHAnsi"/>
          <w:i/>
          <w:sz w:val="16"/>
          <w:szCs w:val="16"/>
        </w:rPr>
        <w:t xml:space="preserve">y </w:t>
      </w:r>
      <w:r w:rsidRPr="00C3377D">
        <w:rPr>
          <w:rFonts w:asciiTheme="minorHAnsi" w:hAnsiTheme="minorHAnsi" w:cstheme="minorHAnsi"/>
          <w:sz w:val="16"/>
          <w:szCs w:val="16"/>
        </w:rPr>
        <w:t>Ct. of Cl. No. 2021-0330PQ, 2022-Ohio-314 (denying application of the constitutional right to privacy in the names of juvenile public employees).</w:t>
      </w:r>
    </w:p>
  </w:endnote>
  <w:endnote w:id="349">
    <w:p w14:paraId="0C8E3632" w14:textId="64B343F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499" w:history="1">
        <w:r w:rsidRPr="00C3377D">
          <w:rPr>
            <w:rStyle w:val="Hyperlink"/>
            <w:rFonts w:asciiTheme="minorHAnsi" w:hAnsiTheme="minorHAnsi" w:cstheme="minorHAnsi"/>
            <w:i/>
            <w:sz w:val="16"/>
            <w:szCs w:val="16"/>
          </w:rPr>
          <w:t>Shaffer v. Budish</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2017-00690PQ, 2018-Ohio-1539, ¶ 41-46, </w:t>
      </w:r>
      <w:r w:rsidRPr="00C3377D">
        <w:rPr>
          <w:rFonts w:asciiTheme="minorHAnsi" w:hAnsiTheme="minorHAnsi" w:cstheme="minorHAnsi"/>
          <w:i/>
          <w:sz w:val="16"/>
          <w:szCs w:val="16"/>
        </w:rPr>
        <w:t xml:space="preserve">adopted </w:t>
      </w:r>
      <w:r w:rsidR="00B825D7" w:rsidRPr="00C3377D">
        <w:rPr>
          <w:rFonts w:asciiTheme="minorHAnsi" w:hAnsiTheme="minorHAnsi" w:cstheme="minorHAnsi"/>
          <w:i/>
          <w:sz w:val="16"/>
          <w:szCs w:val="16"/>
        </w:rPr>
        <w:t xml:space="preserve">by </w:t>
      </w:r>
      <w:r w:rsidR="00B825D7" w:rsidRPr="00B825D7">
        <w:rPr>
          <w:rFonts w:asciiTheme="minorHAnsi" w:hAnsiTheme="minorHAnsi" w:cstheme="minorHAnsi"/>
          <w:iCs/>
          <w:sz w:val="16"/>
          <w:szCs w:val="16"/>
        </w:rPr>
        <w:t>Ct.</w:t>
      </w:r>
      <w:r w:rsidRPr="00B825D7">
        <w:rPr>
          <w:rFonts w:asciiTheme="minorHAnsi" w:hAnsiTheme="minorHAnsi" w:cstheme="minorHAnsi"/>
          <w:iCs/>
          <w:sz w:val="16"/>
          <w:szCs w:val="16"/>
        </w:rPr>
        <w:t xml:space="preserve"> of</w:t>
      </w:r>
      <w:r w:rsidRPr="00C3377D">
        <w:rPr>
          <w:rFonts w:asciiTheme="minorHAnsi" w:hAnsiTheme="minorHAnsi" w:cstheme="minorHAnsi"/>
          <w:sz w:val="16"/>
          <w:szCs w:val="16"/>
        </w:rPr>
        <w:t xml:space="preserve"> Cl. No. 2017-00690PQ (Feb. 22, 2018). NOTE: </w:t>
      </w:r>
      <w:r w:rsidR="00E60C5A" w:rsidRPr="00C3377D">
        <w:rPr>
          <w:rFonts w:asciiTheme="minorHAnsi" w:hAnsiTheme="minorHAnsi" w:cstheme="minorHAnsi"/>
          <w:sz w:val="16"/>
          <w:szCs w:val="16"/>
        </w:rPr>
        <w:t>t</w:t>
      </w:r>
      <w:r w:rsidRPr="00C3377D">
        <w:rPr>
          <w:rFonts w:asciiTheme="minorHAnsi" w:hAnsiTheme="minorHAnsi" w:cstheme="minorHAnsi"/>
          <w:sz w:val="16"/>
          <w:szCs w:val="16"/>
        </w:rPr>
        <w:t>his case precede</w:t>
      </w:r>
      <w:r w:rsidR="009752B6" w:rsidRPr="00C3377D">
        <w:rPr>
          <w:rFonts w:asciiTheme="minorHAnsi" w:hAnsiTheme="minorHAnsi" w:cstheme="minorHAnsi"/>
          <w:sz w:val="16"/>
          <w:szCs w:val="16"/>
        </w:rPr>
        <w:t>d</w:t>
      </w:r>
      <w:r w:rsidRPr="00C3377D">
        <w:rPr>
          <w:rFonts w:asciiTheme="minorHAnsi" w:hAnsiTheme="minorHAnsi" w:cstheme="minorHAnsi"/>
          <w:sz w:val="16"/>
          <w:szCs w:val="16"/>
        </w:rPr>
        <w:t xml:space="preserve"> the enactment of </w:t>
      </w:r>
      <w:hyperlink r:id="rId500" w:history="1">
        <w:r w:rsidRPr="00C3377D">
          <w:rPr>
            <w:rStyle w:val="Hyperlink"/>
            <w:rFonts w:asciiTheme="minorHAnsi" w:hAnsiTheme="minorHAnsi" w:cstheme="minorHAnsi"/>
            <w:sz w:val="16"/>
            <w:szCs w:val="16"/>
          </w:rPr>
          <w:t>R.C. 149.43(A)(1)(</w:t>
        </w:r>
        <w:r w:rsidRPr="00C3377D">
          <w:rPr>
            <w:rStyle w:val="Hyperlink"/>
            <w:rFonts w:asciiTheme="minorHAnsi" w:hAnsiTheme="minorHAnsi" w:cstheme="minorHAnsi"/>
            <w:sz w:val="16"/>
            <w:szCs w:val="16"/>
          </w:rPr>
          <w:t>jj)</w:t>
        </w:r>
      </w:hyperlink>
      <w:r w:rsidRPr="00C3377D">
        <w:rPr>
          <w:rFonts w:asciiTheme="minorHAnsi" w:hAnsiTheme="minorHAnsi" w:cstheme="minorHAnsi"/>
          <w:sz w:val="16"/>
          <w:szCs w:val="16"/>
        </w:rPr>
        <w:t xml:space="preserve">, which creates exemptions for certain types of body-worn camera video recordings. </w:t>
      </w:r>
      <w:r w:rsidRPr="00C3377D">
        <w:rPr>
          <w:rFonts w:asciiTheme="minorHAnsi" w:hAnsiTheme="minorHAnsi" w:cstheme="minorHAnsi"/>
          <w:i/>
          <w:sz w:val="16"/>
          <w:szCs w:val="16"/>
        </w:rPr>
        <w:t xml:space="preserve">See </w:t>
      </w:r>
      <w:r w:rsidRPr="00C3377D">
        <w:rPr>
          <w:rFonts w:asciiTheme="minorHAnsi" w:hAnsiTheme="minorHAnsi" w:cstheme="minorHAnsi"/>
          <w:sz w:val="16"/>
          <w:szCs w:val="16"/>
        </w:rPr>
        <w:t xml:space="preserve">Chapter </w:t>
      </w:r>
      <w:r w:rsidR="00F26F91">
        <w:rPr>
          <w:rFonts w:asciiTheme="minorHAnsi" w:hAnsiTheme="minorHAnsi" w:cstheme="minorHAnsi"/>
          <w:sz w:val="16"/>
          <w:szCs w:val="16"/>
        </w:rPr>
        <w:t>Four</w:t>
      </w:r>
      <w:r w:rsidRPr="00C3377D">
        <w:rPr>
          <w:rFonts w:asciiTheme="minorHAnsi" w:hAnsiTheme="minorHAnsi" w:cstheme="minorHAnsi"/>
          <w:sz w:val="16"/>
          <w:szCs w:val="16"/>
        </w:rPr>
        <w:t xml:space="preserve">: </w:t>
      </w:r>
      <w:r w:rsidR="00F26F91">
        <w:rPr>
          <w:rFonts w:asciiTheme="minorHAnsi" w:hAnsiTheme="minorHAnsi" w:cstheme="minorHAnsi"/>
          <w:sz w:val="16"/>
          <w:szCs w:val="16"/>
        </w:rPr>
        <w:t>B.1</w:t>
      </w:r>
      <w:r w:rsidRPr="00C3377D">
        <w:rPr>
          <w:rFonts w:asciiTheme="minorHAnsi" w:hAnsiTheme="minorHAnsi" w:cstheme="minorHAnsi"/>
          <w:sz w:val="16"/>
          <w:szCs w:val="16"/>
        </w:rPr>
        <w:t>. “</w:t>
      </w:r>
      <w:r w:rsidR="00F26F91">
        <w:rPr>
          <w:rFonts w:asciiTheme="minorHAnsi" w:hAnsiTheme="minorHAnsi" w:cstheme="minorHAnsi"/>
          <w:sz w:val="16"/>
          <w:szCs w:val="16"/>
        </w:rPr>
        <w:t>Body-worn and dashboard camera recordings.”</w:t>
      </w:r>
    </w:p>
  </w:endnote>
  <w:endnote w:id="350">
    <w:p w14:paraId="36F83D79" w14:textId="2B7ABF0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01"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Quolke v. Strongsville City School Dist. Bd. of Edn.</w:t>
        </w:r>
      </w:hyperlink>
      <w:r w:rsidRPr="00C3377D">
        <w:rPr>
          <w:rFonts w:asciiTheme="minorHAnsi" w:hAnsiTheme="minorHAnsi" w:cstheme="minorHAnsi"/>
          <w:sz w:val="16"/>
          <w:szCs w:val="16"/>
        </w:rPr>
        <w:t>, 8th Dist. Cuyahoga No. 99733, 2013-Ohio-4481, ¶ 3 (ordering public office to release replacement teachers’ names because public office failed to establish that threats and violent acts continued after strike), aff’d</w:t>
      </w:r>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142 Ohio St.3d 509, 2015-Ohio-1083, ¶ 25-28.</w:t>
      </w:r>
    </w:p>
  </w:endnote>
  <w:endnote w:id="351">
    <w:p w14:paraId="6C5B282A" w14:textId="67CAE0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“Personal information” is defined as an individual’s:  social security number, federal or state tax identification number, driver’s </w:t>
      </w:r>
      <w:r w:rsidRPr="00C3377D">
        <w:rPr>
          <w:rFonts w:asciiTheme="minorHAnsi" w:hAnsiTheme="minorHAnsi" w:cstheme="minorHAnsi"/>
          <w:sz w:val="16"/>
          <w:szCs w:val="16"/>
        </w:rPr>
        <w:t xml:space="preserve">license or state identification number, checking account number, savings account number, credit card number, debit card number, or any other financial or medical account number. </w:t>
      </w:r>
      <w:hyperlink r:id="rId502" w:history="1">
        <w:r w:rsidRPr="00C3377D">
          <w:rPr>
            <w:rStyle w:val="Hyperlink"/>
            <w:rFonts w:asciiTheme="minorHAnsi" w:hAnsiTheme="minorHAnsi" w:cstheme="minorHAnsi"/>
            <w:sz w:val="16"/>
            <w:szCs w:val="16"/>
          </w:rPr>
          <w:t xml:space="preserve"> R.C. 149.43(A)(1)(dd)</w:t>
        </w:r>
      </w:hyperlink>
      <w:r w:rsidRPr="00C3377D">
        <w:rPr>
          <w:rFonts w:asciiTheme="minorHAnsi" w:hAnsiTheme="minorHAnsi" w:cstheme="minorHAnsi"/>
          <w:sz w:val="16"/>
          <w:szCs w:val="16"/>
        </w:rPr>
        <w:t xml:space="preserve">; </w:t>
      </w:r>
      <w:hyperlink r:id="rId503" w:history="1">
        <w:r w:rsidRPr="00C3377D">
          <w:rPr>
            <w:rStyle w:val="Hyperlink"/>
            <w:rFonts w:asciiTheme="minorHAnsi" w:hAnsiTheme="minorHAnsi" w:cstheme="minorHAnsi"/>
            <w:sz w:val="16"/>
            <w:szCs w:val="16"/>
          </w:rPr>
          <w:t>R.C. 149.45.</w:t>
        </w:r>
      </w:hyperlink>
    </w:p>
  </w:endnote>
  <w:endnote w:id="352">
    <w:p w14:paraId="0020D1F7" w14:textId="105F5AE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04" w:history="1">
        <w:r w:rsidRPr="00C3377D">
          <w:rPr>
            <w:rStyle w:val="Hyperlink"/>
            <w:rFonts w:asciiTheme="minorHAnsi" w:hAnsiTheme="minorHAnsi" w:cstheme="minorHAnsi"/>
            <w:sz w:val="16"/>
            <w:szCs w:val="16"/>
          </w:rPr>
          <w:t>R.C. 149.45(C)(1).</w:t>
        </w:r>
      </w:hyperlink>
    </w:p>
  </w:endnote>
  <w:endnote w:id="353">
    <w:p w14:paraId="0623AA34" w14:textId="2EADF4B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This form is available at</w:t>
      </w:r>
      <w:r w:rsidRPr="00C3377D">
        <w:rPr>
          <w:rFonts w:asciiTheme="minorHAnsi" w:hAnsiTheme="minorHAnsi" w:cstheme="minorHAnsi"/>
          <w:b/>
          <w:sz w:val="16"/>
          <w:szCs w:val="16"/>
        </w:rPr>
        <w:t xml:space="preserve"> </w:t>
      </w:r>
      <w:hyperlink r:id="rId505" w:history="1">
        <w:r w:rsidRPr="00C3377D">
          <w:rPr>
            <w:rStyle w:val="Hyperlink"/>
            <w:rFonts w:asciiTheme="minorHAnsi" w:hAnsiTheme="minorHAnsi" w:cstheme="minorHAnsi"/>
            <w:sz w:val="16"/>
            <w:szCs w:val="16"/>
          </w:rPr>
          <w:t>http://www.OhioAttorneyGeneral.gov/Sunshine</w:t>
        </w:r>
      </w:hyperlink>
      <w:r w:rsidRPr="00C3377D">
        <w:rPr>
          <w:rFonts w:asciiTheme="minorHAnsi" w:hAnsiTheme="minorHAnsi" w:cstheme="minorHAnsi"/>
          <w:sz w:val="16"/>
          <w:szCs w:val="16"/>
        </w:rPr>
        <w:t>.</w:t>
      </w:r>
      <w:r w:rsidR="00547B53" w:rsidRPr="00C3377D">
        <w:rPr>
          <w:rFonts w:asciiTheme="minorHAnsi" w:hAnsiTheme="minorHAnsi" w:cstheme="minorHAnsi"/>
          <w:sz w:val="16"/>
          <w:szCs w:val="16"/>
        </w:rPr>
        <w:t xml:space="preserve"> NOTE: </w:t>
      </w:r>
      <w:r w:rsidR="00E60C5A" w:rsidRPr="00C3377D">
        <w:rPr>
          <w:rFonts w:asciiTheme="minorHAnsi" w:hAnsiTheme="minorHAnsi" w:cstheme="minorHAnsi"/>
          <w:sz w:val="16"/>
          <w:szCs w:val="16"/>
        </w:rPr>
        <w:t>t</w:t>
      </w:r>
      <w:r w:rsidR="00547B53" w:rsidRPr="00C3377D">
        <w:rPr>
          <w:rFonts w:asciiTheme="minorHAnsi" w:hAnsiTheme="minorHAnsi" w:cstheme="minorHAnsi"/>
          <w:sz w:val="16"/>
          <w:szCs w:val="16"/>
        </w:rPr>
        <w:t xml:space="preserve">his section does not apply to county auditor offices. </w:t>
      </w:r>
      <w:r w:rsidR="00547B53" w:rsidRPr="000E7261">
        <w:rPr>
          <w:rFonts w:asciiTheme="minorHAnsi" w:hAnsiTheme="minorHAnsi" w:cstheme="minorHAnsi"/>
          <w:i/>
          <w:iCs/>
          <w:sz w:val="16"/>
          <w:szCs w:val="16"/>
        </w:rPr>
        <w:t>See</w:t>
      </w:r>
      <w:r w:rsidR="00547B53" w:rsidRPr="00C3377D">
        <w:rPr>
          <w:rFonts w:asciiTheme="minorHAnsi" w:hAnsiTheme="minorHAnsi" w:cstheme="minorHAnsi"/>
          <w:sz w:val="16"/>
          <w:szCs w:val="16"/>
        </w:rPr>
        <w:t xml:space="preserve"> </w:t>
      </w:r>
      <w:hyperlink r:id="rId506" w:history="1">
        <w:r w:rsidR="00547B53" w:rsidRPr="00C3377D">
          <w:rPr>
            <w:rStyle w:val="Hyperlink"/>
            <w:rFonts w:asciiTheme="minorHAnsi" w:hAnsiTheme="minorHAnsi" w:cstheme="minorHAnsi"/>
            <w:sz w:val="16"/>
            <w:szCs w:val="16"/>
          </w:rPr>
          <w:t>R.C. 149.45(D)(1).</w:t>
        </w:r>
      </w:hyperlink>
    </w:p>
  </w:endnote>
  <w:endnote w:id="354">
    <w:p w14:paraId="21454C95" w14:textId="4AE6A12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07" w:history="1">
        <w:r w:rsidRPr="00C3377D">
          <w:rPr>
            <w:rStyle w:val="Hyperlink"/>
            <w:rFonts w:asciiTheme="minorHAnsi" w:hAnsiTheme="minorHAnsi" w:cstheme="minorHAnsi"/>
            <w:sz w:val="16"/>
            <w:szCs w:val="16"/>
          </w:rPr>
          <w:t xml:space="preserve"> R.C. 149.45(A)(2)</w:t>
        </w:r>
      </w:hyperlink>
      <w:r w:rsidRPr="00C3377D">
        <w:rPr>
          <w:rFonts w:asciiTheme="minorHAnsi" w:hAnsiTheme="minorHAnsi" w:cstheme="minorHAnsi"/>
          <w:sz w:val="16"/>
          <w:szCs w:val="16"/>
        </w:rPr>
        <w:t>;</w:t>
      </w:r>
      <w:hyperlink r:id="rId508" w:history="1">
        <w:r w:rsidRPr="00C3377D">
          <w:rPr>
            <w:rStyle w:val="Hyperlink"/>
            <w:rFonts w:asciiTheme="minorHAnsi" w:hAnsiTheme="minorHAnsi" w:cstheme="minorHAnsi"/>
            <w:sz w:val="16"/>
            <w:szCs w:val="16"/>
          </w:rPr>
          <w:t xml:space="preserve"> R.C. 149.43(A)(7)-(8).</w:t>
        </w:r>
      </w:hyperlink>
      <w:r w:rsidRPr="00C3377D">
        <w:rPr>
          <w:rFonts w:asciiTheme="minorHAnsi" w:hAnsiTheme="minorHAnsi" w:cstheme="minorHAnsi"/>
          <w:sz w:val="16"/>
          <w:szCs w:val="16"/>
        </w:rPr>
        <w:t xml:space="preserve">  </w:t>
      </w:r>
      <w:r w:rsidR="00DA5FE8">
        <w:rPr>
          <w:rFonts w:asciiTheme="minorHAnsi" w:hAnsiTheme="minorHAnsi" w:cstheme="minorHAnsi"/>
          <w:sz w:val="16"/>
          <w:szCs w:val="16"/>
        </w:rPr>
        <w:t xml:space="preserve">Refer to </w:t>
      </w:r>
      <w:r w:rsidRPr="00C3377D">
        <w:rPr>
          <w:rFonts w:asciiTheme="minorHAnsi" w:hAnsiTheme="minorHAnsi" w:cstheme="minorHAnsi"/>
          <w:sz w:val="16"/>
          <w:szCs w:val="16"/>
        </w:rPr>
        <w:t xml:space="preserve">Chapter </w:t>
      </w:r>
      <w:r w:rsidR="00F26F91">
        <w:rPr>
          <w:rFonts w:asciiTheme="minorHAnsi" w:hAnsiTheme="minorHAnsi" w:cstheme="minorHAnsi"/>
          <w:sz w:val="16"/>
          <w:szCs w:val="16"/>
        </w:rPr>
        <w:t>Four</w:t>
      </w:r>
      <w:r w:rsidRPr="00C3377D">
        <w:rPr>
          <w:rFonts w:asciiTheme="minorHAnsi" w:hAnsiTheme="minorHAnsi" w:cstheme="minorHAnsi"/>
          <w:sz w:val="16"/>
          <w:szCs w:val="16"/>
        </w:rPr>
        <w:t xml:space="preserve">: </w:t>
      </w:r>
      <w:r w:rsidR="0055678A" w:rsidRPr="00C3377D">
        <w:rPr>
          <w:rFonts w:asciiTheme="minorHAnsi" w:hAnsiTheme="minorHAnsi" w:cstheme="minorHAnsi"/>
          <w:sz w:val="16"/>
          <w:szCs w:val="16"/>
        </w:rPr>
        <w:t>D</w:t>
      </w:r>
      <w:r w:rsidRPr="00C3377D">
        <w:rPr>
          <w:rFonts w:asciiTheme="minorHAnsi" w:hAnsiTheme="minorHAnsi" w:cstheme="minorHAnsi"/>
          <w:sz w:val="16"/>
          <w:szCs w:val="16"/>
        </w:rPr>
        <w:t>.</w:t>
      </w:r>
      <w:r w:rsidR="0055678A" w:rsidRPr="00C3377D">
        <w:rPr>
          <w:rFonts w:asciiTheme="minorHAnsi" w:hAnsiTheme="minorHAnsi" w:cstheme="minorHAnsi"/>
          <w:sz w:val="16"/>
          <w:szCs w:val="16"/>
        </w:rPr>
        <w:t>5.</w:t>
      </w:r>
      <w:r w:rsidRPr="00C3377D">
        <w:rPr>
          <w:rFonts w:asciiTheme="minorHAnsi" w:hAnsiTheme="minorHAnsi" w:cstheme="minorHAnsi"/>
          <w:sz w:val="16"/>
          <w:szCs w:val="16"/>
        </w:rPr>
        <w:t xml:space="preserve"> “Residential and </w:t>
      </w:r>
      <w:r w:rsidR="00F26F91">
        <w:rPr>
          <w:rFonts w:asciiTheme="minorHAnsi" w:hAnsiTheme="minorHAnsi" w:cstheme="minorHAnsi"/>
          <w:sz w:val="16"/>
          <w:szCs w:val="16"/>
        </w:rPr>
        <w:t>f</w:t>
      </w:r>
      <w:r w:rsidRPr="00C3377D">
        <w:rPr>
          <w:rFonts w:asciiTheme="minorHAnsi" w:hAnsiTheme="minorHAnsi" w:cstheme="minorHAnsi"/>
          <w:sz w:val="16"/>
          <w:szCs w:val="16"/>
        </w:rPr>
        <w:t xml:space="preserve">amilial </w:t>
      </w:r>
      <w:r w:rsidR="00F26F91">
        <w:rPr>
          <w:rFonts w:asciiTheme="minorHAnsi" w:hAnsiTheme="minorHAnsi" w:cstheme="minorHAnsi"/>
          <w:sz w:val="16"/>
          <w:szCs w:val="16"/>
        </w:rPr>
        <w:t>i</w:t>
      </w:r>
      <w:r w:rsidRPr="00C3377D">
        <w:rPr>
          <w:rFonts w:asciiTheme="minorHAnsi" w:hAnsiTheme="minorHAnsi" w:cstheme="minorHAnsi"/>
          <w:sz w:val="16"/>
          <w:szCs w:val="16"/>
        </w:rPr>
        <w:t xml:space="preserve">nformation of </w:t>
      </w:r>
      <w:r w:rsidR="00F26F91">
        <w:rPr>
          <w:rFonts w:asciiTheme="minorHAnsi" w:hAnsiTheme="minorHAnsi" w:cstheme="minorHAnsi"/>
          <w:sz w:val="16"/>
          <w:szCs w:val="16"/>
        </w:rPr>
        <w:t>covered professions</w:t>
      </w:r>
      <w:r w:rsidR="00DA5FE8">
        <w:rPr>
          <w:rFonts w:asciiTheme="minorHAnsi" w:hAnsiTheme="minorHAnsi" w:cstheme="minorHAnsi"/>
          <w:sz w:val="16"/>
          <w:szCs w:val="16"/>
        </w:rPr>
        <w:t>,</w:t>
      </w:r>
      <w:r w:rsidRPr="00C3377D">
        <w:rPr>
          <w:rFonts w:asciiTheme="minorHAnsi" w:hAnsiTheme="minorHAnsi" w:cstheme="minorHAnsi"/>
          <w:sz w:val="16"/>
          <w:szCs w:val="16"/>
        </w:rPr>
        <w:t>”</w:t>
      </w:r>
      <w:r w:rsidR="00DA5FE8">
        <w:rPr>
          <w:rFonts w:asciiTheme="minorHAnsi" w:hAnsiTheme="minorHAnsi" w:cstheme="minorHAnsi"/>
          <w:sz w:val="16"/>
          <w:szCs w:val="16"/>
        </w:rPr>
        <w:t xml:space="preserve"> for additional discussion of this provision.</w:t>
      </w:r>
    </w:p>
  </w:endnote>
  <w:endnote w:id="355">
    <w:p w14:paraId="7A97C11C" w14:textId="1D397F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09" w:history="1">
        <w:r w:rsidRPr="00C3377D">
          <w:rPr>
            <w:rStyle w:val="Hyperlink"/>
            <w:rFonts w:asciiTheme="minorHAnsi" w:hAnsiTheme="minorHAnsi" w:cstheme="minorHAnsi"/>
            <w:sz w:val="16"/>
            <w:szCs w:val="16"/>
          </w:rPr>
          <w:t xml:space="preserve"> R.C. 149.45(C)(2), (D)(2).</w:t>
        </w:r>
      </w:hyperlink>
    </w:p>
  </w:endnote>
  <w:endnote w:id="356">
    <w:p w14:paraId="2AD8460C" w14:textId="3A2AA4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0" w:history="1">
        <w:r w:rsidRPr="00C3377D">
          <w:rPr>
            <w:rStyle w:val="Hyperlink"/>
            <w:rFonts w:asciiTheme="minorHAnsi" w:hAnsiTheme="minorHAnsi" w:cstheme="minorHAnsi"/>
            <w:sz w:val="16"/>
            <w:szCs w:val="16"/>
          </w:rPr>
          <w:t>R.C. 149.45(C)(2), (D)(2)</w:t>
        </w:r>
      </w:hyperlink>
      <w:r w:rsidRPr="00C3377D">
        <w:rPr>
          <w:rFonts w:asciiTheme="minorHAnsi" w:hAnsiTheme="minorHAnsi" w:cstheme="minorHAnsi"/>
          <w:sz w:val="16"/>
          <w:szCs w:val="16"/>
        </w:rPr>
        <w:t xml:space="preserve">.  </w:t>
      </w:r>
      <w:r w:rsidR="00C73099">
        <w:rPr>
          <w:rFonts w:asciiTheme="minorHAnsi" w:hAnsiTheme="minorHAnsi" w:cstheme="minorHAnsi"/>
          <w:sz w:val="16"/>
          <w:szCs w:val="16"/>
        </w:rPr>
        <w:t xml:space="preserve">A public office may explain </w:t>
      </w:r>
      <w:r w:rsidRPr="00C3377D">
        <w:rPr>
          <w:rFonts w:asciiTheme="minorHAnsi" w:hAnsiTheme="minorHAnsi" w:cstheme="minorHAnsi"/>
          <w:sz w:val="16"/>
          <w:szCs w:val="16"/>
        </w:rPr>
        <w:t xml:space="preserve">the impracticability of redaction either </w:t>
      </w:r>
      <w:r w:rsidR="00C73099">
        <w:rPr>
          <w:rFonts w:asciiTheme="minorHAnsi" w:hAnsiTheme="minorHAnsi" w:cstheme="minorHAnsi"/>
          <w:sz w:val="16"/>
          <w:szCs w:val="16"/>
        </w:rPr>
        <w:t>verbally</w:t>
      </w:r>
      <w:r w:rsidRPr="00C3377D">
        <w:rPr>
          <w:rFonts w:asciiTheme="minorHAnsi" w:hAnsiTheme="minorHAnsi" w:cstheme="minorHAnsi"/>
          <w:sz w:val="16"/>
          <w:szCs w:val="16"/>
        </w:rPr>
        <w:t xml:space="preserve"> or </w:t>
      </w:r>
      <w:r w:rsidR="00C73099">
        <w:rPr>
          <w:rFonts w:asciiTheme="minorHAnsi" w:hAnsiTheme="minorHAnsi" w:cstheme="minorHAnsi"/>
          <w:sz w:val="16"/>
          <w:szCs w:val="16"/>
        </w:rPr>
        <w:t xml:space="preserve">in </w:t>
      </w:r>
      <w:r w:rsidRPr="00C3377D">
        <w:rPr>
          <w:rFonts w:asciiTheme="minorHAnsi" w:hAnsiTheme="minorHAnsi" w:cstheme="minorHAnsi"/>
          <w:sz w:val="16"/>
          <w:szCs w:val="16"/>
        </w:rPr>
        <w:t>writ</w:t>
      </w:r>
      <w:r w:rsidR="00C73099">
        <w:rPr>
          <w:rFonts w:asciiTheme="minorHAnsi" w:hAnsiTheme="minorHAnsi" w:cstheme="minorHAnsi"/>
          <w:sz w:val="16"/>
          <w:szCs w:val="16"/>
        </w:rPr>
        <w:t>ing</w:t>
      </w:r>
      <w:r w:rsidRPr="00C3377D">
        <w:rPr>
          <w:rFonts w:asciiTheme="minorHAnsi" w:hAnsiTheme="minorHAnsi" w:cstheme="minorHAnsi"/>
          <w:sz w:val="16"/>
          <w:szCs w:val="16"/>
        </w:rPr>
        <w:t>.</w:t>
      </w:r>
    </w:p>
  </w:endnote>
  <w:endnote w:id="357">
    <w:p w14:paraId="460407C3" w14:textId="4A654F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1" w:history="1">
        <w:r w:rsidRPr="00C3377D">
          <w:rPr>
            <w:rStyle w:val="Hyperlink"/>
            <w:rFonts w:asciiTheme="minorHAnsi" w:hAnsiTheme="minorHAnsi" w:cstheme="minorHAnsi"/>
            <w:sz w:val="16"/>
            <w:szCs w:val="16"/>
          </w:rPr>
          <w:t>R.C. 149.45(B)(1),</w:t>
        </w:r>
        <w:r w:rsidR="00C73099">
          <w:rPr>
            <w:rStyle w:val="Hyperlink"/>
            <w:rFonts w:asciiTheme="minorHAnsi" w:hAnsiTheme="minorHAnsi" w:cstheme="minorHAnsi"/>
            <w:sz w:val="16"/>
            <w:szCs w:val="16"/>
          </w:rPr>
          <w:t xml:space="preserve"> </w:t>
        </w:r>
        <w:r w:rsidRPr="00C3377D">
          <w:rPr>
            <w:rStyle w:val="Hyperlink"/>
            <w:rFonts w:asciiTheme="minorHAnsi" w:hAnsiTheme="minorHAnsi" w:cstheme="minorHAnsi"/>
            <w:sz w:val="16"/>
            <w:szCs w:val="16"/>
          </w:rPr>
          <w:t>(2)</w:t>
        </w:r>
      </w:hyperlink>
      <w:r w:rsidRPr="00C3377D">
        <w:rPr>
          <w:rFonts w:asciiTheme="minorHAnsi" w:hAnsiTheme="minorHAnsi" w:cstheme="minorHAnsi"/>
          <w:sz w:val="16"/>
          <w:szCs w:val="16"/>
        </w:rPr>
        <w:t xml:space="preserve">. </w:t>
      </w:r>
      <w:r w:rsidR="000E7261">
        <w:rPr>
          <w:rFonts w:asciiTheme="minorHAnsi" w:hAnsiTheme="minorHAnsi" w:cstheme="minorHAnsi"/>
          <w:sz w:val="16"/>
          <w:szCs w:val="16"/>
        </w:rPr>
        <w:t xml:space="preserve"> </w:t>
      </w:r>
      <w:r w:rsidR="00C73099">
        <w:rPr>
          <w:rFonts w:asciiTheme="minorHAnsi" w:hAnsiTheme="minorHAnsi" w:cstheme="minorHAnsi"/>
          <w:sz w:val="16"/>
          <w:szCs w:val="16"/>
        </w:rPr>
        <w:t>A</w:t>
      </w:r>
      <w:r w:rsidRPr="00C3377D">
        <w:rPr>
          <w:rFonts w:asciiTheme="minorHAnsi" w:hAnsiTheme="minorHAnsi" w:cstheme="minorHAnsi"/>
          <w:sz w:val="16"/>
          <w:szCs w:val="16"/>
        </w:rPr>
        <w:t xml:space="preserve"> public office</w:t>
      </w:r>
      <w:r w:rsidR="00C73099">
        <w:rPr>
          <w:rFonts w:asciiTheme="minorHAnsi" w:hAnsiTheme="minorHAnsi" w:cstheme="minorHAnsi"/>
          <w:sz w:val="16"/>
          <w:szCs w:val="16"/>
        </w:rPr>
        <w:t xml:space="preserve"> must</w:t>
      </w:r>
      <w:r w:rsidRPr="00C3377D">
        <w:rPr>
          <w:rFonts w:asciiTheme="minorHAnsi" w:hAnsiTheme="minorHAnsi" w:cstheme="minorHAnsi"/>
          <w:sz w:val="16"/>
          <w:szCs w:val="16"/>
        </w:rPr>
        <w:t xml:space="preserve"> redact social security numbers from records that were posted before the effective date of R.C. 149.45.</w:t>
      </w:r>
    </w:p>
  </w:endnote>
  <w:endnote w:id="358">
    <w:p w14:paraId="23AA8FAB" w14:textId="462936E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2" w:history="1">
        <w:r w:rsidRPr="00C3377D">
          <w:rPr>
            <w:rStyle w:val="Hyperlink"/>
            <w:rFonts w:asciiTheme="minorHAnsi" w:hAnsiTheme="minorHAnsi" w:cstheme="minorHAnsi"/>
            <w:sz w:val="16"/>
            <w:szCs w:val="16"/>
          </w:rPr>
          <w:t>R.C. 149.45(E)(1).</w:t>
        </w:r>
      </w:hyperlink>
    </w:p>
  </w:endnote>
  <w:endnote w:id="359">
    <w:p w14:paraId="61566611" w14:textId="15F881E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13" w:history="1">
        <w:r w:rsidRPr="00C3377D">
          <w:rPr>
            <w:rStyle w:val="Hyperlink"/>
            <w:rFonts w:asciiTheme="minorHAnsi" w:hAnsiTheme="minorHAnsi" w:cstheme="minorHAnsi"/>
            <w:sz w:val="16"/>
            <w:szCs w:val="16"/>
          </w:rPr>
          <w:t xml:space="preserve"> R.C. 149.45(E)(2).</w:t>
        </w:r>
      </w:hyperlink>
    </w:p>
  </w:endnote>
  <w:endnote w:id="360">
    <w:p w14:paraId="4A9676F0" w14:textId="21B5751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4" w:history="1">
        <w:r w:rsidRPr="00C3377D">
          <w:rPr>
            <w:rStyle w:val="Hyperlink"/>
            <w:rFonts w:asciiTheme="minorHAnsi" w:hAnsiTheme="minorHAnsi" w:cstheme="minorHAnsi"/>
            <w:sz w:val="16"/>
            <w:szCs w:val="16"/>
          </w:rPr>
          <w:t>R.C. 319.28(B)(1)</w:t>
        </w:r>
      </w:hyperlink>
      <w:r w:rsidRPr="00C3377D">
        <w:rPr>
          <w:rFonts w:asciiTheme="minorHAnsi" w:hAnsiTheme="minorHAnsi" w:cstheme="minorHAnsi"/>
          <w:sz w:val="16"/>
          <w:szCs w:val="16"/>
        </w:rPr>
        <w:t xml:space="preserve">, citing </w:t>
      </w:r>
      <w:hyperlink r:id="rId515" w:history="1">
        <w:r w:rsidRPr="00C3377D">
          <w:rPr>
            <w:rStyle w:val="Hyperlink"/>
            <w:rFonts w:asciiTheme="minorHAnsi" w:hAnsiTheme="minorHAnsi" w:cstheme="minorHAnsi"/>
            <w:sz w:val="16"/>
            <w:szCs w:val="16"/>
          </w:rPr>
          <w:t>R.C. 149.43(A)(7).</w:t>
        </w:r>
      </w:hyperlink>
    </w:p>
  </w:endnote>
  <w:endnote w:id="361">
    <w:p w14:paraId="095DAA16" w14:textId="7CE4AA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6" w:history="1">
        <w:r w:rsidRPr="00C3377D">
          <w:rPr>
            <w:rStyle w:val="Hyperlink"/>
            <w:rFonts w:asciiTheme="minorHAnsi" w:hAnsiTheme="minorHAnsi" w:cstheme="minorHAnsi"/>
            <w:sz w:val="16"/>
            <w:szCs w:val="16"/>
          </w:rPr>
          <w:t>R.C. 319.28(B)(1).</w:t>
        </w:r>
      </w:hyperlink>
    </w:p>
  </w:endnote>
  <w:endnote w:id="362">
    <w:p w14:paraId="6952B9C0" w14:textId="21EA79A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7" w:history="1">
        <w:r w:rsidRPr="00C3377D">
          <w:rPr>
            <w:rStyle w:val="Hyperlink"/>
            <w:rFonts w:asciiTheme="minorHAnsi" w:hAnsiTheme="minorHAnsi" w:cstheme="minorHAnsi"/>
            <w:sz w:val="16"/>
            <w:szCs w:val="16"/>
          </w:rPr>
          <w:t>R.C. 319.28(B)(2).</w:t>
        </w:r>
      </w:hyperlink>
    </w:p>
  </w:endnote>
  <w:endnote w:id="363">
    <w:p w14:paraId="25ACD797" w14:textId="794C97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18" w:history="1">
        <w:r w:rsidRPr="00C3377D">
          <w:rPr>
            <w:rStyle w:val="Hyperlink"/>
            <w:rFonts w:asciiTheme="minorHAnsi" w:hAnsiTheme="minorHAnsi" w:cstheme="minorHAnsi"/>
            <w:sz w:val="16"/>
            <w:szCs w:val="16"/>
          </w:rPr>
          <w:t>R.C. 319.28(B)(2).</w:t>
        </w:r>
      </w:hyperlink>
    </w:p>
  </w:endnote>
  <w:endnote w:id="364">
    <w:p w14:paraId="72D7715A" w14:textId="570B575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19" w:history="1">
        <w:r w:rsidRPr="00C3377D">
          <w:rPr>
            <w:rStyle w:val="Hyperlink"/>
            <w:rFonts w:asciiTheme="minorHAnsi" w:hAnsiTheme="minorHAnsi" w:cstheme="minorHAnsi"/>
            <w:sz w:val="16"/>
            <w:szCs w:val="16"/>
          </w:rPr>
          <w:t xml:space="preserve"> R.C. 149.43(A)(1)(dd)</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20" w:history="1">
        <w:r w:rsidRPr="00C3377D">
          <w:rPr>
            <w:rStyle w:val="Hyperlink"/>
            <w:rFonts w:asciiTheme="minorHAnsi" w:hAnsiTheme="minorHAnsi" w:cstheme="minorHAnsi"/>
            <w:i/>
            <w:sz w:val="16"/>
            <w:szCs w:val="16"/>
          </w:rPr>
          <w:t>State ex rel. Beacon Journal Publishing Co. v. Bond</w:t>
        </w:r>
      </w:hyperlink>
      <w:r w:rsidRPr="00C3377D">
        <w:rPr>
          <w:rFonts w:asciiTheme="minorHAnsi" w:hAnsiTheme="minorHAnsi" w:cstheme="minorHAnsi"/>
          <w:sz w:val="16"/>
          <w:szCs w:val="16"/>
        </w:rPr>
        <w:t>, 98 Ohio St.3d 146, 2002-Ohio-7117, ¶ 25 (personal information of jurors was used only to verify identification not to determine competency to serve on the jury, and social security numbers, telephone numbers, and driver’s license numbers may be redacted)</w:t>
      </w:r>
      <w:r w:rsidR="00547B53" w:rsidRPr="00C3377D">
        <w:rPr>
          <w:rFonts w:asciiTheme="minorHAnsi" w:hAnsiTheme="minorHAnsi" w:cstheme="minorHAnsi"/>
          <w:sz w:val="16"/>
          <w:szCs w:val="16"/>
        </w:rPr>
        <w:t xml:space="preserve">; </w:t>
      </w:r>
      <w:hyperlink r:id="rId521" w:history="1">
        <w:r w:rsidRPr="00C3377D">
          <w:rPr>
            <w:rStyle w:val="Hyperlink"/>
            <w:rFonts w:asciiTheme="minorHAnsi" w:hAnsiTheme="minorHAnsi" w:cstheme="minorHAnsi"/>
            <w:sz w:val="16"/>
            <w:szCs w:val="16"/>
          </w:rPr>
          <w:t xml:space="preserve">1996 Ohio </w:t>
        </w:r>
        <w:r w:rsidRPr="00C3377D">
          <w:rPr>
            <w:rStyle w:val="Hyperlink"/>
            <w:rFonts w:asciiTheme="minorHAnsi" w:hAnsiTheme="minorHAnsi" w:cstheme="minorHAnsi"/>
            <w:sz w:val="16"/>
            <w:szCs w:val="16"/>
          </w:rPr>
          <w:t>Atty.Gen.Ops. No. 034</w:t>
        </w:r>
      </w:hyperlink>
      <w:r w:rsidRPr="00C3377D">
        <w:rPr>
          <w:rFonts w:asciiTheme="minorHAnsi" w:hAnsiTheme="minorHAnsi" w:cstheme="minorHAnsi"/>
          <w:sz w:val="16"/>
          <w:szCs w:val="16"/>
        </w:rPr>
        <w:t xml:space="preserve"> (opining that a county recorder is under no duty to obliterate social security numbers before making a document available for public inspection when the recorder presented with the document was asked to file it).</w:t>
      </w:r>
    </w:p>
  </w:endnote>
  <w:endnote w:id="365">
    <w:p w14:paraId="4E247E0F" w14:textId="70A4F18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Privacy Act of 1974, Pub. L. No. 93-579, 88 Stat. 1896 (5 U.S.C. 552a).</w:t>
      </w:r>
    </w:p>
  </w:endnote>
  <w:endnote w:id="366">
    <w:p w14:paraId="6904E2BC"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22" w:history="1">
        <w:r w:rsidRPr="00C3377D">
          <w:rPr>
            <w:rStyle w:val="Hyperlink"/>
            <w:rFonts w:asciiTheme="minorHAnsi" w:hAnsiTheme="minorHAnsi" w:cstheme="minorHAnsi"/>
            <w:i/>
            <w:sz w:val="16"/>
            <w:szCs w:val="16"/>
          </w:rPr>
          <w:t xml:space="preserve">State ex rel. Cincinnati Enquirer v. Hamilton </w:t>
        </w:r>
        <w:r w:rsidRPr="00C3377D">
          <w:rPr>
            <w:rStyle w:val="Hyperlink"/>
            <w:rFonts w:asciiTheme="minorHAnsi" w:hAnsiTheme="minorHAnsi" w:cstheme="minorHAnsi"/>
            <w:i/>
            <w:sz w:val="16"/>
            <w:szCs w:val="16"/>
          </w:rPr>
          <w:t>Cty.</w:t>
        </w:r>
      </w:hyperlink>
      <w:r w:rsidRPr="00C3377D">
        <w:rPr>
          <w:rFonts w:asciiTheme="minorHAnsi" w:hAnsiTheme="minorHAnsi" w:cstheme="minorHAnsi"/>
          <w:sz w:val="16"/>
          <w:szCs w:val="16"/>
        </w:rPr>
        <w:t>, 75 Ohio St.3d 374, 379 (1996).</w:t>
      </w:r>
    </w:p>
  </w:endnote>
  <w:endnote w:id="367">
    <w:p w14:paraId="7B7B259A"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23" w:history="1">
        <w:r w:rsidRPr="00C3377D">
          <w:rPr>
            <w:rStyle w:val="Hyperlink"/>
            <w:rFonts w:asciiTheme="minorHAnsi" w:hAnsiTheme="minorHAnsi" w:cstheme="minorHAnsi"/>
            <w:i/>
            <w:sz w:val="16"/>
            <w:szCs w:val="16"/>
          </w:rPr>
          <w:t xml:space="preserve">State ex rel. Dispatch Printing Co. v. Morrow </w:t>
        </w:r>
        <w:r w:rsidRPr="00C3377D">
          <w:rPr>
            <w:rStyle w:val="Hyperlink"/>
            <w:rFonts w:asciiTheme="minorHAnsi" w:hAnsiTheme="minorHAnsi" w:cstheme="minorHAnsi"/>
            <w:i/>
            <w:sz w:val="16"/>
            <w:szCs w:val="16"/>
          </w:rPr>
          <w:t>Cty. Prosecutor’s Office</w:t>
        </w:r>
      </w:hyperlink>
      <w:r w:rsidRPr="00C3377D">
        <w:rPr>
          <w:rFonts w:asciiTheme="minorHAnsi" w:hAnsiTheme="minorHAnsi" w:cstheme="minorHAnsi"/>
          <w:sz w:val="16"/>
          <w:szCs w:val="16"/>
        </w:rPr>
        <w:t xml:space="preserve">, 105 Ohio St.3d 172, 2005-Ohio-685, ¶ 8; </w:t>
      </w:r>
      <w:hyperlink r:id="rId524" w:history="1">
        <w:r w:rsidRPr="00C3377D">
          <w:rPr>
            <w:rStyle w:val="Hyperlink"/>
            <w:rFonts w:asciiTheme="minorHAnsi" w:hAnsiTheme="minorHAnsi" w:cstheme="minorHAnsi"/>
            <w:i/>
            <w:sz w:val="16"/>
            <w:szCs w:val="16"/>
          </w:rPr>
          <w:t>State ex rel. Cincinnati Enquirer v. Hamilton Cty.</w:t>
        </w:r>
      </w:hyperlink>
      <w:r w:rsidRPr="00C3377D">
        <w:rPr>
          <w:rFonts w:asciiTheme="minorHAnsi" w:hAnsiTheme="minorHAnsi" w:cstheme="minorHAnsi"/>
          <w:sz w:val="16"/>
          <w:szCs w:val="16"/>
        </w:rPr>
        <w:t>, 75 Ohio St.3d 374, 378 (1996).</w:t>
      </w:r>
    </w:p>
  </w:endnote>
  <w:endnote w:id="368">
    <w:p w14:paraId="4B6BD172" w14:textId="6C7436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18 U.S.C. § 2721 et seq. (Driver’s Privacy Protection Act); </w:t>
      </w:r>
      <w:hyperlink r:id="rId525" w:history="1">
        <w:r w:rsidRPr="00C3377D">
          <w:rPr>
            <w:rStyle w:val="Hyperlink"/>
            <w:rFonts w:asciiTheme="minorHAnsi" w:hAnsiTheme="minorHAnsi" w:cstheme="minorHAnsi"/>
            <w:sz w:val="16"/>
            <w:szCs w:val="16"/>
          </w:rPr>
          <w:t>R.C. 4501.27</w:t>
        </w:r>
      </w:hyperlink>
      <w:r w:rsidRPr="00C3377D">
        <w:rPr>
          <w:rFonts w:asciiTheme="minorHAnsi" w:hAnsiTheme="minorHAnsi" w:cstheme="minorHAnsi"/>
          <w:sz w:val="16"/>
          <w:szCs w:val="16"/>
        </w:rPr>
        <w:t xml:space="preserve">; </w:t>
      </w:r>
      <w:hyperlink r:id="rId526" w:history="1">
        <w:r w:rsidRPr="00C3377D">
          <w:rPr>
            <w:rStyle w:val="Hyperlink"/>
            <w:rFonts w:asciiTheme="minorHAnsi" w:hAnsiTheme="minorHAnsi" w:cstheme="minorHAnsi"/>
            <w:sz w:val="16"/>
            <w:szCs w:val="16"/>
          </w:rPr>
          <w:t>O.A.C. 4501:1-12-01</w:t>
        </w:r>
      </w:hyperlink>
      <w:r w:rsidRPr="00C3377D">
        <w:rPr>
          <w:rFonts w:asciiTheme="minorHAnsi" w:hAnsiTheme="minorHAnsi" w:cstheme="minorHAnsi"/>
          <w:sz w:val="16"/>
          <w:szCs w:val="16"/>
        </w:rPr>
        <w:t xml:space="preserve">; </w:t>
      </w:r>
      <w:hyperlink r:id="rId527" w:history="1">
        <w:r w:rsidRPr="00C3377D">
          <w:rPr>
            <w:rStyle w:val="Hyperlink"/>
            <w:rFonts w:asciiTheme="minorHAnsi" w:hAnsiTheme="minorHAnsi" w:cstheme="minorHAnsi"/>
            <w:sz w:val="16"/>
            <w:szCs w:val="16"/>
          </w:rPr>
          <w:t xml:space="preserve">2014 Ohio </w:t>
        </w:r>
        <w:r w:rsidRPr="00C3377D">
          <w:rPr>
            <w:rStyle w:val="Hyperlink"/>
            <w:rFonts w:asciiTheme="minorHAnsi" w:hAnsiTheme="minorHAnsi" w:cstheme="minorHAnsi"/>
            <w:sz w:val="16"/>
            <w:szCs w:val="16"/>
          </w:rPr>
          <w:t>Atty.Gen.Ops. No. 007</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28" w:history="1">
        <w:r w:rsidRPr="00C3377D">
          <w:rPr>
            <w:rStyle w:val="Hyperlink"/>
            <w:rFonts w:asciiTheme="minorHAnsi" w:hAnsiTheme="minorHAnsi" w:cstheme="minorHAnsi"/>
            <w:i/>
            <w:sz w:val="16"/>
            <w:szCs w:val="16"/>
          </w:rPr>
          <w:t>State ex rel. Motor Carrier Serv. v. Williams</w:t>
        </w:r>
      </w:hyperlink>
      <w:r w:rsidRPr="00C3377D">
        <w:rPr>
          <w:rFonts w:asciiTheme="minorHAnsi" w:hAnsiTheme="minorHAnsi" w:cstheme="minorHAnsi"/>
          <w:sz w:val="16"/>
          <w:szCs w:val="16"/>
        </w:rPr>
        <w:t>, 10th Dist. Franklin No. 10AP-1178, 2012-Ohio-2590, ¶ 23 (requester motor carrier service not entitled to unredacted copies of an employee’s driving record from the BMV when requester did not comply with statutory requirements for access).</w:t>
      </w:r>
    </w:p>
  </w:endnote>
  <w:endnote w:id="369">
    <w:p w14:paraId="024EF2F6" w14:textId="68A29A8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29" w:history="1">
        <w:r w:rsidRPr="00C3377D">
          <w:rPr>
            <w:rStyle w:val="Hyperlink"/>
            <w:rFonts w:asciiTheme="minorHAnsi" w:hAnsiTheme="minorHAnsi" w:cstheme="minorHAnsi"/>
            <w:sz w:val="16"/>
            <w:szCs w:val="16"/>
          </w:rPr>
          <w:t>R.C. 5747.18</w:t>
        </w:r>
      </w:hyperlink>
      <w:r w:rsidRPr="00C3377D">
        <w:rPr>
          <w:rFonts w:asciiTheme="minorHAnsi" w:hAnsiTheme="minorHAnsi" w:cstheme="minorHAnsi"/>
          <w:sz w:val="16"/>
          <w:szCs w:val="16"/>
        </w:rPr>
        <w:t xml:space="preserve">; </w:t>
      </w:r>
      <w:hyperlink r:id="rId530" w:history="1">
        <w:r w:rsidRPr="00C3377D">
          <w:rPr>
            <w:rStyle w:val="Hyperlink"/>
            <w:rFonts w:asciiTheme="minorHAnsi" w:hAnsiTheme="minorHAnsi" w:cstheme="minorHAnsi"/>
            <w:sz w:val="16"/>
            <w:szCs w:val="16"/>
          </w:rPr>
          <w:t>R.C. 718.13(A)</w:t>
        </w:r>
      </w:hyperlink>
      <w:r w:rsidR="00547B53" w:rsidRPr="00C3377D">
        <w:rPr>
          <w:rFonts w:asciiTheme="minorHAnsi" w:hAnsiTheme="minorHAnsi" w:cstheme="minorHAnsi"/>
          <w:sz w:val="16"/>
          <w:szCs w:val="16"/>
        </w:rPr>
        <w:t xml:space="preserve">. </w:t>
      </w:r>
      <w:r w:rsidRPr="00C3377D">
        <w:rPr>
          <w:rFonts w:asciiTheme="minorHAnsi" w:hAnsiTheme="minorHAnsi" w:cstheme="minorHAnsi"/>
          <w:sz w:val="16"/>
          <w:szCs w:val="16"/>
        </w:rPr>
        <w:t xml:space="preserve">Several statutes refer to the confidentiality of information contained in tax filings, not the record itself. </w:t>
      </w:r>
      <w:hyperlink r:id="rId531" w:history="1">
        <w:r w:rsidRPr="00C3377D">
          <w:rPr>
            <w:rStyle w:val="Hyperlink"/>
            <w:rFonts w:asciiTheme="minorHAnsi" w:hAnsiTheme="minorHAnsi" w:cstheme="minorHAnsi"/>
            <w:i/>
            <w:sz w:val="16"/>
            <w:szCs w:val="16"/>
          </w:rPr>
          <w:t>Myers v. Dept. of Taxation</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2019-01207PQ, 2019-Ohio-2760, ¶ 21. But the Court of Claims has held that the Department of Taxation need not produce tax returns with the protected information redacted; it may withhold tax returns. </w:t>
      </w:r>
      <w:r w:rsidRPr="00C3377D">
        <w:rPr>
          <w:rFonts w:asciiTheme="minorHAnsi" w:hAnsiTheme="minorHAnsi" w:cstheme="minorHAnsi"/>
          <w:i/>
          <w:sz w:val="16"/>
          <w:szCs w:val="16"/>
        </w:rPr>
        <w:t>Id.</w:t>
      </w:r>
      <w:r w:rsidRPr="00C3377D">
        <w:rPr>
          <w:rFonts w:asciiTheme="minorHAnsi" w:hAnsiTheme="minorHAnsi" w:cstheme="minorHAnsi"/>
          <w:sz w:val="16"/>
          <w:szCs w:val="16"/>
        </w:rPr>
        <w:t xml:space="preserve"> at ¶ 26.</w:t>
      </w:r>
    </w:p>
  </w:endnote>
  <w:endnote w:id="370">
    <w:p w14:paraId="29CB741A" w14:textId="5E188D1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2" w:history="1">
        <w:r w:rsidRPr="00C3377D">
          <w:rPr>
            <w:rStyle w:val="Hyperlink"/>
            <w:rFonts w:asciiTheme="minorHAnsi" w:hAnsiTheme="minorHAnsi" w:cstheme="minorHAnsi"/>
            <w:sz w:val="16"/>
            <w:szCs w:val="16"/>
          </w:rPr>
          <w:t>R.C. 718.13</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 Cincinnati ex rel. Cosgrove v. Grogan</w:t>
      </w:r>
      <w:r w:rsidRPr="00C3377D">
        <w:rPr>
          <w:rFonts w:asciiTheme="minorHAnsi" w:hAnsiTheme="minorHAnsi" w:cstheme="minorHAnsi"/>
          <w:sz w:val="16"/>
          <w:szCs w:val="16"/>
        </w:rPr>
        <w:t>, 141 Ohio App.3d 733, 755 (1st Dist. 2001) (under Cincinnati Municipal Code, the city’s use of tax information in a nuisance-abatement action constituted an official purpose for which disclosure is permitted).</w:t>
      </w:r>
    </w:p>
  </w:endnote>
  <w:endnote w:id="371">
    <w:p w14:paraId="7D31CDC7" w14:textId="7A2DCED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3" w:history="1">
        <w:r w:rsidRPr="00C3377D">
          <w:rPr>
            <w:rStyle w:val="Hyperlink"/>
            <w:rFonts w:asciiTheme="minorHAnsi" w:hAnsiTheme="minorHAnsi" w:cstheme="minorHAnsi"/>
            <w:sz w:val="16"/>
            <w:szCs w:val="16"/>
          </w:rPr>
          <w:t xml:space="preserve">1992 Ohio </w:t>
        </w:r>
        <w:r w:rsidRPr="00C3377D">
          <w:rPr>
            <w:rStyle w:val="Hyperlink"/>
            <w:rFonts w:asciiTheme="minorHAnsi" w:hAnsiTheme="minorHAnsi" w:cstheme="minorHAnsi"/>
            <w:sz w:val="16"/>
            <w:szCs w:val="16"/>
          </w:rPr>
          <w:t>Atty.Gen.Ops. No. 005</w:t>
        </w:r>
      </w:hyperlink>
      <w:r w:rsidRPr="00C3377D">
        <w:rPr>
          <w:rFonts w:asciiTheme="minorHAnsi" w:hAnsiTheme="minorHAnsi" w:cstheme="minorHAnsi"/>
          <w:sz w:val="16"/>
          <w:szCs w:val="16"/>
        </w:rPr>
        <w:t xml:space="preserve">. There is no prohibition on publishing or disclosing tax statistics that do not disclose information about </w:t>
      </w:r>
      <w:r w:rsidR="000E7261">
        <w:rPr>
          <w:rFonts w:asciiTheme="minorHAnsi" w:hAnsiTheme="minorHAnsi" w:cstheme="minorHAnsi"/>
          <w:sz w:val="16"/>
          <w:szCs w:val="16"/>
        </w:rPr>
        <w:t>specific</w:t>
      </w:r>
      <w:r w:rsidRPr="00C3377D">
        <w:rPr>
          <w:rFonts w:asciiTheme="minorHAnsi" w:hAnsiTheme="minorHAnsi" w:cstheme="minorHAnsi"/>
          <w:sz w:val="16"/>
          <w:szCs w:val="16"/>
        </w:rPr>
        <w:t xml:space="preserve"> taxpayers. </w:t>
      </w:r>
      <w:hyperlink r:id="rId534" w:history="1">
        <w:r w:rsidRPr="00C3377D">
          <w:rPr>
            <w:rStyle w:val="Hyperlink"/>
            <w:rFonts w:asciiTheme="minorHAnsi" w:hAnsiTheme="minorHAnsi" w:cstheme="minorHAnsi"/>
            <w:sz w:val="16"/>
            <w:szCs w:val="16"/>
          </w:rPr>
          <w:t>R.C. 718.13(B).</w:t>
        </w:r>
      </w:hyperlink>
    </w:p>
  </w:endnote>
  <w:endnote w:id="372">
    <w:p w14:paraId="7AB0554F" w14:textId="4CFAECF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5" w:history="1">
        <w:r w:rsidRPr="00C3377D">
          <w:rPr>
            <w:rStyle w:val="Hyperlink"/>
            <w:rFonts w:asciiTheme="minorHAnsi" w:hAnsiTheme="minorHAnsi" w:cstheme="minorHAnsi"/>
            <w:sz w:val="16"/>
            <w:szCs w:val="16"/>
          </w:rPr>
          <w:t>R.C. 5747.18</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536" w:history="1">
        <w:r w:rsidRPr="00C3377D">
          <w:rPr>
            <w:rStyle w:val="Hyperlink"/>
            <w:rFonts w:asciiTheme="minorHAnsi" w:hAnsiTheme="minorHAnsi" w:cstheme="minorHAnsi"/>
            <w:sz w:val="16"/>
            <w:szCs w:val="16"/>
          </w:rPr>
          <w:t xml:space="preserve">1992 Ohio </w:t>
        </w:r>
        <w:r w:rsidRPr="00C3377D">
          <w:rPr>
            <w:rStyle w:val="Hyperlink"/>
            <w:rFonts w:asciiTheme="minorHAnsi" w:hAnsiTheme="minorHAnsi" w:cstheme="minorHAnsi"/>
            <w:sz w:val="16"/>
            <w:szCs w:val="16"/>
          </w:rPr>
          <w:t>Atty.Gen.Ops. No. 010.</w:t>
        </w:r>
      </w:hyperlink>
    </w:p>
  </w:endnote>
  <w:endnote w:id="373">
    <w:p w14:paraId="59C5A804" w14:textId="1914357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26 U.S.C. § 6103(a).</w:t>
      </w:r>
    </w:p>
  </w:endnote>
  <w:endnote w:id="374">
    <w:p w14:paraId="66BE3528" w14:textId="5BB36D4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7" w:history="1">
        <w:r w:rsidRPr="00C3377D">
          <w:rPr>
            <w:rStyle w:val="Hyperlink"/>
            <w:rFonts w:asciiTheme="minorHAnsi" w:hAnsiTheme="minorHAnsi" w:cstheme="minorHAnsi"/>
            <w:sz w:val="16"/>
            <w:szCs w:val="16"/>
          </w:rPr>
          <w:t>R.C. 3701.17(B)</w:t>
        </w:r>
      </w:hyperlink>
      <w:r w:rsidRPr="00C3377D">
        <w:rPr>
          <w:rFonts w:asciiTheme="minorHAnsi" w:hAnsiTheme="minorHAnsi" w:cstheme="minorHAnsi"/>
          <w:sz w:val="16"/>
          <w:szCs w:val="16"/>
        </w:rPr>
        <w:t>.</w:t>
      </w:r>
    </w:p>
  </w:endnote>
  <w:endnote w:id="375">
    <w:p w14:paraId="196F2860" w14:textId="3E60BD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8" w:history="1">
        <w:r w:rsidRPr="00C3377D">
          <w:rPr>
            <w:rStyle w:val="Hyperlink"/>
            <w:rFonts w:asciiTheme="minorHAnsi" w:hAnsiTheme="minorHAnsi" w:cstheme="minorHAnsi"/>
            <w:sz w:val="16"/>
            <w:szCs w:val="16"/>
          </w:rPr>
          <w:t>R.C. 3701.17(A)(2).</w:t>
        </w:r>
      </w:hyperlink>
    </w:p>
  </w:endnote>
  <w:endnote w:id="376">
    <w:p w14:paraId="7D23EFBD" w14:textId="5FFFA2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39" w:history="1">
        <w:r w:rsidRPr="00C3377D">
          <w:rPr>
            <w:rStyle w:val="Hyperlink"/>
            <w:rFonts w:asciiTheme="minorHAnsi" w:hAnsiTheme="minorHAnsi" w:cstheme="minorHAnsi"/>
            <w:i/>
            <w:sz w:val="16"/>
            <w:szCs w:val="16"/>
          </w:rPr>
          <w:t>Walsh v. Ohio Dept. of Health</w:t>
        </w:r>
      </w:hyperlink>
      <w:r w:rsidRPr="00E10B2E">
        <w:rPr>
          <w:rFonts w:asciiTheme="minorHAnsi" w:hAnsiTheme="minorHAnsi" w:cstheme="minorHAnsi"/>
          <w:iCs/>
          <w:sz w:val="16"/>
          <w:szCs w:val="16"/>
        </w:rPr>
        <w:t xml:space="preserve">, </w:t>
      </w:r>
      <w:r w:rsidR="00E10B2E">
        <w:rPr>
          <w:rFonts w:asciiTheme="minorHAnsi" w:hAnsiTheme="minorHAnsi" w:cstheme="minorHAnsi"/>
          <w:iCs/>
          <w:sz w:val="16"/>
          <w:szCs w:val="16"/>
        </w:rPr>
        <w:t>10</w:t>
      </w:r>
      <w:r w:rsidR="00E10B2E" w:rsidRPr="00E10B2E">
        <w:rPr>
          <w:rFonts w:asciiTheme="minorHAnsi" w:hAnsiTheme="minorHAnsi" w:cstheme="minorHAnsi"/>
          <w:iCs/>
          <w:sz w:val="16"/>
          <w:szCs w:val="16"/>
        </w:rPr>
        <w:t>th</w:t>
      </w:r>
      <w:r w:rsidR="00E10B2E">
        <w:rPr>
          <w:rFonts w:asciiTheme="minorHAnsi" w:hAnsiTheme="minorHAnsi" w:cstheme="minorHAnsi"/>
          <w:iCs/>
          <w:sz w:val="16"/>
          <w:szCs w:val="16"/>
        </w:rPr>
        <w:t xml:space="preserve"> Dist. Franklin </w:t>
      </w:r>
      <w:r w:rsidR="00E10B2E" w:rsidRPr="00E10B2E">
        <w:rPr>
          <w:rFonts w:asciiTheme="minorHAnsi" w:hAnsiTheme="minorHAnsi" w:cstheme="minorHAnsi"/>
          <w:iCs/>
          <w:sz w:val="16"/>
          <w:szCs w:val="16"/>
        </w:rPr>
        <w:t>No. 21AP-109</w:t>
      </w:r>
      <w:r w:rsidR="00E10B2E">
        <w:rPr>
          <w:rFonts w:asciiTheme="minorHAnsi" w:hAnsiTheme="minorHAnsi" w:cstheme="minorHAnsi"/>
          <w:iCs/>
          <w:sz w:val="16"/>
          <w:szCs w:val="16"/>
        </w:rPr>
        <w:t xml:space="preserve">, </w:t>
      </w:r>
      <w:r w:rsidRPr="00E10B2E">
        <w:rPr>
          <w:rFonts w:asciiTheme="minorHAnsi" w:hAnsiTheme="minorHAnsi" w:cstheme="minorHAnsi"/>
          <w:iCs/>
          <w:sz w:val="16"/>
          <w:szCs w:val="16"/>
        </w:rPr>
        <w:t>2022</w:t>
      </w:r>
      <w:r w:rsidRPr="00C3377D">
        <w:rPr>
          <w:rFonts w:asciiTheme="minorHAnsi" w:hAnsiTheme="minorHAnsi" w:cstheme="minorHAnsi"/>
          <w:sz w:val="16"/>
          <w:szCs w:val="16"/>
        </w:rPr>
        <w:t>-Ohio-272, ¶ 1</w:t>
      </w:r>
      <w:r w:rsidR="00E10B2E">
        <w:rPr>
          <w:rFonts w:asciiTheme="minorHAnsi" w:hAnsiTheme="minorHAnsi" w:cstheme="minorHAnsi"/>
          <w:sz w:val="16"/>
          <w:szCs w:val="16"/>
        </w:rPr>
        <w:t>5.</w:t>
      </w:r>
    </w:p>
  </w:endnote>
  <w:endnote w:id="377">
    <w:p w14:paraId="2202AD3E" w14:textId="6FB88E3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0" w:history="1">
        <w:r w:rsidRPr="00C3377D">
          <w:rPr>
            <w:rStyle w:val="Hyperlink"/>
            <w:rFonts w:asciiTheme="minorHAnsi" w:hAnsiTheme="minorHAnsi" w:cstheme="minorHAnsi"/>
            <w:i/>
            <w:sz w:val="16"/>
            <w:szCs w:val="16"/>
          </w:rPr>
          <w:t>Ludlow v. Ohio Dept. of Health</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10th Dist. Franklin No. 21AP-369, 2022-Ohio-3399, </w:t>
      </w:r>
      <w:r w:rsidRPr="00C3377D">
        <w:rPr>
          <w:rFonts w:asciiTheme="minorHAnsi" w:hAnsiTheme="minorHAnsi" w:cstheme="minorHAnsi"/>
          <w:i/>
          <w:sz w:val="16"/>
          <w:szCs w:val="16"/>
        </w:rPr>
        <w:t xml:space="preserve">appeal pending, </w:t>
      </w:r>
      <w:r w:rsidR="00D2464C">
        <w:rPr>
          <w:rFonts w:asciiTheme="minorHAnsi" w:hAnsiTheme="minorHAnsi" w:cstheme="minorHAnsi"/>
          <w:iCs/>
          <w:sz w:val="16"/>
          <w:szCs w:val="16"/>
        </w:rPr>
        <w:t xml:space="preserve">S.Ct. No. </w:t>
      </w:r>
      <w:r w:rsidRPr="00C3377D">
        <w:rPr>
          <w:rFonts w:asciiTheme="minorHAnsi" w:hAnsiTheme="minorHAnsi" w:cstheme="minorHAnsi"/>
          <w:sz w:val="16"/>
          <w:szCs w:val="16"/>
        </w:rPr>
        <w:t>202</w:t>
      </w:r>
      <w:r w:rsidR="00EB2D47">
        <w:rPr>
          <w:rFonts w:asciiTheme="minorHAnsi" w:hAnsiTheme="minorHAnsi" w:cstheme="minorHAnsi"/>
          <w:sz w:val="16"/>
          <w:szCs w:val="16"/>
        </w:rPr>
        <w:t>2</w:t>
      </w:r>
      <w:r w:rsidRPr="00C3377D">
        <w:rPr>
          <w:rFonts w:asciiTheme="minorHAnsi" w:hAnsiTheme="minorHAnsi" w:cstheme="minorHAnsi"/>
          <w:sz w:val="16"/>
          <w:szCs w:val="16"/>
        </w:rPr>
        <w:t>-Ohio-</w:t>
      </w:r>
      <w:r w:rsidR="00EB2D47">
        <w:rPr>
          <w:rFonts w:asciiTheme="minorHAnsi" w:hAnsiTheme="minorHAnsi" w:cstheme="minorHAnsi"/>
          <w:sz w:val="16"/>
          <w:szCs w:val="16"/>
        </w:rPr>
        <w:t>1391</w:t>
      </w:r>
      <w:r w:rsidRPr="00C3377D">
        <w:rPr>
          <w:rFonts w:asciiTheme="minorHAnsi" w:hAnsiTheme="minorHAnsi" w:cstheme="minorHAnsi"/>
          <w:sz w:val="16"/>
          <w:szCs w:val="16"/>
        </w:rPr>
        <w:t>.</w:t>
      </w:r>
    </w:p>
  </w:endnote>
  <w:endnote w:id="378">
    <w:p w14:paraId="16375944" w14:textId="29474B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1" w:history="1">
        <w:r w:rsidRPr="00C3377D">
          <w:rPr>
            <w:rStyle w:val="Hyperlink"/>
            <w:rFonts w:asciiTheme="minorHAnsi" w:hAnsiTheme="minorHAnsi" w:cstheme="minorHAnsi"/>
            <w:sz w:val="16"/>
            <w:szCs w:val="16"/>
          </w:rPr>
          <w:t xml:space="preserve">1990 Ohio </w:t>
        </w:r>
        <w:r w:rsidRPr="00C3377D">
          <w:rPr>
            <w:rStyle w:val="Hyperlink"/>
            <w:rFonts w:asciiTheme="minorHAnsi" w:hAnsiTheme="minorHAnsi" w:cstheme="minorHAnsi"/>
            <w:sz w:val="16"/>
            <w:szCs w:val="16"/>
          </w:rPr>
          <w:t>Atty.Gen.Ops. No. 101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42" w:history="1">
        <w:r w:rsidRPr="00C3377D">
          <w:rPr>
            <w:rStyle w:val="Hyperlink"/>
            <w:rFonts w:asciiTheme="minorHAnsi" w:hAnsiTheme="minorHAnsi" w:cstheme="minorHAnsi"/>
            <w:i/>
            <w:sz w:val="16"/>
            <w:szCs w:val="16"/>
          </w:rPr>
          <w:t>Sengstock v. City of Twinsbur</w:t>
        </w:r>
      </w:hyperlink>
      <w:r w:rsidRPr="00C3377D">
        <w:rPr>
          <w:rFonts w:asciiTheme="minorHAnsi" w:hAnsiTheme="minorHAnsi" w:cstheme="minorHAnsi"/>
          <w:i/>
          <w:sz w:val="16"/>
          <w:szCs w:val="16"/>
        </w:rPr>
        <w:t xml:space="preserve">g, </w:t>
      </w:r>
      <w:r w:rsidRPr="00C3377D">
        <w:rPr>
          <w:rFonts w:asciiTheme="minorHAnsi" w:hAnsiTheme="minorHAnsi" w:cstheme="minorHAnsi"/>
          <w:sz w:val="16"/>
          <w:szCs w:val="16"/>
        </w:rPr>
        <w:t xml:space="preserve">Ct. of Cl. No. 2021-00330PQ, 2021-Ohio-4438, ¶ 13,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2021-0330PQ</w:t>
      </w:r>
      <w:r w:rsidR="0055678A" w:rsidRPr="00C3377D">
        <w:rPr>
          <w:rFonts w:asciiTheme="minorHAnsi" w:hAnsiTheme="minorHAnsi" w:cstheme="minorHAnsi"/>
          <w:sz w:val="16"/>
          <w:szCs w:val="16"/>
        </w:rPr>
        <w:t xml:space="preserve">, </w:t>
      </w:r>
      <w:r w:rsidRPr="00C3377D">
        <w:rPr>
          <w:rFonts w:asciiTheme="minorHAnsi" w:hAnsiTheme="minorHAnsi" w:cstheme="minorHAnsi"/>
          <w:sz w:val="16"/>
          <w:szCs w:val="16"/>
        </w:rPr>
        <w:t>2022-Ohio-314 (juvenile employee names in a payroll record do not fall under any exemption).</w:t>
      </w:r>
    </w:p>
  </w:endnote>
  <w:endnote w:id="379">
    <w:p w14:paraId="64684910" w14:textId="17B5F23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3" w:history="1">
        <w:r w:rsidRPr="00C3377D">
          <w:rPr>
            <w:rStyle w:val="Hyperlink"/>
            <w:rFonts w:asciiTheme="minorHAnsi" w:hAnsiTheme="minorHAnsi" w:cstheme="minorHAnsi"/>
            <w:sz w:val="16"/>
            <w:szCs w:val="16"/>
          </w:rPr>
          <w:t xml:space="preserve">1990 Ohio </w:t>
        </w:r>
        <w:r w:rsidRPr="00C3377D">
          <w:rPr>
            <w:rStyle w:val="Hyperlink"/>
            <w:rFonts w:asciiTheme="minorHAnsi" w:hAnsiTheme="minorHAnsi" w:cstheme="minorHAnsi"/>
            <w:sz w:val="16"/>
            <w:szCs w:val="16"/>
          </w:rPr>
          <w:t>Atty.Gen.Ops. No. 101</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Chapter Two: A.1</w:t>
      </w:r>
      <w:r w:rsidR="00334396">
        <w:rPr>
          <w:rFonts w:asciiTheme="minorHAnsi" w:hAnsiTheme="minorHAnsi" w:cstheme="minorHAnsi"/>
          <w:sz w:val="16"/>
          <w:szCs w:val="16"/>
        </w:rPr>
        <w:t>5</w:t>
      </w:r>
      <w:r w:rsidRPr="00C3377D">
        <w:rPr>
          <w:rFonts w:asciiTheme="minorHAnsi" w:hAnsiTheme="minorHAnsi" w:cstheme="minorHAnsi"/>
          <w:sz w:val="16"/>
          <w:szCs w:val="16"/>
        </w:rPr>
        <w:t>.</w:t>
      </w:r>
      <w:r w:rsidR="0055678A" w:rsidRPr="00C3377D">
        <w:rPr>
          <w:rFonts w:asciiTheme="minorHAnsi" w:hAnsiTheme="minorHAnsi" w:cstheme="minorHAnsi"/>
          <w:sz w:val="16"/>
          <w:szCs w:val="16"/>
        </w:rPr>
        <w:t>c</w:t>
      </w:r>
      <w:r w:rsidRPr="00C3377D">
        <w:rPr>
          <w:rFonts w:asciiTheme="minorHAnsi" w:hAnsiTheme="minorHAnsi" w:cstheme="minorHAnsi"/>
          <w:sz w:val="16"/>
          <w:szCs w:val="16"/>
        </w:rPr>
        <w:t>. “Requirement to notify of and explain redactions and withholding of records.”</w:t>
      </w:r>
    </w:p>
  </w:endnote>
  <w:endnote w:id="380">
    <w:p w14:paraId="0FC7CFF8" w14:textId="51DC879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4" w:history="1">
        <w:r w:rsidRPr="00C3377D">
          <w:rPr>
            <w:rStyle w:val="Hyperlink"/>
            <w:rFonts w:asciiTheme="minorHAnsi" w:hAnsiTheme="minorHAnsi" w:cstheme="minorHAnsi"/>
            <w:sz w:val="16"/>
            <w:szCs w:val="16"/>
          </w:rPr>
          <w:t>Juv. R. 27 and 37(B)</w:t>
        </w:r>
      </w:hyperlink>
      <w:r w:rsidRPr="00C3377D">
        <w:rPr>
          <w:rFonts w:asciiTheme="minorHAnsi" w:hAnsiTheme="minorHAnsi" w:cstheme="minorHAnsi"/>
          <w:sz w:val="16"/>
          <w:szCs w:val="16"/>
        </w:rPr>
        <w:t xml:space="preserve">; </w:t>
      </w:r>
      <w:hyperlink r:id="rId545" w:history="1">
        <w:r w:rsidRPr="00C3377D">
          <w:rPr>
            <w:rStyle w:val="Hyperlink"/>
            <w:rFonts w:asciiTheme="minorHAnsi" w:hAnsiTheme="minorHAnsi" w:cstheme="minorHAnsi"/>
            <w:sz w:val="16"/>
            <w:szCs w:val="16"/>
          </w:rPr>
          <w:t xml:space="preserve">1990 Ohio </w:t>
        </w:r>
        <w:r w:rsidRPr="00C3377D">
          <w:rPr>
            <w:rStyle w:val="Hyperlink"/>
            <w:rFonts w:asciiTheme="minorHAnsi" w:hAnsiTheme="minorHAnsi" w:cstheme="minorHAnsi"/>
            <w:sz w:val="16"/>
            <w:szCs w:val="16"/>
          </w:rPr>
          <w:t>Atty.Gen.Ops. No. 101</w:t>
        </w:r>
      </w:hyperlink>
      <w:r w:rsidRPr="00C3377D">
        <w:rPr>
          <w:rFonts w:asciiTheme="minorHAnsi" w:hAnsiTheme="minorHAnsi" w:cstheme="minorHAnsi"/>
          <w:sz w:val="16"/>
          <w:szCs w:val="16"/>
        </w:rPr>
        <w:t xml:space="preserve"> (clarified by</w:t>
      </w:r>
      <w:hyperlink r:id="rId546" w:history="1">
        <w:r w:rsidRPr="00C3377D">
          <w:rPr>
            <w:rStyle w:val="Hyperlink"/>
            <w:rFonts w:asciiTheme="minorHAnsi" w:hAnsiTheme="minorHAnsi" w:cstheme="minorHAnsi"/>
            <w:sz w:val="16"/>
            <w:szCs w:val="16"/>
          </w:rPr>
          <w:t xml:space="preserve"> 2017 Ohio Atty.Gen.Ops. No 042</w:t>
        </w:r>
      </w:hyperlink>
      <w:r w:rsidRPr="00C3377D">
        <w:rPr>
          <w:rFonts w:asciiTheme="minorHAnsi" w:hAnsiTheme="minorHAnsi" w:cstheme="minorHAnsi"/>
          <w:sz w:val="16"/>
          <w:szCs w:val="16"/>
        </w:rPr>
        <w:t>).</w:t>
      </w:r>
    </w:p>
  </w:endnote>
  <w:endnote w:id="381">
    <w:p w14:paraId="7F8218CF"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Scripps Howard Broadcasting Co. v. Cuyahoga </w:t>
      </w:r>
      <w:r w:rsidRPr="00C3377D">
        <w:rPr>
          <w:rFonts w:asciiTheme="minorHAnsi" w:hAnsiTheme="minorHAnsi" w:cstheme="minorHAnsi"/>
          <w:i/>
          <w:sz w:val="16"/>
          <w:szCs w:val="16"/>
        </w:rPr>
        <w:t>Cty. Court of Common Pleas</w:t>
      </w:r>
      <w:r w:rsidRPr="00C3377D">
        <w:rPr>
          <w:rFonts w:asciiTheme="minorHAnsi" w:hAnsiTheme="minorHAnsi" w:cstheme="minorHAnsi"/>
          <w:sz w:val="16"/>
          <w:szCs w:val="16"/>
        </w:rPr>
        <w:t>, 73 Ohio St.3d 19, 21-22 (1995) (the release of a transcript of a juvenile contempt proceeding was required when proceedings were open to the public).</w:t>
      </w:r>
    </w:p>
  </w:endnote>
  <w:endnote w:id="382">
    <w:p w14:paraId="3CFEB47C" w14:textId="4490FD4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7" w:history="1">
        <w:r w:rsidRPr="00C3377D">
          <w:rPr>
            <w:rStyle w:val="Hyperlink"/>
            <w:rFonts w:asciiTheme="minorHAnsi" w:hAnsiTheme="minorHAnsi" w:cstheme="minorHAnsi"/>
            <w:i/>
            <w:sz w:val="16"/>
            <w:szCs w:val="16"/>
          </w:rPr>
          <w:t>State ex rel. Plain Dealer Publishing Co. v. Floyd</w:t>
        </w:r>
      </w:hyperlink>
      <w:r w:rsidRPr="00C3377D">
        <w:rPr>
          <w:rFonts w:asciiTheme="minorHAnsi" w:hAnsiTheme="minorHAnsi" w:cstheme="minorHAnsi"/>
          <w:sz w:val="16"/>
          <w:szCs w:val="16"/>
        </w:rPr>
        <w:t>, 111 Ohio St.3d 56, 2006-Ohio-4437, ¶ 44-52.</w:t>
      </w:r>
    </w:p>
  </w:endnote>
  <w:endnote w:id="383">
    <w:p w14:paraId="125ED97C" w14:textId="127FC97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8" w:history="1">
        <w:r w:rsidRPr="00C3377D">
          <w:rPr>
            <w:rStyle w:val="Hyperlink"/>
            <w:rFonts w:asciiTheme="minorHAnsi" w:hAnsiTheme="minorHAnsi" w:cstheme="minorHAnsi"/>
            <w:sz w:val="16"/>
            <w:szCs w:val="16"/>
          </w:rPr>
          <w:t>Juv.R. 32(B).</w:t>
        </w:r>
      </w:hyperlink>
    </w:p>
  </w:endnote>
  <w:endnote w:id="384">
    <w:p w14:paraId="5BCA14C1" w14:textId="5296F46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49" w:history="1">
        <w:r w:rsidRPr="00C3377D">
          <w:rPr>
            <w:rStyle w:val="Hyperlink"/>
            <w:rFonts w:asciiTheme="minorHAnsi" w:hAnsiTheme="minorHAnsi" w:cstheme="minorHAnsi"/>
            <w:sz w:val="16"/>
            <w:szCs w:val="16"/>
          </w:rPr>
          <w:t>R.C. 2151.14 (B).</w:t>
        </w:r>
      </w:hyperlink>
    </w:p>
  </w:endnote>
  <w:endnote w:id="385">
    <w:p w14:paraId="728B1E7B" w14:textId="278FDBA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0" w:history="1">
        <w:r w:rsidRPr="00C3377D">
          <w:rPr>
            <w:rStyle w:val="Hyperlink"/>
            <w:rFonts w:asciiTheme="minorHAnsi" w:hAnsiTheme="minorHAnsi" w:cstheme="minorHAnsi"/>
            <w:sz w:val="16"/>
            <w:szCs w:val="16"/>
          </w:rPr>
          <w:t>R.C. 5139.05(D).</w:t>
        </w:r>
      </w:hyperlink>
    </w:p>
  </w:endnote>
  <w:endnote w:id="386">
    <w:p w14:paraId="5E1D43E0" w14:textId="7529C8B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1" w:history="1">
        <w:r w:rsidRPr="00C3377D">
          <w:rPr>
            <w:rStyle w:val="Hyperlink"/>
            <w:rFonts w:asciiTheme="minorHAnsi" w:hAnsiTheme="minorHAnsi" w:cstheme="minorHAnsi"/>
            <w:sz w:val="16"/>
            <w:szCs w:val="16"/>
          </w:rPr>
          <w:t>R.C. 2151.355-.358</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hyperlink r:id="rId552" w:history="1">
        <w:r w:rsidRPr="00C3377D">
          <w:rPr>
            <w:rStyle w:val="Hyperlink"/>
            <w:rFonts w:asciiTheme="minorHAnsi" w:hAnsiTheme="minorHAnsi" w:cstheme="minorHAnsi"/>
            <w:i/>
            <w:sz w:val="16"/>
            <w:szCs w:val="16"/>
          </w:rPr>
          <w:t>State ex rel. Doe v. Smith</w:t>
        </w:r>
      </w:hyperlink>
      <w:r w:rsidRPr="00C3377D">
        <w:rPr>
          <w:rFonts w:asciiTheme="minorHAnsi" w:hAnsiTheme="minorHAnsi" w:cstheme="minorHAnsi"/>
          <w:sz w:val="16"/>
          <w:szCs w:val="16"/>
        </w:rPr>
        <w:t xml:space="preserve">, 123 Ohio St.3d 44, 2009-Ohio-4149, ¶ 6, 9, 38, 43 (when records were sealed pursuant to R.C. 2151.356, the response, “There is no information available,” was a violation of the R.C. 149.43(B)(3) requirement to provide a sufficient explanation, with legal authority, for the denial);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w:t>
      </w:r>
      <w:r w:rsidR="0055678A"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E0738B">
        <w:rPr>
          <w:rFonts w:asciiTheme="minorHAnsi" w:hAnsiTheme="minorHAnsi" w:cstheme="minorHAnsi"/>
          <w:sz w:val="16"/>
          <w:szCs w:val="16"/>
        </w:rPr>
        <w:t>B</w:t>
      </w:r>
      <w:r w:rsidRPr="00C3377D">
        <w:rPr>
          <w:rFonts w:asciiTheme="minorHAnsi" w:hAnsiTheme="minorHAnsi" w:cstheme="minorHAnsi"/>
          <w:sz w:val="16"/>
          <w:szCs w:val="16"/>
        </w:rPr>
        <w:t>. “Court Records.”</w:t>
      </w:r>
    </w:p>
  </w:endnote>
  <w:endnote w:id="387">
    <w:p w14:paraId="5D23DB7B" w14:textId="2D3722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3" w:history="1">
        <w:r w:rsidRPr="00C3377D">
          <w:rPr>
            <w:rStyle w:val="Hyperlink"/>
            <w:rFonts w:asciiTheme="minorHAnsi" w:hAnsiTheme="minorHAnsi" w:cstheme="minorHAnsi"/>
            <w:sz w:val="16"/>
            <w:szCs w:val="16"/>
          </w:rPr>
          <w:t>R.C. 5153.17</w:t>
        </w:r>
      </w:hyperlink>
      <w:r w:rsidRPr="00C3377D">
        <w:rPr>
          <w:rFonts w:asciiTheme="minorHAnsi" w:hAnsiTheme="minorHAnsi" w:cstheme="minorHAnsi"/>
          <w:sz w:val="16"/>
          <w:szCs w:val="16"/>
        </w:rPr>
        <w:t xml:space="preserve">; </w:t>
      </w:r>
      <w:hyperlink r:id="rId554" w:history="1">
        <w:r w:rsidRPr="00C3377D">
          <w:rPr>
            <w:rStyle w:val="Hyperlink"/>
            <w:rFonts w:asciiTheme="minorHAnsi" w:hAnsiTheme="minorHAnsi" w:cstheme="minorHAnsi"/>
            <w:i/>
            <w:sz w:val="16"/>
            <w:szCs w:val="16"/>
          </w:rPr>
          <w:t xml:space="preserve">State ex rel. Edinger v. Cuyahoga </w:t>
        </w:r>
        <w:r w:rsidRPr="00C3377D">
          <w:rPr>
            <w:rStyle w:val="Hyperlink"/>
            <w:rFonts w:asciiTheme="minorHAnsi" w:hAnsiTheme="minorHAnsi" w:cstheme="minorHAnsi"/>
            <w:i/>
            <w:sz w:val="16"/>
            <w:szCs w:val="16"/>
          </w:rPr>
          <w:t>Cty. Dept. of Children &amp; Family Serv.</w:t>
        </w:r>
      </w:hyperlink>
      <w:r w:rsidRPr="00C3377D">
        <w:rPr>
          <w:rFonts w:asciiTheme="minorHAnsi" w:hAnsiTheme="minorHAnsi" w:cstheme="minorHAnsi"/>
          <w:sz w:val="16"/>
          <w:szCs w:val="16"/>
        </w:rPr>
        <w:t>, 8th Dist. Cuyahoga No. 86341, 2005-Ohio-5453, ¶ 6-7.</w:t>
      </w:r>
    </w:p>
  </w:endnote>
  <w:endnote w:id="388">
    <w:p w14:paraId="43A7EB14" w14:textId="78C8B4A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5" w:history="1">
        <w:r w:rsidRPr="00C3377D">
          <w:rPr>
            <w:rStyle w:val="Hyperlink"/>
            <w:rFonts w:asciiTheme="minorHAnsi" w:hAnsiTheme="minorHAnsi" w:cstheme="minorHAnsi"/>
            <w:sz w:val="16"/>
            <w:szCs w:val="16"/>
          </w:rPr>
          <w:t>R.C. 5153.17</w:t>
        </w:r>
      </w:hyperlink>
      <w:r w:rsidRPr="00C3377D">
        <w:rPr>
          <w:rFonts w:asciiTheme="minorHAnsi" w:hAnsiTheme="minorHAnsi" w:cstheme="minorHAnsi"/>
          <w:sz w:val="16"/>
          <w:szCs w:val="16"/>
        </w:rPr>
        <w:t xml:space="preserve">; </w:t>
      </w:r>
      <w:hyperlink r:id="rId556" w:history="1">
        <w:r w:rsidRPr="00C3377D">
          <w:rPr>
            <w:rStyle w:val="Hyperlink"/>
            <w:rFonts w:asciiTheme="minorHAnsi" w:hAnsiTheme="minorHAnsi" w:cstheme="minorHAnsi"/>
            <w:sz w:val="16"/>
            <w:szCs w:val="16"/>
          </w:rPr>
          <w:t xml:space="preserve">1991 Ohio </w:t>
        </w:r>
        <w:r w:rsidRPr="00C3377D">
          <w:rPr>
            <w:rStyle w:val="Hyperlink"/>
            <w:rFonts w:asciiTheme="minorHAnsi" w:hAnsiTheme="minorHAnsi" w:cstheme="minorHAnsi"/>
            <w:sz w:val="16"/>
            <w:szCs w:val="16"/>
          </w:rPr>
          <w:t>Atty.Gen.Ops. No. 003.</w:t>
        </w:r>
      </w:hyperlink>
    </w:p>
  </w:endnote>
  <w:endnote w:id="389">
    <w:p w14:paraId="1BF23F9A" w14:textId="33D1851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57" w:history="1">
        <w:r w:rsidRPr="00C3377D">
          <w:rPr>
            <w:rStyle w:val="Hyperlink"/>
            <w:rFonts w:asciiTheme="minorHAnsi" w:hAnsiTheme="minorHAnsi" w:cstheme="minorHAnsi"/>
            <w:sz w:val="16"/>
            <w:szCs w:val="16"/>
          </w:rPr>
          <w:t>R.C. 2151.421(I)</w:t>
        </w:r>
      </w:hyperlink>
      <w:r w:rsidRPr="00C3377D">
        <w:rPr>
          <w:rFonts w:asciiTheme="minorHAnsi" w:hAnsiTheme="minorHAnsi" w:cstheme="minorHAnsi"/>
          <w:sz w:val="16"/>
          <w:szCs w:val="16"/>
        </w:rPr>
        <w:t xml:space="preserve">; </w:t>
      </w:r>
      <w:hyperlink r:id="rId558" w:history="1">
        <w:r w:rsidRPr="00C3377D">
          <w:rPr>
            <w:rStyle w:val="Hyperlink"/>
            <w:rFonts w:asciiTheme="minorHAnsi" w:hAnsiTheme="minorHAnsi" w:cstheme="minorHAnsi"/>
            <w:i/>
            <w:sz w:val="16"/>
            <w:szCs w:val="16"/>
          </w:rPr>
          <w:t xml:space="preserve">State ex rel. Clough v. Franklin </w:t>
        </w:r>
        <w:r w:rsidRPr="00C3377D">
          <w:rPr>
            <w:rStyle w:val="Hyperlink"/>
            <w:rFonts w:asciiTheme="minorHAnsi" w:hAnsiTheme="minorHAnsi" w:cstheme="minorHAnsi"/>
            <w:i/>
            <w:sz w:val="16"/>
            <w:szCs w:val="16"/>
          </w:rPr>
          <w:t>Cty. Children Servs.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144 Ohio St.3d 83, 2015-Ohio-3425, ¶ 19 (finding the report of a child-abuse allegation and the investigation of that allegation is confidential under R.C. 2151.421); </w:t>
      </w:r>
      <w:hyperlink r:id="rId559" w:history="1">
        <w:r w:rsidRPr="00C3377D">
          <w:rPr>
            <w:rStyle w:val="Hyperlink"/>
            <w:rFonts w:asciiTheme="minorHAnsi" w:hAnsiTheme="minorHAnsi" w:cstheme="minorHAnsi"/>
            <w:i/>
            <w:sz w:val="16"/>
            <w:szCs w:val="16"/>
          </w:rPr>
          <w:t>State ex rel. Beacon Journal Publishing Co. v. Akron</w:t>
        </w:r>
      </w:hyperlink>
      <w:r w:rsidRPr="00C3377D">
        <w:rPr>
          <w:rFonts w:asciiTheme="minorHAnsi" w:hAnsiTheme="minorHAnsi" w:cstheme="minorHAnsi"/>
          <w:sz w:val="16"/>
          <w:szCs w:val="16"/>
        </w:rPr>
        <w:t>, 104 Ohio St.3d 399, 2004-Ohio-6557, ¶ 44-45.</w:t>
      </w:r>
    </w:p>
  </w:endnote>
  <w:endnote w:id="390">
    <w:p w14:paraId="377EA88C" w14:textId="74E8FCC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r w:rsidRPr="00C3377D">
        <w:rPr>
          <w:rFonts w:asciiTheme="minorHAnsi" w:hAnsiTheme="minorHAnsi" w:cstheme="minorHAnsi"/>
          <w:sz w:val="16"/>
          <w:szCs w:val="16"/>
        </w:rPr>
        <w:t>Chapter Three: F.3. “Student records.”</w:t>
      </w:r>
    </w:p>
  </w:endnote>
  <w:endnote w:id="391">
    <w:p w14:paraId="1114E624" w14:textId="774756A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0" w:history="1">
        <w:r w:rsidRPr="00C3377D">
          <w:rPr>
            <w:rStyle w:val="Hyperlink"/>
            <w:rFonts w:asciiTheme="minorHAnsi" w:hAnsiTheme="minorHAnsi" w:cstheme="minorHAnsi"/>
            <w:sz w:val="16"/>
            <w:szCs w:val="16"/>
          </w:rPr>
          <w:t>R.C. 149.43(A)(1)(y)</w:t>
        </w:r>
      </w:hyperlink>
      <w:r w:rsidRPr="00C3377D">
        <w:rPr>
          <w:rFonts w:asciiTheme="minorHAnsi" w:hAnsiTheme="minorHAnsi" w:cstheme="minorHAnsi"/>
          <w:sz w:val="16"/>
          <w:szCs w:val="16"/>
        </w:rPr>
        <w:t xml:space="preserve">, citing </w:t>
      </w:r>
      <w:hyperlink r:id="rId561" w:history="1">
        <w:r w:rsidRPr="00C3377D">
          <w:rPr>
            <w:rStyle w:val="Hyperlink"/>
            <w:rFonts w:asciiTheme="minorHAnsi" w:hAnsiTheme="minorHAnsi" w:cstheme="minorHAnsi"/>
            <w:sz w:val="16"/>
            <w:szCs w:val="16"/>
          </w:rPr>
          <w:t>R.C. 5101.29</w:t>
        </w:r>
      </w:hyperlink>
      <w:r w:rsidRPr="00C3377D">
        <w:rPr>
          <w:rFonts w:asciiTheme="minorHAnsi" w:hAnsiTheme="minorHAnsi" w:cstheme="minorHAnsi"/>
          <w:sz w:val="16"/>
          <w:szCs w:val="16"/>
        </w:rPr>
        <w:t>.</w:t>
      </w:r>
    </w:p>
  </w:endnote>
  <w:endnote w:id="392">
    <w:p w14:paraId="69CDC067" w14:textId="0AA9186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hyperlink r:id="rId562" w:history="1">
        <w:r w:rsidRPr="00C3377D">
          <w:rPr>
            <w:rStyle w:val="Hyperlink"/>
            <w:rFonts w:asciiTheme="minorHAnsi" w:hAnsiTheme="minorHAnsi" w:cstheme="minorHAnsi"/>
            <w:sz w:val="16"/>
            <w:szCs w:val="16"/>
          </w:rPr>
          <w:t xml:space="preserve"> R.C. 149.43(A)(1)(r)</w:t>
        </w:r>
      </w:hyperlink>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hyperlink r:id="rId563" w:history="1">
        <w:r w:rsidRPr="00C3377D">
          <w:rPr>
            <w:rStyle w:val="Hyperlink"/>
            <w:rFonts w:asciiTheme="minorHAnsi" w:hAnsiTheme="minorHAnsi" w:cstheme="minorHAnsi"/>
            <w:i/>
            <w:sz w:val="16"/>
            <w:szCs w:val="16"/>
          </w:rPr>
          <w:t>State ex rel. McCleary v. Roberts</w:t>
        </w:r>
      </w:hyperlink>
      <w:r w:rsidRPr="00C3377D">
        <w:rPr>
          <w:rFonts w:asciiTheme="minorHAnsi" w:hAnsiTheme="minorHAnsi" w:cstheme="minorHAnsi"/>
          <w:sz w:val="16"/>
          <w:szCs w:val="16"/>
        </w:rPr>
        <w:t xml:space="preserve">, </w:t>
      </w:r>
      <w:r w:rsidR="00EB2D47" w:rsidRPr="00C3377D">
        <w:rPr>
          <w:rFonts w:asciiTheme="minorHAnsi" w:hAnsiTheme="minorHAnsi" w:cstheme="minorHAnsi"/>
          <w:sz w:val="16"/>
          <w:szCs w:val="16"/>
        </w:rPr>
        <w:t>88 Ohio St.3d 365, 2000-Ohio-345</w:t>
      </w:r>
      <w:r w:rsidRPr="00C3377D">
        <w:rPr>
          <w:rFonts w:asciiTheme="minorHAnsi" w:hAnsiTheme="minorHAnsi" w:cstheme="minorHAnsi"/>
          <w:sz w:val="16"/>
          <w:szCs w:val="16"/>
        </w:rPr>
        <w:t xml:space="preserve"> (2000).</w:t>
      </w:r>
    </w:p>
  </w:endnote>
  <w:endnote w:id="393">
    <w:p w14:paraId="155B1AA5" w14:textId="71C3EFC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 xml:space="preserve">Chapter </w:t>
      </w:r>
      <w:r w:rsidR="0055678A"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55678A" w:rsidRPr="00C3377D">
        <w:rPr>
          <w:rFonts w:asciiTheme="minorHAnsi" w:hAnsiTheme="minorHAnsi" w:cstheme="minorHAnsi"/>
          <w:sz w:val="16"/>
          <w:szCs w:val="16"/>
        </w:rPr>
        <w:t>A</w:t>
      </w:r>
      <w:r w:rsidRPr="00C3377D">
        <w:rPr>
          <w:rFonts w:asciiTheme="minorHAnsi" w:hAnsiTheme="minorHAnsi" w:cstheme="minorHAnsi"/>
          <w:sz w:val="16"/>
          <w:szCs w:val="16"/>
        </w:rPr>
        <w:t>.9.</w:t>
      </w:r>
      <w:r w:rsidR="00E0738B">
        <w:rPr>
          <w:rFonts w:asciiTheme="minorHAnsi" w:hAnsiTheme="minorHAnsi" w:cstheme="minorHAnsi"/>
          <w:sz w:val="16"/>
          <w:szCs w:val="16"/>
        </w:rPr>
        <w:t xml:space="preserve"> </w:t>
      </w:r>
      <w:r w:rsidRPr="00C3377D">
        <w:rPr>
          <w:rFonts w:asciiTheme="minorHAnsi" w:hAnsiTheme="minorHAnsi" w:cstheme="minorHAnsi"/>
          <w:sz w:val="16"/>
          <w:szCs w:val="16"/>
        </w:rPr>
        <w:t>“School records.”</w:t>
      </w:r>
    </w:p>
  </w:endnote>
  <w:endnote w:id="394">
    <w:p w14:paraId="6319DCA5" w14:textId="0F84FD3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20 U.S.C. § 1232g.</w:t>
      </w:r>
    </w:p>
  </w:endnote>
  <w:endnote w:id="395">
    <w:p w14:paraId="72328253" w14:textId="41AE8CE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 (</w:t>
      </w:r>
      <w:r w:rsidR="00EB2D47">
        <w:rPr>
          <w:rFonts w:asciiTheme="minorHAnsi" w:hAnsiTheme="minorHAnsi" w:cstheme="minorHAnsi"/>
          <w:sz w:val="16"/>
          <w:szCs w:val="16"/>
        </w:rPr>
        <w:t>“</w:t>
      </w:r>
      <w:r w:rsidRPr="00C3377D">
        <w:rPr>
          <w:rFonts w:asciiTheme="minorHAnsi" w:hAnsiTheme="minorHAnsi" w:cstheme="minorHAnsi"/>
          <w:sz w:val="16"/>
          <w:szCs w:val="16"/>
        </w:rPr>
        <w:t>eligible student</w:t>
      </w:r>
      <w:r w:rsidR="00EB2D47">
        <w:rPr>
          <w:rFonts w:asciiTheme="minorHAnsi" w:hAnsiTheme="minorHAnsi" w:cstheme="minorHAnsi"/>
          <w:sz w:val="16"/>
          <w:szCs w:val="16"/>
        </w:rPr>
        <w:t>”</w:t>
      </w:r>
      <w:r w:rsidRPr="00C3377D">
        <w:rPr>
          <w:rFonts w:asciiTheme="minorHAnsi" w:hAnsiTheme="minorHAnsi" w:cstheme="minorHAnsi"/>
          <w:sz w:val="16"/>
          <w:szCs w:val="16"/>
        </w:rPr>
        <w:t xml:space="preserve"> means a student who has reached 18 years of age or is attending an institution of post-secondary education).</w:t>
      </w:r>
    </w:p>
  </w:endnote>
  <w:endnote w:id="396">
    <w:p w14:paraId="16BEA8EF" w14:textId="0E8E9BB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20 U.S.C. § 1232g; 34 C.F.R. § 99.3.</w:t>
      </w:r>
    </w:p>
  </w:endnote>
  <w:endnote w:id="397">
    <w:p w14:paraId="2B639930" w14:textId="46472CF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 </w:t>
      </w:r>
      <w:hyperlink r:id="rId564" w:history="1">
        <w:r w:rsidRPr="00C3377D">
          <w:rPr>
            <w:rStyle w:val="Hyperlink"/>
            <w:rFonts w:asciiTheme="minorHAnsi" w:hAnsiTheme="minorHAnsi" w:cstheme="minorHAnsi"/>
            <w:i/>
            <w:sz w:val="16"/>
            <w:szCs w:val="16"/>
          </w:rPr>
          <w:t>State ex rel. School Choice Ohio, Inc. v. Cincinnati Public School Dist</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147 Ohio St.3d 256, 2016-Ohio-5026, ¶ 20 (under FERPA a school district could not change the categories that fit within the term “directory information” through a policy treating “directory information” as “personally identifiable information” not subject to release without parental consent).</w:t>
      </w:r>
    </w:p>
  </w:endnote>
  <w:endnote w:id="398">
    <w:p w14:paraId="26F8A167" w14:textId="32DF3A8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5" w:history="1">
        <w:r w:rsidRPr="00C3377D">
          <w:rPr>
            <w:rStyle w:val="Hyperlink"/>
            <w:rFonts w:asciiTheme="minorHAnsi" w:hAnsiTheme="minorHAnsi" w:cstheme="minorHAnsi"/>
            <w:i/>
            <w:sz w:val="16"/>
            <w:szCs w:val="16"/>
          </w:rPr>
          <w:t>State ex rel. ESPN, Inc. v. Ohio State Univ.</w:t>
        </w:r>
      </w:hyperlink>
      <w:r w:rsidRPr="00C3377D">
        <w:rPr>
          <w:rFonts w:asciiTheme="minorHAnsi" w:hAnsiTheme="minorHAnsi" w:cstheme="minorHAnsi"/>
          <w:sz w:val="16"/>
          <w:szCs w:val="16"/>
        </w:rPr>
        <w:t xml:space="preserve">, 132 Ohio St.3d 212, 2012-Ohio-2690, ¶ 28-30 (university disciplinary records are education records); </w:t>
      </w:r>
      <w:r w:rsidRPr="00C3377D">
        <w:rPr>
          <w:rFonts w:asciiTheme="minorHAnsi" w:hAnsiTheme="minorHAnsi" w:cstheme="minorHAnsi"/>
          <w:i/>
          <w:sz w:val="16"/>
          <w:szCs w:val="16"/>
        </w:rPr>
        <w:t>see also United States v. Miami Univ.</w:t>
      </w:r>
      <w:r w:rsidRPr="00C3377D">
        <w:rPr>
          <w:rFonts w:asciiTheme="minorHAnsi" w:hAnsiTheme="minorHAnsi" w:cstheme="minorHAnsi"/>
          <w:sz w:val="16"/>
          <w:szCs w:val="16"/>
        </w:rPr>
        <w:t>, 294 F.3d 797, 802-03 (6th Cir. 2002).</w:t>
      </w:r>
    </w:p>
  </w:endnote>
  <w:endnote w:id="399">
    <w:p w14:paraId="2B54B387"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6" w:history="1">
        <w:r w:rsidRPr="00C3377D">
          <w:rPr>
            <w:rStyle w:val="Hyperlink"/>
            <w:rFonts w:asciiTheme="minorHAnsi" w:hAnsiTheme="minorHAnsi" w:cstheme="minorHAnsi"/>
            <w:i/>
            <w:sz w:val="16"/>
            <w:szCs w:val="16"/>
          </w:rPr>
          <w:t>State ex rel. ESPN, Inc. v. Ohio State Univ.</w:t>
        </w:r>
      </w:hyperlink>
      <w:r w:rsidRPr="00C3377D">
        <w:rPr>
          <w:rFonts w:asciiTheme="minorHAnsi" w:hAnsiTheme="minorHAnsi" w:cstheme="minorHAnsi"/>
          <w:sz w:val="16"/>
          <w:szCs w:val="16"/>
        </w:rPr>
        <w:t>, 132 Ohio St.3d 212, 2012-Ohio-2690, ¶ 30.</w:t>
      </w:r>
    </w:p>
  </w:endnote>
  <w:endnote w:id="400">
    <w:p w14:paraId="68710AFA" w14:textId="4A87B3B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99.8; </w:t>
      </w:r>
      <w:hyperlink r:id="rId567" w:history="1">
        <w:r w:rsidRPr="00C3377D">
          <w:rPr>
            <w:rStyle w:val="Hyperlink"/>
            <w:rFonts w:asciiTheme="minorHAnsi" w:hAnsiTheme="minorHAnsi" w:cstheme="minorHAnsi"/>
            <w:i/>
            <w:sz w:val="16"/>
            <w:szCs w:val="16"/>
          </w:rPr>
          <w:t>Cincinnati Enquirer v. Univ. of Cincinnati</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2020-00144PQ, 2020-Ohio-4958, ¶ 31,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2020-00144PQ, 2020-Ohio-5279 (“FERPA neither requires nor prohibits the disclosure by an educational institution of its law enforcement unit records.”).</w:t>
      </w:r>
    </w:p>
  </w:endnote>
  <w:endnote w:id="401">
    <w:p w14:paraId="6B7803FA" w14:textId="085275B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w:t>
      </w:r>
    </w:p>
  </w:endnote>
  <w:endnote w:id="402">
    <w:p w14:paraId="763D8806" w14:textId="78D2BF7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8" w:history="1">
        <w:r w:rsidRPr="00C3377D">
          <w:rPr>
            <w:rStyle w:val="Hyperlink"/>
            <w:rFonts w:asciiTheme="minorHAnsi" w:hAnsiTheme="minorHAnsi" w:cstheme="minorHAnsi"/>
            <w:sz w:val="16"/>
            <w:szCs w:val="16"/>
          </w:rPr>
          <w:t>R.C. 3319.321.</w:t>
        </w:r>
      </w:hyperlink>
    </w:p>
  </w:endnote>
  <w:endnote w:id="403">
    <w:p w14:paraId="31985846" w14:textId="33177A0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69" w:history="1">
        <w:r w:rsidRPr="00C3377D">
          <w:rPr>
            <w:rStyle w:val="Hyperlink"/>
            <w:rFonts w:asciiTheme="minorHAnsi" w:hAnsiTheme="minorHAnsi" w:cstheme="minorHAnsi"/>
            <w:sz w:val="16"/>
            <w:szCs w:val="16"/>
          </w:rPr>
          <w:t>R.C. 3319.321(B)</w:t>
        </w:r>
      </w:hyperlink>
      <w:r w:rsidRPr="00C3377D">
        <w:rPr>
          <w:rFonts w:asciiTheme="minorHAnsi" w:hAnsiTheme="minorHAnsi" w:cstheme="minorHAnsi"/>
          <w:sz w:val="16"/>
          <w:szCs w:val="16"/>
        </w:rPr>
        <w:t xml:space="preserve">. </w:t>
      </w:r>
      <w:r w:rsidR="0082121A">
        <w:rPr>
          <w:rFonts w:asciiTheme="minorHAnsi" w:hAnsiTheme="minorHAnsi" w:cstheme="minorHAnsi"/>
          <w:sz w:val="16"/>
          <w:szCs w:val="16"/>
        </w:rPr>
        <w:t xml:space="preserve">The consent </w:t>
      </w:r>
      <w:r w:rsidRPr="00C3377D">
        <w:rPr>
          <w:rFonts w:asciiTheme="minorHAnsi" w:hAnsiTheme="minorHAnsi" w:cstheme="minorHAnsi"/>
          <w:sz w:val="16"/>
          <w:szCs w:val="16"/>
        </w:rPr>
        <w:t xml:space="preserve">requirement does not </w:t>
      </w:r>
      <w:r w:rsidR="0082121A">
        <w:rPr>
          <w:rFonts w:asciiTheme="minorHAnsi" w:hAnsiTheme="minorHAnsi" w:cstheme="minorHAnsi"/>
          <w:sz w:val="16"/>
          <w:szCs w:val="16"/>
        </w:rPr>
        <w:t>cease</w:t>
      </w:r>
      <w:r w:rsidRPr="00C3377D">
        <w:rPr>
          <w:rFonts w:asciiTheme="minorHAnsi" w:hAnsiTheme="minorHAnsi" w:cstheme="minorHAnsi"/>
          <w:sz w:val="16"/>
          <w:szCs w:val="16"/>
        </w:rPr>
        <w:t xml:space="preserve"> upon the student’s death. </w:t>
      </w:r>
      <w:hyperlink r:id="rId570" w:history="1">
        <w:r w:rsidRPr="00C3377D">
          <w:rPr>
            <w:rStyle w:val="Hyperlink"/>
            <w:rFonts w:asciiTheme="minorHAnsi" w:hAnsiTheme="minorHAnsi" w:cstheme="minorHAnsi"/>
            <w:i/>
            <w:sz w:val="16"/>
            <w:szCs w:val="16"/>
          </w:rPr>
          <w:t xml:space="preserve">State ex. rel. Cable News Network, Inc. v. Bellbrook-Sugarcreek Local </w:t>
        </w:r>
        <w:r w:rsidRPr="00C3377D">
          <w:rPr>
            <w:rStyle w:val="Hyperlink"/>
            <w:rFonts w:asciiTheme="minorHAnsi" w:hAnsiTheme="minorHAnsi" w:cstheme="minorHAnsi"/>
            <w:i/>
            <w:sz w:val="16"/>
            <w:szCs w:val="16"/>
          </w:rPr>
          <w:t>Schs</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163 Ohio St.3d 314, 2020-Ohio-5149, ¶ 18 (deceased mass shooter’s school records </w:t>
      </w:r>
      <w:r w:rsidR="0082121A">
        <w:rPr>
          <w:rFonts w:asciiTheme="minorHAnsi" w:hAnsiTheme="minorHAnsi" w:cstheme="minorHAnsi"/>
          <w:sz w:val="16"/>
          <w:szCs w:val="16"/>
        </w:rPr>
        <w:t xml:space="preserve">not public </w:t>
      </w:r>
      <w:r w:rsidRPr="00C3377D">
        <w:rPr>
          <w:rFonts w:asciiTheme="minorHAnsi" w:hAnsiTheme="minorHAnsi" w:cstheme="minorHAnsi"/>
          <w:sz w:val="16"/>
          <w:szCs w:val="16"/>
        </w:rPr>
        <w:t>absent consent).</w:t>
      </w:r>
    </w:p>
  </w:endnote>
  <w:endnote w:id="404">
    <w:p w14:paraId="3C7F4647" w14:textId="473AD60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w:t>
      </w:r>
    </w:p>
  </w:endnote>
  <w:endnote w:id="405">
    <w:p w14:paraId="79B7EB41" w14:textId="2ACC0AF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1" w:history="1">
        <w:r w:rsidRPr="00C3377D">
          <w:rPr>
            <w:rStyle w:val="Hyperlink"/>
            <w:rFonts w:asciiTheme="minorHAnsi" w:hAnsiTheme="minorHAnsi" w:cstheme="minorHAnsi"/>
            <w:sz w:val="16"/>
            <w:szCs w:val="16"/>
          </w:rPr>
          <w:t>R.C. 3319.321(B)(1)</w:t>
        </w:r>
      </w:hyperlink>
      <w:r w:rsidRPr="00C3377D">
        <w:rPr>
          <w:rFonts w:asciiTheme="minorHAnsi" w:hAnsiTheme="minorHAnsi" w:cstheme="minorHAnsi"/>
          <w:sz w:val="16"/>
          <w:szCs w:val="16"/>
        </w:rPr>
        <w:t>.</w:t>
      </w:r>
    </w:p>
  </w:endnote>
  <w:endnote w:id="406">
    <w:p w14:paraId="1FC9182C" w14:textId="6F29C1E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99.37.</w:t>
      </w:r>
    </w:p>
  </w:endnote>
  <w:endnote w:id="407">
    <w:p w14:paraId="00B117B2" w14:textId="6F04778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2" w:history="1">
        <w:r w:rsidRPr="00C3377D">
          <w:rPr>
            <w:rStyle w:val="Hyperlink"/>
            <w:rFonts w:asciiTheme="minorHAnsi" w:hAnsiTheme="minorHAnsi" w:cstheme="minorHAnsi"/>
            <w:i/>
            <w:sz w:val="16"/>
            <w:szCs w:val="16"/>
          </w:rPr>
          <w:t>State ex rel. School Choice Ohio, Inc. v. Cincinnati Public School Dist.</w:t>
        </w:r>
      </w:hyperlink>
      <w:r w:rsidRPr="00C3377D">
        <w:rPr>
          <w:rFonts w:asciiTheme="minorHAnsi" w:hAnsiTheme="minorHAnsi" w:cstheme="minorHAnsi"/>
          <w:sz w:val="16"/>
          <w:szCs w:val="16"/>
        </w:rPr>
        <w:t>, 147 Ohio St.3d 256, 2016-Ohio-5026, ¶ 31-34 (finding release of student directory information to nonprofit organization that informs parents about alternative educational opportunities is not prohibited by state law).</w:t>
      </w:r>
    </w:p>
  </w:endnote>
  <w:endnote w:id="408">
    <w:p w14:paraId="24E6B49F" w14:textId="4CCAB50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34 C.F.R. § 99.3, R.C. 3319.321(A).</w:t>
      </w:r>
    </w:p>
  </w:endnote>
  <w:endnote w:id="409">
    <w:p w14:paraId="41AC1101"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3" w:history="1">
        <w:r w:rsidRPr="00C3377D">
          <w:rPr>
            <w:rStyle w:val="Hyperlink"/>
            <w:rFonts w:asciiTheme="minorHAnsi" w:hAnsiTheme="minorHAnsi" w:cstheme="minorHAnsi"/>
            <w:i/>
            <w:sz w:val="16"/>
            <w:szCs w:val="16"/>
          </w:rPr>
          <w:t>State ex rel. ESPN, Inc. v. Ohio State Univ.</w:t>
        </w:r>
      </w:hyperlink>
      <w:r w:rsidRPr="00C3377D">
        <w:rPr>
          <w:rFonts w:asciiTheme="minorHAnsi" w:hAnsiTheme="minorHAnsi" w:cstheme="minorHAnsi"/>
          <w:sz w:val="16"/>
          <w:szCs w:val="16"/>
        </w:rPr>
        <w:t>, 132 Ohio St.3d 212, 2012-Ohio-2690, ¶ 34.</w:t>
      </w:r>
    </w:p>
  </w:endnote>
  <w:endnote w:id="410">
    <w:p w14:paraId="0A86DD9E"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4" w:history="1">
        <w:r w:rsidRPr="00C3377D">
          <w:rPr>
            <w:rStyle w:val="Hyperlink"/>
            <w:rFonts w:asciiTheme="minorHAnsi" w:hAnsiTheme="minorHAnsi" w:cstheme="minorHAnsi"/>
            <w:sz w:val="16"/>
            <w:szCs w:val="16"/>
          </w:rPr>
          <w:t>R.C. 149.433(A)(1)-(2)</w:t>
        </w:r>
      </w:hyperlink>
      <w:r w:rsidRPr="00C3377D">
        <w:rPr>
          <w:rFonts w:asciiTheme="minorHAnsi" w:hAnsiTheme="minorHAnsi" w:cstheme="minorHAnsi"/>
          <w:sz w:val="16"/>
          <w:szCs w:val="16"/>
        </w:rPr>
        <w:t>.</w:t>
      </w:r>
    </w:p>
  </w:endnote>
  <w:endnote w:id="411">
    <w:p w14:paraId="72F0A0CE" w14:textId="02A72ABD"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5" w:history="1">
        <w:r w:rsidRPr="00C3377D">
          <w:rPr>
            <w:rStyle w:val="Hyperlink"/>
            <w:rFonts w:asciiTheme="minorHAnsi" w:hAnsiTheme="minorHAnsi" w:cstheme="minorHAnsi"/>
            <w:i/>
            <w:iCs/>
            <w:sz w:val="16"/>
            <w:szCs w:val="16"/>
          </w:rPr>
          <w:t xml:space="preserve">State ex rel. </w:t>
        </w:r>
        <w:r w:rsidRPr="00C3377D">
          <w:rPr>
            <w:rStyle w:val="Hyperlink"/>
            <w:rFonts w:asciiTheme="minorHAnsi" w:hAnsiTheme="minorHAnsi" w:cstheme="minorHAnsi"/>
            <w:i/>
            <w:iCs/>
            <w:sz w:val="16"/>
            <w:szCs w:val="16"/>
          </w:rPr>
          <w:t>Plunderbund Media v. Born</w:t>
        </w:r>
      </w:hyperlink>
      <w:r w:rsidRPr="00C3377D">
        <w:rPr>
          <w:rFonts w:asciiTheme="minorHAnsi" w:hAnsiTheme="minorHAnsi" w:cstheme="minorHAnsi"/>
          <w:sz w:val="16"/>
          <w:szCs w:val="16"/>
        </w:rPr>
        <w:t>, 141 Ohio St.3d 422, 2014-Ohio-3679, ¶ 19-31 (considering investigative agency testimony to conclude that records documenting threats to the governor were “security records”).</w:t>
      </w:r>
    </w:p>
  </w:endnote>
  <w:endnote w:id="412">
    <w:p w14:paraId="1455F7B3" w14:textId="5385DE2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6" w:history="1">
        <w:r w:rsidRPr="00C3377D">
          <w:rPr>
            <w:rStyle w:val="Hyperlink"/>
            <w:rFonts w:asciiTheme="minorHAnsi" w:hAnsiTheme="minorHAnsi" w:cstheme="minorHAnsi"/>
            <w:i/>
            <w:iCs/>
            <w:sz w:val="16"/>
            <w:szCs w:val="16"/>
          </w:rPr>
          <w:t>McDougald v. Greene</w:t>
        </w:r>
      </w:hyperlink>
      <w:r w:rsidRPr="00C3377D">
        <w:rPr>
          <w:rFonts w:asciiTheme="minorHAnsi" w:hAnsiTheme="minorHAnsi" w:cstheme="minorHAnsi"/>
          <w:sz w:val="16"/>
          <w:szCs w:val="16"/>
        </w:rPr>
        <w:t>, 162 Ohio St.3d 250, 2020-Ohio-4268, ¶ 9.</w:t>
      </w:r>
    </w:p>
  </w:endnote>
  <w:endnote w:id="413">
    <w:p w14:paraId="410C410E" w14:textId="07679A2E"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7" w:history="1">
        <w:r w:rsidRPr="00C3377D">
          <w:rPr>
            <w:rStyle w:val="Hyperlink"/>
            <w:rFonts w:asciiTheme="minorHAnsi" w:hAnsiTheme="minorHAnsi" w:cstheme="minorHAnsi"/>
            <w:i/>
            <w:iCs/>
            <w:sz w:val="16"/>
            <w:szCs w:val="16"/>
          </w:rPr>
          <w:t xml:space="preserve">Welsh-Huggins v. Jefferson </w:t>
        </w:r>
        <w:r w:rsidRPr="00C3377D">
          <w:rPr>
            <w:rStyle w:val="Hyperlink"/>
            <w:rFonts w:asciiTheme="minorHAnsi" w:hAnsiTheme="minorHAnsi" w:cstheme="minorHAnsi"/>
            <w:i/>
            <w:iCs/>
            <w:sz w:val="16"/>
            <w:szCs w:val="16"/>
          </w:rPr>
          <w:t>Cty. Prosecutor’s Office</w:t>
        </w:r>
      </w:hyperlink>
      <w:r w:rsidRPr="00C3377D">
        <w:rPr>
          <w:rFonts w:asciiTheme="minorHAnsi" w:hAnsiTheme="minorHAnsi" w:cstheme="minorHAnsi"/>
          <w:sz w:val="16"/>
          <w:szCs w:val="16"/>
        </w:rPr>
        <w:t>, 163 Ohio St.3d 337, 2020-Ohio-5371, ¶ 51.</w:t>
      </w:r>
    </w:p>
  </w:endnote>
  <w:endnote w:id="414">
    <w:p w14:paraId="0E288450" w14:textId="0D0F7B75"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8" w:history="1">
        <w:r w:rsidRPr="00C3377D">
          <w:rPr>
            <w:rStyle w:val="Hyperlink"/>
            <w:rFonts w:asciiTheme="minorHAnsi" w:hAnsiTheme="minorHAnsi" w:cstheme="minorHAnsi"/>
            <w:i/>
            <w:iCs/>
            <w:sz w:val="16"/>
            <w:szCs w:val="16"/>
          </w:rPr>
          <w:t xml:space="preserve">Welsh-Huggins v. Jefferson </w:t>
        </w:r>
        <w:r w:rsidRPr="00C3377D">
          <w:rPr>
            <w:rStyle w:val="Hyperlink"/>
            <w:rFonts w:asciiTheme="minorHAnsi" w:hAnsiTheme="minorHAnsi" w:cstheme="minorHAnsi"/>
            <w:i/>
            <w:iCs/>
            <w:sz w:val="16"/>
            <w:szCs w:val="16"/>
          </w:rPr>
          <w:t>Cty. Prosecutor’s Office</w:t>
        </w:r>
      </w:hyperlink>
      <w:r w:rsidRPr="00C3377D">
        <w:rPr>
          <w:rFonts w:asciiTheme="minorHAnsi" w:hAnsiTheme="minorHAnsi" w:cstheme="minorHAnsi"/>
          <w:sz w:val="16"/>
          <w:szCs w:val="16"/>
        </w:rPr>
        <w:t>, 163 Ohio St. 3d 337, 2020-Ohio-5371.</w:t>
      </w:r>
    </w:p>
  </w:endnote>
  <w:endnote w:id="415">
    <w:p w14:paraId="4368BCD1" w14:textId="77777777" w:rsidR="003763D3" w:rsidRPr="00C3377D" w:rsidRDefault="003763D3"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79" w:history="1">
        <w:r w:rsidRPr="00C3377D">
          <w:rPr>
            <w:rStyle w:val="Hyperlink"/>
            <w:rFonts w:asciiTheme="minorHAnsi" w:hAnsiTheme="minorHAnsi" w:cstheme="minorHAnsi"/>
            <w:i/>
            <w:iCs/>
            <w:sz w:val="16"/>
            <w:szCs w:val="16"/>
          </w:rPr>
          <w:t>State ex rel. Cincinnati Enquirer v. Wilson</w:t>
        </w:r>
      </w:hyperlink>
      <w:r w:rsidRPr="00C3377D">
        <w:rPr>
          <w:rFonts w:asciiTheme="minorHAnsi" w:hAnsiTheme="minorHAnsi" w:cstheme="minorHAnsi"/>
          <w:sz w:val="16"/>
          <w:szCs w:val="16"/>
        </w:rPr>
        <w:t>, Slip Op. No. 2022-0425, 2024-Ohio-182.</w:t>
      </w:r>
    </w:p>
  </w:endnote>
  <w:endnote w:id="416">
    <w:p w14:paraId="242069E8"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0" w:history="1">
        <w:r w:rsidRPr="00C3377D">
          <w:rPr>
            <w:rStyle w:val="Hyperlink"/>
            <w:rFonts w:asciiTheme="minorHAnsi" w:hAnsiTheme="minorHAnsi" w:cstheme="minorHAnsi"/>
            <w:sz w:val="16"/>
            <w:szCs w:val="16"/>
          </w:rPr>
          <w:t>R.C. 149.433(D)</w:t>
        </w:r>
      </w:hyperlink>
      <w:r w:rsidRPr="00C3377D">
        <w:rPr>
          <w:rFonts w:asciiTheme="minorHAnsi" w:hAnsiTheme="minorHAnsi" w:cstheme="minorHAnsi"/>
          <w:sz w:val="16"/>
          <w:szCs w:val="16"/>
        </w:rPr>
        <w:t>.</w:t>
      </w:r>
    </w:p>
  </w:endnote>
  <w:endnote w:id="417">
    <w:p w14:paraId="3A0A3C15"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1" w:history="1">
        <w:r w:rsidRPr="00C3377D">
          <w:rPr>
            <w:rStyle w:val="Hyperlink"/>
            <w:rFonts w:asciiTheme="minorHAnsi" w:hAnsiTheme="minorHAnsi" w:cstheme="minorHAnsi"/>
            <w:sz w:val="16"/>
            <w:szCs w:val="16"/>
          </w:rPr>
          <w:t>R.C. 149.433(A)</w:t>
        </w:r>
      </w:hyperlink>
      <w:r w:rsidRPr="00C3377D">
        <w:rPr>
          <w:rFonts w:asciiTheme="minorHAnsi" w:hAnsiTheme="minorHAnsi" w:cstheme="minorHAnsi"/>
          <w:sz w:val="16"/>
          <w:szCs w:val="16"/>
        </w:rPr>
        <w:t>.</w:t>
      </w:r>
    </w:p>
  </w:endnote>
  <w:endnote w:id="418">
    <w:p w14:paraId="35AFB750" w14:textId="2EB479B1"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2" w:history="1">
        <w:r w:rsidRPr="00C3377D">
          <w:rPr>
            <w:rStyle w:val="Hyperlink"/>
            <w:rFonts w:asciiTheme="minorHAnsi" w:hAnsiTheme="minorHAnsi" w:cstheme="minorHAnsi"/>
            <w:i/>
            <w:iCs/>
            <w:sz w:val="16"/>
            <w:szCs w:val="16"/>
          </w:rPr>
          <w:t>McDougald v. Greene</w:t>
        </w:r>
      </w:hyperlink>
      <w:r w:rsidRPr="00C3377D">
        <w:rPr>
          <w:rFonts w:asciiTheme="minorHAnsi" w:hAnsiTheme="minorHAnsi" w:cstheme="minorHAnsi"/>
          <w:sz w:val="16"/>
          <w:szCs w:val="16"/>
        </w:rPr>
        <w:t>, 162 Ohio St.3d 250, 2020-Ohio-4268, ¶ 8.</w:t>
      </w:r>
    </w:p>
  </w:endnote>
  <w:endnote w:id="419">
    <w:p w14:paraId="31184F0E" w14:textId="24125B50"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3" w:history="1">
        <w:r w:rsidRPr="00C3377D">
          <w:rPr>
            <w:rStyle w:val="Hyperlink"/>
            <w:rFonts w:asciiTheme="minorHAnsi" w:hAnsiTheme="minorHAnsi" w:cstheme="minorHAnsi"/>
            <w:sz w:val="16"/>
            <w:szCs w:val="16"/>
          </w:rPr>
          <w:t>R.C. 149.433(A)</w:t>
        </w:r>
      </w:hyperlink>
      <w:r w:rsidRPr="00C3377D">
        <w:rPr>
          <w:rFonts w:asciiTheme="minorHAnsi" w:hAnsiTheme="minorHAnsi" w:cstheme="minorHAnsi"/>
          <w:sz w:val="16"/>
          <w:szCs w:val="16"/>
        </w:rPr>
        <w:t xml:space="preserve">; </w:t>
      </w:r>
      <w:hyperlink r:id="rId584" w:history="1">
        <w:r w:rsidRPr="00C3377D">
          <w:rPr>
            <w:rStyle w:val="Hyperlink"/>
            <w:rFonts w:asciiTheme="minorHAnsi" w:hAnsiTheme="minorHAnsi" w:cstheme="minorHAnsi"/>
            <w:i/>
            <w:iCs/>
            <w:sz w:val="16"/>
            <w:szCs w:val="16"/>
          </w:rPr>
          <w:t>State ex rel. Rogers v. Dept. of Rehab. and Corr</w:t>
        </w:r>
      </w:hyperlink>
      <w:r w:rsidRPr="00C3377D">
        <w:rPr>
          <w:rFonts w:asciiTheme="minorHAnsi" w:hAnsiTheme="minorHAnsi" w:cstheme="minorHAnsi"/>
          <w:i/>
          <w:iCs/>
          <w:sz w:val="16"/>
          <w:szCs w:val="16"/>
        </w:rPr>
        <w:t>.</w:t>
      </w:r>
      <w:r w:rsidRPr="00C3377D">
        <w:rPr>
          <w:rFonts w:asciiTheme="minorHAnsi" w:hAnsiTheme="minorHAnsi" w:cstheme="minorHAnsi"/>
          <w:sz w:val="16"/>
          <w:szCs w:val="16"/>
        </w:rPr>
        <w:t xml:space="preserve">, 155 Ohio St.3d 545, 2018-Ohio-5111, ¶ 11-13 (prison security video was not an infrastructure record because it only revealed the “spatial relationship” of building features similar to a floor plan); </w:t>
      </w:r>
      <w:hyperlink r:id="rId585" w:history="1">
        <w:r w:rsidRPr="00C3377D">
          <w:rPr>
            <w:rStyle w:val="Hyperlink"/>
            <w:rFonts w:asciiTheme="minorHAnsi" w:hAnsiTheme="minorHAnsi" w:cstheme="minorHAnsi"/>
            <w:i/>
            <w:iCs/>
            <w:sz w:val="16"/>
            <w:szCs w:val="16"/>
          </w:rPr>
          <w:t>State ex rel. Ohio Republican Party v. FitzGerald</w:t>
        </w:r>
      </w:hyperlink>
      <w:r w:rsidRPr="00C3377D">
        <w:rPr>
          <w:rFonts w:asciiTheme="minorHAnsi" w:hAnsiTheme="minorHAnsi" w:cstheme="minorHAnsi"/>
          <w:sz w:val="16"/>
          <w:szCs w:val="16"/>
        </w:rPr>
        <w:t>, 145 Ohio St.3d 92, 2015-Ohio-5056, ¶ 26 (key-card-swipe data of a county executive official that reveals the location of nonpublic, secured entrances is not exempt as an infrastructure record).</w:t>
      </w:r>
    </w:p>
  </w:endnote>
  <w:endnote w:id="420">
    <w:p w14:paraId="0C9DA182" w14:textId="6640237B"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6" w:history="1">
        <w:r w:rsidRPr="00C3377D">
          <w:rPr>
            <w:rStyle w:val="Hyperlink"/>
            <w:rFonts w:asciiTheme="minorHAnsi" w:hAnsiTheme="minorHAnsi" w:cstheme="minorHAnsi"/>
            <w:i/>
            <w:iCs/>
            <w:sz w:val="16"/>
            <w:szCs w:val="16"/>
          </w:rPr>
          <w:t>State ex rel. Rogers v. Dept. of Rehab. &amp; Correction</w:t>
        </w:r>
      </w:hyperlink>
      <w:r w:rsidRPr="00C3377D">
        <w:rPr>
          <w:rFonts w:asciiTheme="minorHAnsi" w:hAnsiTheme="minorHAnsi" w:cstheme="minorHAnsi"/>
          <w:sz w:val="16"/>
          <w:szCs w:val="16"/>
        </w:rPr>
        <w:t>, 155 Ohio St.3d 545, 2018-Ohio-5111.</w:t>
      </w:r>
    </w:p>
  </w:endnote>
  <w:endnote w:id="421">
    <w:p w14:paraId="1649AE67" w14:textId="77777777"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7" w:history="1">
        <w:r w:rsidRPr="00C3377D">
          <w:rPr>
            <w:rStyle w:val="Hyperlink"/>
            <w:rFonts w:asciiTheme="minorHAnsi" w:hAnsiTheme="minorHAnsi" w:cstheme="minorHAnsi"/>
            <w:sz w:val="16"/>
            <w:szCs w:val="16"/>
          </w:rPr>
          <w:t>R.C. 149.433(D)</w:t>
        </w:r>
      </w:hyperlink>
      <w:r w:rsidRPr="00C3377D">
        <w:rPr>
          <w:rFonts w:asciiTheme="minorHAnsi" w:hAnsiTheme="minorHAnsi" w:cstheme="minorHAnsi"/>
          <w:sz w:val="16"/>
          <w:szCs w:val="16"/>
        </w:rPr>
        <w:t>.</w:t>
      </w:r>
    </w:p>
  </w:endnote>
  <w:endnote w:id="422">
    <w:p w14:paraId="2D6FC2DA" w14:textId="724C9E7C" w:rsidR="003763D3" w:rsidRPr="00C3377D" w:rsidRDefault="003763D3"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8" w:history="1">
        <w:r w:rsidRPr="00C3377D">
          <w:rPr>
            <w:rStyle w:val="Hyperlink"/>
            <w:rFonts w:asciiTheme="minorHAnsi" w:hAnsiTheme="minorHAnsi" w:cstheme="minorHAnsi"/>
            <w:sz w:val="16"/>
            <w:szCs w:val="16"/>
          </w:rPr>
          <w:t>R.C. 1306.23</w:t>
        </w:r>
      </w:hyperlink>
      <w:r w:rsidRPr="00C3377D">
        <w:rPr>
          <w:rFonts w:asciiTheme="minorHAnsi" w:hAnsiTheme="minorHAnsi" w:cstheme="minorHAnsi"/>
          <w:sz w:val="16"/>
          <w:szCs w:val="16"/>
        </w:rPr>
        <w:t>.</w:t>
      </w:r>
    </w:p>
  </w:endnote>
  <w:endnote w:id="423">
    <w:p w14:paraId="78C5FE9E" w14:textId="2D2CA2E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89" w:history="1">
        <w:r w:rsidRPr="00C3377D">
          <w:rPr>
            <w:rStyle w:val="Hyperlink"/>
            <w:rFonts w:asciiTheme="minorHAnsi" w:hAnsiTheme="minorHAnsi" w:cstheme="minorHAnsi"/>
            <w:i/>
            <w:sz w:val="16"/>
            <w:szCs w:val="16"/>
          </w:rPr>
          <w:t xml:space="preserve">State ex rel. Leslie v. Ohio </w:t>
        </w:r>
        <w:r w:rsidRPr="00C3377D">
          <w:rPr>
            <w:rStyle w:val="Hyperlink"/>
            <w:rFonts w:asciiTheme="minorHAnsi" w:hAnsiTheme="minorHAnsi" w:cstheme="minorHAnsi"/>
            <w:i/>
            <w:sz w:val="16"/>
            <w:szCs w:val="16"/>
          </w:rPr>
          <w:t>Hous. Fin. Agency</w:t>
        </w:r>
      </w:hyperlink>
      <w:r w:rsidRPr="00C3377D">
        <w:rPr>
          <w:rFonts w:asciiTheme="minorHAnsi" w:hAnsiTheme="minorHAnsi" w:cstheme="minorHAnsi"/>
          <w:sz w:val="16"/>
          <w:szCs w:val="16"/>
        </w:rPr>
        <w:t>, 105 Ohio St.3d 261, 2005-Ohio-1508, ¶ 19.</w:t>
      </w:r>
    </w:p>
  </w:endnote>
  <w:endnote w:id="424">
    <w:p w14:paraId="5EC5DAB9" w14:textId="580F2F9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0" w:history="1">
        <w:r w:rsidRPr="00C3377D">
          <w:rPr>
            <w:rStyle w:val="Hyperlink"/>
            <w:rFonts w:asciiTheme="minorHAnsi" w:hAnsiTheme="minorHAnsi" w:cstheme="minorHAnsi"/>
            <w:i/>
            <w:sz w:val="16"/>
            <w:szCs w:val="16"/>
          </w:rPr>
          <w:t xml:space="preserve">State ex rel. Leslie v. Ohio </w:t>
        </w:r>
        <w:r w:rsidRPr="00C3377D">
          <w:rPr>
            <w:rStyle w:val="Hyperlink"/>
            <w:rFonts w:asciiTheme="minorHAnsi" w:hAnsiTheme="minorHAnsi" w:cstheme="minorHAnsi"/>
            <w:i/>
            <w:sz w:val="16"/>
            <w:szCs w:val="16"/>
          </w:rPr>
          <w:t>Hous. Fin. Agency</w:t>
        </w:r>
      </w:hyperlink>
      <w:r w:rsidRPr="00C3377D">
        <w:rPr>
          <w:rFonts w:asciiTheme="minorHAnsi" w:hAnsiTheme="minorHAnsi" w:cstheme="minorHAnsi"/>
          <w:sz w:val="16"/>
          <w:szCs w:val="16"/>
        </w:rPr>
        <w:t>, 105 Ohio St.3d 261, 2005-Ohio-1508, ¶ 18.</w:t>
      </w:r>
    </w:p>
  </w:endnote>
  <w:endnote w:id="425">
    <w:p w14:paraId="6764D7A0" w14:textId="01BE7CE2"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1" w:history="1">
        <w:r w:rsidRPr="00C3377D">
          <w:rPr>
            <w:rStyle w:val="Hyperlink"/>
            <w:rFonts w:asciiTheme="minorHAnsi" w:hAnsiTheme="minorHAnsi" w:cstheme="minorHAnsi"/>
            <w:sz w:val="16"/>
            <w:szCs w:val="16"/>
          </w:rPr>
          <w:t>R.C. 149.43(A)(1)(v).</w:t>
        </w:r>
      </w:hyperlink>
    </w:p>
  </w:endnote>
  <w:endnote w:id="426">
    <w:p w14:paraId="22B10EF6" w14:textId="0AEEDB8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2" w:history="1">
        <w:r w:rsidRPr="00C3377D">
          <w:rPr>
            <w:rStyle w:val="Hyperlink"/>
            <w:rFonts w:asciiTheme="minorHAnsi" w:hAnsiTheme="minorHAnsi" w:cstheme="minorHAnsi"/>
            <w:i/>
            <w:sz w:val="16"/>
            <w:szCs w:val="16"/>
          </w:rPr>
          <w:t xml:space="preserve">State ex rel. Leslie v. Ohio </w:t>
        </w:r>
        <w:r w:rsidRPr="00C3377D">
          <w:rPr>
            <w:rStyle w:val="Hyperlink"/>
            <w:rFonts w:asciiTheme="minorHAnsi" w:hAnsiTheme="minorHAnsi" w:cstheme="minorHAnsi"/>
            <w:i/>
            <w:sz w:val="16"/>
            <w:szCs w:val="16"/>
          </w:rPr>
          <w:t>Hous. Fin. Agency</w:t>
        </w:r>
      </w:hyperlink>
      <w:r w:rsidRPr="00C3377D">
        <w:rPr>
          <w:rFonts w:asciiTheme="minorHAnsi" w:hAnsiTheme="minorHAnsi" w:cstheme="minorHAnsi"/>
          <w:sz w:val="16"/>
          <w:szCs w:val="16"/>
        </w:rPr>
        <w:t>, 105 Ohio St.3d 261, 265, 2005-Ohio-1508, ¶ 21.</w:t>
      </w:r>
    </w:p>
  </w:endnote>
  <w:endnote w:id="427">
    <w:p w14:paraId="7D97B42D" w14:textId="1AE971F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Fonts w:asciiTheme="minorHAnsi" w:hAnsiTheme="minorHAnsi" w:cstheme="minorHAnsi"/>
          <w:sz w:val="16"/>
          <w:szCs w:val="16"/>
          <w:vertAlign w:val="superscript"/>
        </w:rPr>
        <w:endnoteRef/>
      </w:r>
      <w:r w:rsidRPr="00C3377D">
        <w:rPr>
          <w:rFonts w:asciiTheme="minorHAnsi" w:hAnsiTheme="minorHAnsi" w:cstheme="minorHAnsi"/>
          <w:sz w:val="16"/>
          <w:szCs w:val="16"/>
        </w:rPr>
        <w:t xml:space="preserve"> </w:t>
      </w:r>
      <w:hyperlink r:id="rId593" w:history="1">
        <w:r w:rsidRPr="00C3377D">
          <w:rPr>
            <w:rStyle w:val="Hyperlink"/>
            <w:rFonts w:asciiTheme="minorHAnsi" w:hAnsiTheme="minorHAnsi" w:cstheme="minorHAnsi"/>
            <w:i/>
            <w:sz w:val="16"/>
            <w:szCs w:val="16"/>
          </w:rPr>
          <w:t>State ex rel. Lanham v. DeWine</w:t>
        </w:r>
      </w:hyperlink>
      <w:r w:rsidRPr="00C3377D">
        <w:rPr>
          <w:rFonts w:asciiTheme="minorHAnsi" w:hAnsiTheme="minorHAnsi" w:cstheme="minorHAnsi"/>
          <w:sz w:val="16"/>
          <w:szCs w:val="16"/>
        </w:rPr>
        <w:t xml:space="preserve">, 135 Ohio St.3d 191, 2013-Ohio-199, ¶ 26-31. </w:t>
      </w:r>
      <w:r w:rsidR="0082121A">
        <w:rPr>
          <w:rFonts w:asciiTheme="minorHAnsi" w:hAnsiTheme="minorHAnsi" w:cstheme="minorHAnsi"/>
          <w:sz w:val="16"/>
          <w:szCs w:val="16"/>
        </w:rPr>
        <w:t>I</w:t>
      </w:r>
      <w:r w:rsidRPr="00C3377D">
        <w:rPr>
          <w:rFonts w:asciiTheme="minorHAnsi" w:hAnsiTheme="minorHAnsi" w:cstheme="minorHAnsi"/>
          <w:sz w:val="16"/>
          <w:szCs w:val="16"/>
        </w:rPr>
        <w:t xml:space="preserve">f challenged in court, attorney-client privilege redactions may need to be supported with specific evidence demonstrating that legal advice was sought and/or received.  </w:t>
      </w:r>
      <w:r w:rsidRPr="00C3377D">
        <w:rPr>
          <w:rFonts w:asciiTheme="minorHAnsi" w:hAnsiTheme="minorHAnsi" w:cstheme="minorHAnsi"/>
          <w:i/>
          <w:sz w:val="16"/>
          <w:szCs w:val="16"/>
        </w:rPr>
        <w:t xml:space="preserve">See </w:t>
      </w:r>
      <w:hyperlink r:id="rId594" w:history="1">
        <w:r w:rsidRPr="00C3377D">
          <w:rPr>
            <w:rStyle w:val="Hyperlink"/>
            <w:rFonts w:asciiTheme="minorHAnsi" w:hAnsiTheme="minorHAnsi" w:cstheme="minorHAnsi"/>
            <w:i/>
            <w:sz w:val="16"/>
            <w:szCs w:val="16"/>
          </w:rPr>
          <w:t>Hinners v. Huro</w:t>
        </w:r>
      </w:hyperlink>
      <w:r w:rsidR="0082121A">
        <w:rPr>
          <w:rStyle w:val="Hyperlink"/>
          <w:rFonts w:asciiTheme="minorHAnsi" w:hAnsiTheme="minorHAnsi" w:cstheme="minorHAnsi"/>
          <w:i/>
          <w:sz w:val="16"/>
          <w:szCs w:val="16"/>
        </w:rPr>
        <w:t>n</w:t>
      </w:r>
      <w:r w:rsidRPr="00C3377D">
        <w:rPr>
          <w:rFonts w:asciiTheme="minorHAnsi" w:hAnsiTheme="minorHAnsi" w:cstheme="minorHAnsi"/>
          <w:sz w:val="16"/>
          <w:szCs w:val="16"/>
        </w:rPr>
        <w:t xml:space="preserve">, Ct. of Cl. No. 2018-00549PQ, 2018-Ohio-3652, ¶ 10,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2018-00549PQ, 2018-Ohio-4362 (general assertion</w:t>
      </w:r>
      <w:r w:rsidR="0082121A">
        <w:rPr>
          <w:rFonts w:asciiTheme="minorHAnsi" w:hAnsiTheme="minorHAnsi" w:cstheme="minorHAnsi"/>
          <w:sz w:val="16"/>
          <w:szCs w:val="16"/>
        </w:rPr>
        <w:t>s</w:t>
      </w:r>
      <w:r w:rsidRPr="00C3377D">
        <w:rPr>
          <w:rFonts w:asciiTheme="minorHAnsi" w:hAnsiTheme="minorHAnsi" w:cstheme="minorHAnsi"/>
          <w:sz w:val="16"/>
          <w:szCs w:val="16"/>
        </w:rPr>
        <w:t xml:space="preserve"> do not meet the burden of proving the elements of attorney-client privilege); </w:t>
      </w:r>
      <w:r w:rsidRPr="00C3377D">
        <w:rPr>
          <w:rFonts w:asciiTheme="minorHAnsi" w:hAnsiTheme="minorHAnsi" w:cstheme="minorHAnsi"/>
          <w:i/>
          <w:sz w:val="16"/>
          <w:szCs w:val="16"/>
        </w:rPr>
        <w:t>but see</w:t>
      </w:r>
      <w:r w:rsidRPr="00C3377D">
        <w:rPr>
          <w:rFonts w:asciiTheme="minorHAnsi" w:hAnsiTheme="minorHAnsi" w:cstheme="minorHAnsi"/>
          <w:sz w:val="16"/>
          <w:szCs w:val="16"/>
        </w:rPr>
        <w:t xml:space="preserve"> </w:t>
      </w:r>
      <w:hyperlink r:id="rId595" w:history="1">
        <w:r w:rsidRPr="00C3377D">
          <w:rPr>
            <w:rStyle w:val="Hyperlink"/>
            <w:rFonts w:asciiTheme="minorHAnsi" w:hAnsiTheme="minorHAnsi" w:cstheme="minorHAnsi"/>
            <w:i/>
            <w:sz w:val="16"/>
            <w:szCs w:val="16"/>
          </w:rPr>
          <w:t>White v. Dept. of Rehab. and Corr</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Ct. of Cl. No. 2018-00762PQ, 2019-Ohio-472, ¶ 18-19 (rejecting Special Master’s recommendation because improper standard was applied to privilege review; records “facilitate[d] the rendition of legal services, or advice” under a preponderance of the evidence standard and were therefore properly withheld).</w:t>
      </w:r>
    </w:p>
  </w:endnote>
  <w:endnote w:id="428">
    <w:p w14:paraId="3FE8271F"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Benesch, Friedlander, </w:t>
      </w:r>
      <w:r w:rsidRPr="00C3377D">
        <w:rPr>
          <w:rFonts w:asciiTheme="minorHAnsi" w:hAnsiTheme="minorHAnsi" w:cstheme="minorHAnsi"/>
          <w:i/>
          <w:sz w:val="16"/>
          <w:szCs w:val="16"/>
        </w:rPr>
        <w:t>Coplan &amp; Aronoff, LLP v. Rossford</w:t>
      </w:r>
      <w:r w:rsidRPr="00C3377D">
        <w:rPr>
          <w:rFonts w:asciiTheme="minorHAnsi" w:hAnsiTheme="minorHAnsi" w:cstheme="minorHAnsi"/>
          <w:sz w:val="16"/>
          <w:szCs w:val="16"/>
        </w:rPr>
        <w:t>, 140 Ohio App.3d 149, 156 (6th Dist. 2000).</w:t>
      </w:r>
    </w:p>
  </w:endnote>
  <w:endnote w:id="429">
    <w:p w14:paraId="4831A501" w14:textId="24E4C65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6" w:history="1">
        <w:r w:rsidRPr="00C3377D">
          <w:rPr>
            <w:rStyle w:val="Hyperlink"/>
            <w:rFonts w:asciiTheme="minorHAnsi" w:hAnsiTheme="minorHAnsi" w:cstheme="minorHAnsi"/>
            <w:i/>
            <w:sz w:val="16"/>
            <w:szCs w:val="16"/>
          </w:rPr>
          <w:t xml:space="preserve">State ex rel. Leslie v. Ohio </w:t>
        </w:r>
        <w:r w:rsidRPr="00C3377D">
          <w:rPr>
            <w:rStyle w:val="Hyperlink"/>
            <w:rFonts w:asciiTheme="minorHAnsi" w:hAnsiTheme="minorHAnsi" w:cstheme="minorHAnsi"/>
            <w:i/>
            <w:sz w:val="16"/>
            <w:szCs w:val="16"/>
          </w:rPr>
          <w:t>Hous. Fin. Agency</w:t>
        </w:r>
      </w:hyperlink>
      <w:r w:rsidRPr="00C3377D">
        <w:rPr>
          <w:rFonts w:asciiTheme="minorHAnsi" w:hAnsiTheme="minorHAnsi" w:cstheme="minorHAnsi"/>
          <w:sz w:val="16"/>
          <w:szCs w:val="16"/>
        </w:rPr>
        <w:t xml:space="preserve">, 105 Ohio St.3d 261, 2005-Ohio-1508, ¶ 23 (attorney-client privilege applied to communications between state agency personnel and </w:t>
      </w:r>
      <w:r w:rsidR="007105A8" w:rsidRPr="00C3377D">
        <w:rPr>
          <w:rFonts w:asciiTheme="minorHAnsi" w:hAnsiTheme="minorHAnsi" w:cstheme="minorHAnsi"/>
          <w:sz w:val="16"/>
          <w:szCs w:val="16"/>
        </w:rPr>
        <w:t>its</w:t>
      </w:r>
      <w:r w:rsidRPr="00C3377D">
        <w:rPr>
          <w:rFonts w:asciiTheme="minorHAnsi" w:hAnsiTheme="minorHAnsi" w:cstheme="minorHAnsi"/>
          <w:sz w:val="16"/>
          <w:szCs w:val="16"/>
        </w:rPr>
        <w:t xml:space="preserve"> in-house counsel); </w:t>
      </w:r>
      <w:hyperlink r:id="rId597" w:history="1">
        <w:r w:rsidRPr="00C3377D">
          <w:rPr>
            <w:rStyle w:val="Hyperlink"/>
            <w:rFonts w:asciiTheme="minorHAnsi" w:hAnsiTheme="minorHAnsi" w:cstheme="minorHAnsi"/>
            <w:i/>
            <w:sz w:val="16"/>
            <w:szCs w:val="16"/>
          </w:rPr>
          <w:t>Morgan v. Butler</w:t>
        </w:r>
      </w:hyperlink>
      <w:r w:rsidRPr="00C3377D">
        <w:rPr>
          <w:rFonts w:asciiTheme="minorHAnsi" w:hAnsiTheme="minorHAnsi" w:cstheme="minorHAnsi"/>
          <w:sz w:val="16"/>
          <w:szCs w:val="16"/>
        </w:rPr>
        <w:t xml:space="preserve">, </w:t>
      </w:r>
      <w:r w:rsidR="003C3859">
        <w:rPr>
          <w:rFonts w:asciiTheme="minorHAnsi" w:hAnsiTheme="minorHAnsi" w:cstheme="minorHAnsi"/>
          <w:sz w:val="16"/>
          <w:szCs w:val="16"/>
        </w:rPr>
        <w:t xml:space="preserve">10th Dist. Franklin No. </w:t>
      </w:r>
      <w:r w:rsidR="003C3859" w:rsidRPr="003C3859">
        <w:rPr>
          <w:rFonts w:asciiTheme="minorHAnsi" w:hAnsiTheme="minorHAnsi" w:cstheme="minorHAnsi"/>
          <w:sz w:val="16"/>
          <w:szCs w:val="16"/>
        </w:rPr>
        <w:t>No. 16AP-488</w:t>
      </w:r>
      <w:r w:rsidR="003C3859">
        <w:rPr>
          <w:rFonts w:asciiTheme="minorHAnsi" w:hAnsiTheme="minorHAnsi" w:cstheme="minorHAnsi"/>
          <w:sz w:val="16"/>
          <w:szCs w:val="16"/>
        </w:rPr>
        <w:t xml:space="preserve">, </w:t>
      </w:r>
      <w:r w:rsidRPr="00C3377D">
        <w:rPr>
          <w:rFonts w:asciiTheme="minorHAnsi" w:hAnsiTheme="minorHAnsi" w:cstheme="minorHAnsi"/>
          <w:sz w:val="16"/>
          <w:szCs w:val="16"/>
        </w:rPr>
        <w:t>2017-Ohio-816 (emails between attorneys and their state government clients pertaining to the attorneys’ legal advice are exempt from disclosure).</w:t>
      </w:r>
    </w:p>
  </w:endnote>
  <w:endnote w:id="430">
    <w:p w14:paraId="339401EA" w14:textId="2542BF7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8" w:history="1">
        <w:r w:rsidRPr="00C3377D">
          <w:rPr>
            <w:rStyle w:val="Hyperlink"/>
            <w:rFonts w:asciiTheme="minorHAnsi" w:hAnsiTheme="minorHAnsi" w:cstheme="minorHAnsi"/>
            <w:i/>
            <w:sz w:val="16"/>
            <w:szCs w:val="16"/>
          </w:rPr>
          <w:t xml:space="preserve">State ex rel. Toledo Blade v. Toledo-Lucas </w:t>
        </w:r>
        <w:r w:rsidRPr="00C3377D">
          <w:rPr>
            <w:rStyle w:val="Hyperlink"/>
            <w:rFonts w:asciiTheme="minorHAnsi" w:hAnsiTheme="minorHAnsi" w:cstheme="minorHAnsi"/>
            <w:i/>
            <w:sz w:val="16"/>
            <w:szCs w:val="16"/>
          </w:rPr>
          <w:t>Cty. Port Auth.</w:t>
        </w:r>
      </w:hyperlink>
      <w:r w:rsidRPr="00C3377D">
        <w:rPr>
          <w:rFonts w:asciiTheme="minorHAnsi" w:hAnsiTheme="minorHAnsi" w:cstheme="minorHAnsi"/>
          <w:sz w:val="16"/>
          <w:szCs w:val="16"/>
        </w:rPr>
        <w:t>, 121 Ohio St.3d 537, 2009-Ohio-1767, ¶ 20-34 (finding that a factual investigation may invoke the attorney-client privilege).</w:t>
      </w:r>
    </w:p>
  </w:endnote>
  <w:endnote w:id="431">
    <w:p w14:paraId="501A2CB9" w14:textId="111DBD4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599" w:history="1">
        <w:r w:rsidRPr="00C3377D">
          <w:rPr>
            <w:rStyle w:val="Hyperlink"/>
            <w:rFonts w:asciiTheme="minorHAnsi" w:hAnsiTheme="minorHAnsi" w:cstheme="minorHAnsi"/>
            <w:i/>
            <w:sz w:val="16"/>
            <w:szCs w:val="16"/>
          </w:rPr>
          <w:t>State ex rel. Thomas v. Ohio State Univ.</w:t>
        </w:r>
      </w:hyperlink>
      <w:r w:rsidRPr="00C3377D">
        <w:rPr>
          <w:rFonts w:asciiTheme="minorHAnsi" w:hAnsiTheme="minorHAnsi" w:cstheme="minorHAnsi"/>
          <w:sz w:val="16"/>
          <w:szCs w:val="16"/>
        </w:rPr>
        <w:t xml:space="preserve">, 71 Ohio St.3d 245, 251 (1994); </w:t>
      </w:r>
      <w:hyperlink r:id="rId600" w:history="1">
        <w:r w:rsidRPr="00C3377D">
          <w:rPr>
            <w:rStyle w:val="Hyperlink"/>
            <w:rFonts w:asciiTheme="minorHAnsi" w:hAnsiTheme="minorHAnsi" w:cstheme="minorHAnsi"/>
            <w:i/>
            <w:sz w:val="16"/>
            <w:szCs w:val="16"/>
          </w:rPr>
          <w:t>Assn. of Cleveland Firefighters IAFF Local 93 v. City of Cleveland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8th Dist. Cuyahoga App. No. 113029, 2021-Ohio-3602, ¶ 43-45 (communication that would facilitate legal advice is protected, but simply copying an attorney on a communication does not render the communication privileged). </w:t>
      </w:r>
      <w:r w:rsidRPr="00C3377D">
        <w:rPr>
          <w:rFonts w:asciiTheme="minorHAnsi" w:hAnsiTheme="minorHAnsi" w:cstheme="minorHAnsi"/>
          <w:i/>
          <w:sz w:val="16"/>
          <w:szCs w:val="16"/>
        </w:rPr>
        <w:t xml:space="preserve"> </w:t>
      </w:r>
    </w:p>
  </w:endnote>
  <w:endnote w:id="432">
    <w:p w14:paraId="17329053" w14:textId="7752C78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1" w:history="1">
        <w:r w:rsidRPr="00C3377D">
          <w:rPr>
            <w:rStyle w:val="Hyperlink"/>
            <w:rFonts w:asciiTheme="minorHAnsi" w:hAnsiTheme="minorHAnsi" w:cstheme="minorHAnsi"/>
            <w:i/>
            <w:sz w:val="16"/>
            <w:szCs w:val="16"/>
          </w:rPr>
          <w:t>State ex rel. Anderson v. Vermilion</w:t>
        </w:r>
      </w:hyperlink>
      <w:r w:rsidRPr="00C3377D">
        <w:rPr>
          <w:rFonts w:asciiTheme="minorHAnsi" w:hAnsiTheme="minorHAnsi" w:cstheme="minorHAnsi"/>
          <w:sz w:val="16"/>
          <w:szCs w:val="16"/>
        </w:rPr>
        <w:t xml:space="preserve">, 134 Ohio St.3d 120, 2012-Ohio-5320, ¶ 13-15; </w:t>
      </w:r>
      <w:hyperlink r:id="rId602" w:history="1">
        <w:r w:rsidRPr="00C3377D">
          <w:rPr>
            <w:rStyle w:val="Hyperlink"/>
            <w:rFonts w:asciiTheme="minorHAnsi" w:hAnsiTheme="minorHAnsi" w:cstheme="minorHAnsi"/>
            <w:i/>
            <w:sz w:val="16"/>
            <w:szCs w:val="16"/>
          </w:rPr>
          <w:t>State ex rel. Dawson v. Bloom-Carroll Local School Dist.</w:t>
        </w:r>
      </w:hyperlink>
      <w:r w:rsidRPr="00C3377D">
        <w:rPr>
          <w:rFonts w:asciiTheme="minorHAnsi" w:hAnsiTheme="minorHAnsi" w:cstheme="minorHAnsi"/>
          <w:sz w:val="16"/>
          <w:szCs w:val="16"/>
        </w:rPr>
        <w:t xml:space="preserve">, 131 Ohio St.3d 10, 2011-Ohio-6009, ¶ 28-33; </w:t>
      </w:r>
      <w:hyperlink r:id="rId603" w:history="1">
        <w:r w:rsidRPr="00C3377D">
          <w:rPr>
            <w:rStyle w:val="Hyperlink"/>
            <w:rFonts w:asciiTheme="minorHAnsi" w:hAnsiTheme="minorHAnsi" w:cstheme="minorHAnsi"/>
            <w:i/>
            <w:sz w:val="16"/>
            <w:szCs w:val="16"/>
          </w:rPr>
          <w:t>State ex rel. Pietrangelo v. Avon Lake</w:t>
        </w:r>
      </w:hyperlink>
      <w:r w:rsidRPr="00C3377D">
        <w:rPr>
          <w:rFonts w:asciiTheme="minorHAnsi" w:hAnsiTheme="minorHAnsi" w:cstheme="minorHAnsi"/>
          <w:sz w:val="16"/>
          <w:szCs w:val="16"/>
        </w:rPr>
        <w:t>, 146 Ohio St.3d 292, 2016-Ohio-2974, ¶ 10-17.</w:t>
      </w:r>
    </w:p>
  </w:endnote>
  <w:endnote w:id="433">
    <w:p w14:paraId="3E66C40C" w14:textId="35F66D6B"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4" w:history="1">
        <w:r w:rsidRPr="00C3377D">
          <w:rPr>
            <w:rStyle w:val="Hyperlink"/>
            <w:rFonts w:asciiTheme="minorHAnsi" w:hAnsiTheme="minorHAnsi" w:cstheme="minorHAnsi"/>
            <w:i/>
            <w:sz w:val="16"/>
            <w:szCs w:val="16"/>
          </w:rPr>
          <w:t>State ex rel. 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163 Ohio St.3d 217, 2020-Ohio-5585, ¶ 53; </w:t>
      </w:r>
      <w:hyperlink r:id="rId605" w:history="1">
        <w:r w:rsidRPr="00C3377D">
          <w:rPr>
            <w:rStyle w:val="Hyperlink"/>
            <w:rFonts w:asciiTheme="minorHAnsi" w:hAnsiTheme="minorHAnsi" w:cstheme="minorHAnsi"/>
            <w:sz w:val="16"/>
            <w:szCs w:val="16"/>
          </w:rPr>
          <w:t>Civ.R. 26(B)(4).</w:t>
        </w:r>
      </w:hyperlink>
    </w:p>
  </w:endnote>
  <w:endnote w:id="434">
    <w:p w14:paraId="60821A5C" w14:textId="2FDAEC52" w:rsidR="002F23BE" w:rsidRPr="00C3377D" w:rsidRDefault="002F23BE" w:rsidP="00C3377D">
      <w:pPr>
        <w:pStyle w:val="EndnoteText"/>
        <w:spacing w:line="160" w:lineRule="exact"/>
        <w:rPr>
          <w:rFonts w:asciiTheme="minorHAnsi" w:hAnsiTheme="minorHAnsi" w:cstheme="minorHAnsi"/>
          <w:sz w:val="16"/>
          <w:szCs w:val="16"/>
        </w:rPr>
      </w:pPr>
      <w:r w:rsidRPr="00334396">
        <w:rPr>
          <w:rStyle w:val="EndnoteReference"/>
          <w:rFonts w:asciiTheme="minorHAnsi" w:hAnsiTheme="minorHAnsi" w:cstheme="minorHAnsi"/>
          <w:sz w:val="16"/>
          <w:szCs w:val="16"/>
        </w:rPr>
        <w:endnoteRef/>
      </w:r>
      <w:r w:rsidRPr="00334396">
        <w:rPr>
          <w:rFonts w:asciiTheme="minorHAnsi" w:hAnsiTheme="minorHAnsi" w:cstheme="minorHAnsi"/>
          <w:sz w:val="16"/>
          <w:szCs w:val="16"/>
        </w:rPr>
        <w:t xml:space="preserve"> </w:t>
      </w:r>
      <w:hyperlink r:id="rId606" w:history="1">
        <w:r w:rsidRPr="00334396">
          <w:rPr>
            <w:rStyle w:val="Hyperlink"/>
            <w:rFonts w:asciiTheme="minorHAnsi" w:hAnsiTheme="minorHAnsi" w:cstheme="minorHAnsi"/>
            <w:i/>
            <w:sz w:val="16"/>
            <w:szCs w:val="16"/>
          </w:rPr>
          <w:t xml:space="preserve">State ex rel. </w:t>
        </w:r>
        <w:r w:rsidRPr="00334396">
          <w:rPr>
            <w:rStyle w:val="Hyperlink"/>
            <w:rFonts w:asciiTheme="minorHAnsi" w:hAnsiTheme="minorHAnsi" w:cstheme="minorHAnsi"/>
            <w:i/>
            <w:sz w:val="16"/>
            <w:szCs w:val="16"/>
          </w:rPr>
          <w:t>Summers v. Fox</w:t>
        </w:r>
      </w:hyperlink>
      <w:r w:rsidRPr="00334396">
        <w:rPr>
          <w:rFonts w:asciiTheme="minorHAnsi" w:hAnsiTheme="minorHAnsi" w:cstheme="minorHAnsi"/>
          <w:i/>
          <w:sz w:val="16"/>
          <w:szCs w:val="16"/>
        </w:rPr>
        <w:t xml:space="preserve">, </w:t>
      </w:r>
      <w:r w:rsidRPr="00334396">
        <w:rPr>
          <w:rFonts w:asciiTheme="minorHAnsi" w:hAnsiTheme="minorHAnsi" w:cstheme="minorHAnsi"/>
          <w:sz w:val="16"/>
          <w:szCs w:val="16"/>
        </w:rPr>
        <w:t xml:space="preserve">163 Ohio St.3d 217, 2020-Ohio-5585, ¶ 55; </w:t>
      </w:r>
      <w:r w:rsidRPr="00334396">
        <w:rPr>
          <w:rFonts w:asciiTheme="minorHAnsi" w:hAnsiTheme="minorHAnsi" w:cstheme="minorHAnsi"/>
          <w:i/>
          <w:sz w:val="16"/>
          <w:szCs w:val="16"/>
        </w:rPr>
        <w:t xml:space="preserve">see also </w:t>
      </w:r>
      <w:r w:rsidRPr="00334396">
        <w:rPr>
          <w:rFonts w:asciiTheme="minorHAnsi" w:hAnsiTheme="minorHAnsi" w:cstheme="minorHAnsi"/>
          <w:sz w:val="16"/>
          <w:szCs w:val="16"/>
        </w:rPr>
        <w:t>Chapter Three: F.5.</w:t>
      </w:r>
      <w:r w:rsidR="00334396" w:rsidRPr="00334396">
        <w:rPr>
          <w:rFonts w:asciiTheme="minorHAnsi" w:hAnsiTheme="minorHAnsi" w:cstheme="minorHAnsi"/>
          <w:sz w:val="16"/>
          <w:szCs w:val="16"/>
        </w:rPr>
        <w:t>d</w:t>
      </w:r>
      <w:r w:rsidRPr="00334396">
        <w:rPr>
          <w:rFonts w:asciiTheme="minorHAnsi" w:hAnsiTheme="minorHAnsi" w:cstheme="minorHAnsi"/>
          <w:sz w:val="16"/>
          <w:szCs w:val="16"/>
        </w:rPr>
        <w:t>. “Trial preparation records.”</w:t>
      </w:r>
    </w:p>
  </w:endnote>
  <w:endnote w:id="435">
    <w:p w14:paraId="60BA2AFA" w14:textId="09D138FA"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7"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163 Ohio St.3d 217, 2020-Ohio-5585, ¶ 55.</w:t>
      </w:r>
    </w:p>
  </w:endnote>
  <w:endnote w:id="436">
    <w:p w14:paraId="09D76ED6" w14:textId="6972029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08" w:history="1">
        <w:r w:rsidRPr="00C3377D">
          <w:rPr>
            <w:rStyle w:val="Hyperlink"/>
            <w:rFonts w:asciiTheme="minorHAnsi" w:hAnsiTheme="minorHAnsi" w:cstheme="minorHAnsi"/>
            <w:i/>
            <w:sz w:val="16"/>
            <w:szCs w:val="16"/>
          </w:rPr>
          <w:t xml:space="preserve">State v. </w:t>
        </w:r>
        <w:r w:rsidRPr="00C3377D">
          <w:rPr>
            <w:rStyle w:val="Hyperlink"/>
            <w:rFonts w:asciiTheme="minorHAnsi" w:hAnsiTheme="minorHAnsi" w:cstheme="minorHAnsi"/>
            <w:i/>
            <w:sz w:val="16"/>
            <w:szCs w:val="16"/>
          </w:rPr>
          <w:t>Athon</w:t>
        </w:r>
      </w:hyperlink>
      <w:r w:rsidRPr="00C3377D">
        <w:rPr>
          <w:rFonts w:asciiTheme="minorHAnsi" w:hAnsiTheme="minorHAnsi" w:cstheme="minorHAnsi"/>
          <w:sz w:val="16"/>
          <w:szCs w:val="16"/>
        </w:rPr>
        <w:t xml:space="preserve">, 136 Ohio St.3d 43, 2013-Ohio-1956, ¶ 16 (“[O]ur decision in </w:t>
      </w:r>
      <w:r w:rsidRPr="00C3377D">
        <w:rPr>
          <w:rFonts w:asciiTheme="minorHAnsi" w:hAnsiTheme="minorHAnsi" w:cstheme="minorHAnsi"/>
          <w:i/>
          <w:sz w:val="16"/>
          <w:szCs w:val="16"/>
        </w:rPr>
        <w:t>Steckman</w:t>
      </w:r>
      <w:r w:rsidRPr="00C3377D">
        <w:rPr>
          <w:rFonts w:asciiTheme="minorHAnsi" w:hAnsiTheme="minorHAnsi" w:cstheme="minorHAnsi"/>
          <w:sz w:val="16"/>
          <w:szCs w:val="16"/>
        </w:rPr>
        <w:t xml:space="preserve"> does not bar an accused from obtaining public records that are otherwise available to the public.  Although R.C. 149.43 provides an independent basis for obtaining information potentially relevant to a criminal proceeding, it is not a substitute for and does not supersede the requirements of criminal discovery pursuant to Crim.R. 16.”).  However, the Public Records Act may not be used to obtain copies of court transcripts of criminal proceedings without complying with the procedure in </w:t>
      </w:r>
      <w:hyperlink r:id="rId609" w:history="1">
        <w:r w:rsidRPr="00477FA9">
          <w:rPr>
            <w:rStyle w:val="Hyperlink"/>
            <w:rFonts w:asciiTheme="minorHAnsi" w:hAnsiTheme="minorHAnsi" w:cstheme="minorHAnsi"/>
            <w:sz w:val="16"/>
            <w:szCs w:val="16"/>
          </w:rPr>
          <w:t>R.C. 2301.24</w:t>
        </w:r>
      </w:hyperlink>
      <w:r w:rsidRPr="00C3377D">
        <w:rPr>
          <w:rFonts w:asciiTheme="minorHAnsi" w:hAnsiTheme="minorHAnsi" w:cstheme="minorHAnsi"/>
          <w:sz w:val="16"/>
          <w:szCs w:val="16"/>
        </w:rPr>
        <w:t xml:space="preserve">.  </w:t>
      </w:r>
    </w:p>
  </w:endnote>
  <w:endnote w:id="437">
    <w:p w14:paraId="28C3C170" w14:textId="3C4C6DD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0" w:history="1">
        <w:r w:rsidRPr="00C3377D">
          <w:rPr>
            <w:rStyle w:val="Hyperlink"/>
            <w:rFonts w:asciiTheme="minorHAnsi" w:hAnsiTheme="minorHAnsi" w:cstheme="minorHAnsi"/>
            <w:i/>
            <w:sz w:val="16"/>
            <w:szCs w:val="16"/>
          </w:rPr>
          <w:t xml:space="preserve">State v. </w:t>
        </w:r>
        <w:r w:rsidRPr="00C3377D">
          <w:rPr>
            <w:rStyle w:val="Hyperlink"/>
            <w:rFonts w:asciiTheme="minorHAnsi" w:hAnsiTheme="minorHAnsi" w:cstheme="minorHAnsi"/>
            <w:i/>
            <w:sz w:val="16"/>
            <w:szCs w:val="16"/>
          </w:rPr>
          <w:t>Athon</w:t>
        </w:r>
      </w:hyperlink>
      <w:r w:rsidRPr="00C3377D">
        <w:rPr>
          <w:rFonts w:asciiTheme="minorHAnsi" w:hAnsiTheme="minorHAnsi" w:cstheme="minorHAnsi"/>
          <w:sz w:val="16"/>
          <w:szCs w:val="16"/>
        </w:rPr>
        <w:t>, 136 Ohio St.3d 43, 2013-Ohio-1956, ¶ 18-19 (when a criminal defendant makes a public records request for information that could be obtained from the prosecutor through discovery, this request triggers a reciprocal duty on the part of the defendant to provide discovery as contemplated by Crim.R. 16).</w:t>
      </w:r>
    </w:p>
  </w:endnote>
  <w:endnote w:id="438">
    <w:p w14:paraId="78E0BA47" w14:textId="7CACEBF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1" w:history="1">
        <w:r w:rsidRPr="00C3377D">
          <w:rPr>
            <w:rStyle w:val="Hyperlink"/>
            <w:rFonts w:asciiTheme="minorHAnsi" w:hAnsiTheme="minorHAnsi" w:cstheme="minorHAnsi"/>
            <w:sz w:val="16"/>
            <w:szCs w:val="16"/>
          </w:rPr>
          <w:t>Crim.R. 16(H)</w:t>
        </w:r>
      </w:hyperlink>
      <w:r w:rsidR="00477FA9">
        <w:rPr>
          <w:rFonts w:asciiTheme="minorHAnsi" w:hAnsiTheme="minorHAnsi" w:cstheme="minorHAnsi"/>
          <w:sz w:val="16"/>
          <w:szCs w:val="16"/>
        </w:rPr>
        <w:t>.</w:t>
      </w:r>
    </w:p>
  </w:endnote>
  <w:endnote w:id="439">
    <w:p w14:paraId="605738C4"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2" w:history="1">
        <w:r w:rsidRPr="00C3377D">
          <w:rPr>
            <w:rStyle w:val="Hyperlink"/>
            <w:rFonts w:asciiTheme="minorHAnsi" w:hAnsiTheme="minorHAnsi" w:cstheme="minorHAnsi"/>
            <w:i/>
            <w:sz w:val="16"/>
            <w:szCs w:val="16"/>
          </w:rPr>
          <w:t>State ex rel. WHIO-TV-7 v. Lowe</w:t>
        </w:r>
      </w:hyperlink>
      <w:r w:rsidRPr="00C3377D">
        <w:rPr>
          <w:rFonts w:asciiTheme="minorHAnsi" w:hAnsiTheme="minorHAnsi" w:cstheme="minorHAnsi"/>
          <w:sz w:val="16"/>
          <w:szCs w:val="16"/>
        </w:rPr>
        <w:t>, 77 Ohio St.3d 350, 355 (1997).</w:t>
      </w:r>
    </w:p>
  </w:endnote>
  <w:endnote w:id="440">
    <w:p w14:paraId="0D29A487" w14:textId="4CBFC09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w:t>
      </w:r>
      <w:r w:rsidRPr="00C3377D">
        <w:rPr>
          <w:rFonts w:asciiTheme="minorHAnsi" w:hAnsiTheme="minorHAnsi" w:cstheme="minorHAnsi"/>
          <w:sz w:val="16"/>
          <w:szCs w:val="16"/>
        </w:rPr>
        <w:t xml:space="preserve"> Chapter Three: C. “Waiver of a</w:t>
      </w:r>
      <w:r w:rsidR="00E0738B">
        <w:rPr>
          <w:rFonts w:asciiTheme="minorHAnsi" w:hAnsiTheme="minorHAnsi" w:cstheme="minorHAnsi"/>
          <w:sz w:val="16"/>
          <w:szCs w:val="16"/>
        </w:rPr>
        <w:t xml:space="preserve"> Discretionary</w:t>
      </w:r>
      <w:r w:rsidRPr="00C3377D">
        <w:rPr>
          <w:rFonts w:asciiTheme="minorHAnsi" w:hAnsiTheme="minorHAnsi" w:cstheme="minorHAnsi"/>
          <w:sz w:val="16"/>
          <w:szCs w:val="16"/>
        </w:rPr>
        <w:t xml:space="preserve"> Exemption.”</w:t>
      </w:r>
    </w:p>
  </w:endnote>
  <w:endnote w:id="441">
    <w:p w14:paraId="1199830C" w14:textId="6CDEF52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See </w:t>
      </w:r>
      <w:r w:rsidRPr="00C3377D">
        <w:rPr>
          <w:rFonts w:asciiTheme="minorHAnsi" w:hAnsiTheme="minorHAnsi" w:cstheme="minorHAnsi"/>
          <w:sz w:val="16"/>
          <w:szCs w:val="16"/>
        </w:rPr>
        <w:t xml:space="preserve">Chapter Three: F. 5. d. “Trial preparation records”;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w:t>
      </w:r>
      <w:r w:rsidR="00F12762" w:rsidRPr="00C3377D">
        <w:rPr>
          <w:rFonts w:asciiTheme="minorHAnsi" w:hAnsiTheme="minorHAnsi" w:cstheme="minorHAnsi"/>
          <w:sz w:val="16"/>
          <w:szCs w:val="16"/>
        </w:rPr>
        <w:t>Four</w:t>
      </w:r>
      <w:r w:rsidRPr="00C3377D">
        <w:rPr>
          <w:rFonts w:asciiTheme="minorHAnsi" w:hAnsiTheme="minorHAnsi" w:cstheme="minorHAnsi"/>
          <w:sz w:val="16"/>
          <w:szCs w:val="16"/>
        </w:rPr>
        <w:t>:  A. “CLEIRs: Confidential Law Enforcement Investigatory Records Exemption.”</w:t>
      </w:r>
    </w:p>
  </w:endnote>
  <w:endnote w:id="442">
    <w:p w14:paraId="49451915"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3" w:history="1">
        <w:r w:rsidRPr="00C3377D">
          <w:rPr>
            <w:rStyle w:val="Hyperlink"/>
            <w:rFonts w:asciiTheme="minorHAnsi" w:hAnsiTheme="minorHAnsi" w:cstheme="minorHAnsi"/>
            <w:i/>
            <w:sz w:val="16"/>
            <w:szCs w:val="16"/>
          </w:rPr>
          <w:t>State ex rel. WHIO-TV-7 v. Lowe</w:t>
        </w:r>
      </w:hyperlink>
      <w:r w:rsidRPr="00C3377D">
        <w:rPr>
          <w:rFonts w:asciiTheme="minorHAnsi" w:hAnsiTheme="minorHAnsi" w:cstheme="minorHAnsi"/>
          <w:sz w:val="16"/>
          <w:szCs w:val="16"/>
        </w:rPr>
        <w:t>, 77 Ohio St.3d 350, 354-55 (1997).</w:t>
      </w:r>
    </w:p>
  </w:endnote>
  <w:endnote w:id="443">
    <w:p w14:paraId="7AE01D88"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4" w:history="1">
        <w:r w:rsidRPr="00C3377D">
          <w:rPr>
            <w:rStyle w:val="Hyperlink"/>
            <w:rFonts w:asciiTheme="minorHAnsi" w:hAnsiTheme="minorHAnsi" w:cstheme="minorHAnsi"/>
            <w:i/>
            <w:sz w:val="16"/>
            <w:szCs w:val="16"/>
          </w:rPr>
          <w:t xml:space="preserve">Gilbert v. Summit </w:t>
        </w:r>
        <w:r w:rsidRPr="00C3377D">
          <w:rPr>
            <w:rStyle w:val="Hyperlink"/>
            <w:rFonts w:asciiTheme="minorHAnsi" w:hAnsiTheme="minorHAnsi" w:cstheme="minorHAnsi"/>
            <w:i/>
            <w:sz w:val="16"/>
            <w:szCs w:val="16"/>
          </w:rPr>
          <w:t>Cty.</w:t>
        </w:r>
      </w:hyperlink>
      <w:r w:rsidRPr="00C3377D">
        <w:rPr>
          <w:rFonts w:asciiTheme="minorHAnsi" w:hAnsiTheme="minorHAnsi" w:cstheme="minorHAnsi"/>
          <w:sz w:val="16"/>
          <w:szCs w:val="16"/>
        </w:rPr>
        <w:t>, 104 Ohio St.3d 660, 661-62, 2004-Ohio-7108.</w:t>
      </w:r>
    </w:p>
  </w:endnote>
  <w:endnote w:id="444">
    <w:p w14:paraId="02D9E19F" w14:textId="734D199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Cockshutt v. Ohio Dept. of Rehab. &amp; Corr.</w:t>
      </w:r>
      <w:r w:rsidRPr="00C3377D">
        <w:rPr>
          <w:rFonts w:asciiTheme="minorHAnsi" w:hAnsiTheme="minorHAnsi" w:cstheme="minorHAnsi"/>
          <w:sz w:val="16"/>
          <w:szCs w:val="16"/>
        </w:rPr>
        <w:t>, No. 2:13-cv-532, 2013 U.S. Dist. LEXIS 113293,</w:t>
      </w:r>
      <w:r w:rsidR="00811C09" w:rsidRPr="00C3377D">
        <w:rPr>
          <w:rFonts w:asciiTheme="minorHAnsi" w:hAnsiTheme="minorHAnsi" w:cstheme="minorHAnsi"/>
          <w:sz w:val="16"/>
          <w:szCs w:val="16"/>
        </w:rPr>
        <w:t xml:space="preserve"> at *</w:t>
      </w:r>
      <w:r w:rsidRPr="00C3377D">
        <w:rPr>
          <w:rFonts w:asciiTheme="minorHAnsi" w:hAnsiTheme="minorHAnsi" w:cstheme="minorHAnsi"/>
          <w:sz w:val="16"/>
          <w:szCs w:val="16"/>
        </w:rPr>
        <w:t>13 (</w:t>
      </w:r>
      <w:r w:rsidR="00811C09" w:rsidRPr="00C3377D">
        <w:rPr>
          <w:rFonts w:asciiTheme="minorHAnsi" w:hAnsiTheme="minorHAnsi" w:cstheme="minorHAnsi"/>
          <w:sz w:val="16"/>
          <w:szCs w:val="16"/>
        </w:rPr>
        <w:t>S.</w:t>
      </w:r>
      <w:r w:rsidR="00811C09" w:rsidRPr="00C3377D">
        <w:rPr>
          <w:rFonts w:asciiTheme="minorHAnsi" w:hAnsiTheme="minorHAnsi" w:cstheme="minorHAnsi"/>
          <w:sz w:val="16"/>
          <w:szCs w:val="16"/>
        </w:rPr>
        <w:t xml:space="preserve">D.Ohio </w:t>
      </w:r>
      <w:r w:rsidRPr="00C3377D">
        <w:rPr>
          <w:rFonts w:asciiTheme="minorHAnsi" w:hAnsiTheme="minorHAnsi" w:cstheme="minorHAnsi"/>
          <w:sz w:val="16"/>
          <w:szCs w:val="16"/>
        </w:rPr>
        <w:t>Aug. 9, 2013).</w:t>
      </w:r>
    </w:p>
  </w:endnote>
  <w:endnote w:id="445">
    <w:p w14:paraId="7BB143EF" w14:textId="72F31EF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5" w:history="1">
        <w:r w:rsidRPr="00C3377D">
          <w:rPr>
            <w:rStyle w:val="Hyperlink"/>
            <w:rFonts w:asciiTheme="minorHAnsi" w:hAnsiTheme="minorHAnsi" w:cstheme="minorHAnsi"/>
            <w:i/>
            <w:sz w:val="16"/>
            <w:szCs w:val="16"/>
          </w:rPr>
          <w:t xml:space="preserve">State ex rel. TP Mech. Contractors, Inc. v. Franklin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10th Dist. Franklin No. 09AP-235, 2009-Ohio-3614, ¶ 13.</w:t>
      </w:r>
    </w:p>
  </w:endnote>
  <w:endnote w:id="446">
    <w:p w14:paraId="5A882A5A" w14:textId="0E43800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00477FA9">
        <w:t xml:space="preserve"> </w:t>
      </w:r>
      <w:hyperlink r:id="rId616" w:history="1">
        <w:r w:rsidR="00477FA9" w:rsidRPr="00477FA9">
          <w:rPr>
            <w:rStyle w:val="Hyperlink"/>
            <w:rFonts w:asciiTheme="minorHAnsi" w:hAnsiTheme="minorHAnsi" w:cstheme="minorHAnsi"/>
            <w:sz w:val="16"/>
            <w:szCs w:val="16"/>
          </w:rPr>
          <w:t>Evid.R. 803(8)</w:t>
        </w:r>
      </w:hyperlink>
      <w:r w:rsidR="00477FA9">
        <w:rPr>
          <w:rFonts w:asciiTheme="minorHAnsi" w:hAnsiTheme="minorHAnsi" w:cstheme="minorHAnsi"/>
          <w:sz w:val="16"/>
          <w:szCs w:val="16"/>
        </w:rPr>
        <w:t>;</w:t>
      </w:r>
      <w:r w:rsidRPr="00C3377D">
        <w:rPr>
          <w:rFonts w:asciiTheme="minorHAnsi" w:hAnsiTheme="minorHAnsi" w:cstheme="minorHAnsi"/>
          <w:sz w:val="16"/>
          <w:szCs w:val="16"/>
        </w:rPr>
        <w:t xml:space="preserve"> </w:t>
      </w:r>
      <w:hyperlink r:id="rId617" w:history="1">
        <w:r w:rsidRPr="00C3377D">
          <w:rPr>
            <w:rStyle w:val="Hyperlink"/>
            <w:rFonts w:asciiTheme="minorHAnsi" w:hAnsiTheme="minorHAnsi" w:cstheme="minorHAnsi"/>
            <w:i/>
            <w:sz w:val="16"/>
            <w:szCs w:val="16"/>
          </w:rPr>
          <w:t>State v. Scurti</w:t>
        </w:r>
      </w:hyperlink>
      <w:r w:rsidRPr="00C3377D">
        <w:rPr>
          <w:rFonts w:asciiTheme="minorHAnsi" w:hAnsiTheme="minorHAnsi" w:cstheme="minorHAnsi"/>
          <w:sz w:val="16"/>
          <w:szCs w:val="16"/>
        </w:rPr>
        <w:t>, 153 Ohio App.3d 183, 2003-Ohio-3286, ¶ 15 (7th Dist.).</w:t>
      </w:r>
    </w:p>
  </w:endnote>
  <w:endnote w:id="447">
    <w:p w14:paraId="34CD9949" w14:textId="1F4DE63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8" w:history="1">
        <w:r w:rsidRPr="00C3377D">
          <w:rPr>
            <w:rStyle w:val="Hyperlink"/>
            <w:rFonts w:asciiTheme="minorHAnsi" w:hAnsiTheme="minorHAnsi" w:cstheme="minorHAnsi"/>
            <w:i/>
            <w:sz w:val="16"/>
            <w:szCs w:val="16"/>
          </w:rPr>
          <w:t xml:space="preserve">Gilbert v. Summit </w:t>
        </w:r>
        <w:r w:rsidRPr="00C3377D">
          <w:rPr>
            <w:rStyle w:val="Hyperlink"/>
            <w:rFonts w:asciiTheme="minorHAnsi" w:hAnsiTheme="minorHAnsi" w:cstheme="minorHAnsi"/>
            <w:i/>
            <w:sz w:val="16"/>
            <w:szCs w:val="16"/>
          </w:rPr>
          <w:t>Cty.</w:t>
        </w:r>
      </w:hyperlink>
      <w:r w:rsidRPr="00C3377D">
        <w:rPr>
          <w:rFonts w:asciiTheme="minorHAnsi" w:hAnsiTheme="minorHAnsi" w:cstheme="minorHAnsi"/>
          <w:sz w:val="16"/>
          <w:szCs w:val="16"/>
        </w:rPr>
        <w:t>, 104 Ohio St.3d 660, 2004-Ohio-7108, ¶ 13-14 (Stratton, J. concurring).</w:t>
      </w:r>
    </w:p>
  </w:endnote>
  <w:endnote w:id="448">
    <w:p w14:paraId="4E7E5026" w14:textId="328B3F0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19" w:history="1">
        <w:r w:rsidRPr="00C3377D">
          <w:rPr>
            <w:rStyle w:val="Hyperlink"/>
            <w:rFonts w:asciiTheme="minorHAnsi" w:hAnsiTheme="minorHAnsi" w:cstheme="minorHAnsi"/>
            <w:sz w:val="16"/>
            <w:szCs w:val="16"/>
          </w:rPr>
          <w:t>R.C. 149.43(A)(4).</w:t>
        </w:r>
      </w:hyperlink>
    </w:p>
  </w:endnote>
  <w:endnote w:id="449">
    <w:p w14:paraId="5ED59858" w14:textId="2616BE91" w:rsidR="002F23BE" w:rsidRPr="00C3377D" w:rsidRDefault="002F23BE" w:rsidP="00C3377D">
      <w:pPr>
        <w:pStyle w:val="EndnoteText"/>
        <w:spacing w:line="160" w:lineRule="exact"/>
        <w:jc w:val="both"/>
        <w:rPr>
          <w:rFonts w:asciiTheme="minorHAnsi" w:hAnsiTheme="minorHAnsi" w:cstheme="minorHAnsi"/>
          <w: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0" w:history="1">
        <w:r w:rsidRPr="00C3377D">
          <w:rPr>
            <w:rStyle w:val="Hyperlink"/>
            <w:rFonts w:asciiTheme="minorHAnsi" w:hAnsiTheme="minorHAnsi" w:cstheme="minorHAnsi"/>
            <w:i/>
            <w:sz w:val="16"/>
            <w:szCs w:val="16"/>
          </w:rPr>
          <w:t>Frank R. Recker &amp; Assocs. Co. LPA, v. Ohio State Dental Bd.</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2019-00381PQ, 2019-Ohio-3268, ¶ 13,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2019-00381PQ, 2019-Ohio-3678 (surveys created with the help of counsel and in reasonable anticipation of litigation qualified as trial preparation records even though the public office also used them for non-litigation purposes).</w:t>
      </w:r>
      <w:r w:rsidRPr="00C3377D">
        <w:rPr>
          <w:rFonts w:asciiTheme="minorHAnsi" w:hAnsiTheme="minorHAnsi" w:cstheme="minorHAnsi"/>
          <w:i/>
          <w:sz w:val="16"/>
          <w:szCs w:val="16"/>
        </w:rPr>
        <w:t xml:space="preserve">  </w:t>
      </w:r>
    </w:p>
  </w:endnote>
  <w:endnote w:id="450">
    <w:p w14:paraId="4342604E"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1" w:history="1">
        <w:r w:rsidRPr="00C3377D">
          <w:rPr>
            <w:rStyle w:val="Hyperlink"/>
            <w:rFonts w:asciiTheme="minorHAnsi" w:hAnsiTheme="minorHAnsi" w:cstheme="minorHAnsi"/>
            <w:i/>
            <w:sz w:val="16"/>
            <w:szCs w:val="16"/>
          </w:rPr>
          <w:t>Cleveland Clinic Found. v. Levin</w:t>
        </w:r>
      </w:hyperlink>
      <w:r w:rsidRPr="00C3377D">
        <w:rPr>
          <w:rFonts w:asciiTheme="minorHAnsi" w:hAnsiTheme="minorHAnsi" w:cstheme="minorHAnsi"/>
          <w:sz w:val="16"/>
          <w:szCs w:val="16"/>
        </w:rPr>
        <w:t>, 120 Ohio St.3d 1210, 2008-Ohio-6197, ¶ 10.</w:t>
      </w:r>
    </w:p>
  </w:endnote>
  <w:endnote w:id="451">
    <w:p w14:paraId="05D364E8"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2" w:history="1">
        <w:r w:rsidRPr="00C3377D">
          <w:rPr>
            <w:rStyle w:val="Hyperlink"/>
            <w:rFonts w:asciiTheme="minorHAnsi" w:hAnsiTheme="minorHAnsi" w:cstheme="minorHAnsi"/>
            <w:i/>
            <w:sz w:val="16"/>
            <w:szCs w:val="16"/>
          </w:rPr>
          <w:t>State ex rel. Nix v. Cleveland</w:t>
        </w:r>
      </w:hyperlink>
      <w:r w:rsidRPr="00C3377D">
        <w:rPr>
          <w:rFonts w:asciiTheme="minorHAnsi" w:hAnsiTheme="minorHAnsi" w:cstheme="minorHAnsi"/>
          <w:sz w:val="16"/>
          <w:szCs w:val="16"/>
        </w:rPr>
        <w:t>, 83 Ohio St.3d 379, 384-85 (1998).</w:t>
      </w:r>
    </w:p>
  </w:endnote>
  <w:endnote w:id="452">
    <w:p w14:paraId="47CEC090" w14:textId="5B05366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3"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163 Ohio St.3d 217, 2020-Ohio-5585, ¶ 47.</w:t>
      </w:r>
    </w:p>
  </w:endnote>
  <w:endnote w:id="453">
    <w:p w14:paraId="2E4D4490" w14:textId="2677178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4" w:history="1">
        <w:r w:rsidRPr="00C3377D">
          <w:rPr>
            <w:rStyle w:val="Hyperlink"/>
            <w:rFonts w:asciiTheme="minorHAnsi" w:hAnsiTheme="minorHAnsi" w:cstheme="minorHAnsi"/>
            <w:i/>
            <w:sz w:val="16"/>
            <w:szCs w:val="16"/>
          </w:rPr>
          <w:t>State ex rel. Summers v. Fox</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163 Ohio St.3d 217, 2020-Ohio-5585, ¶ 49 (interviews conducted before the filing of a criminal complaint were not trial preparation records); </w:t>
      </w:r>
      <w:r w:rsidRPr="00C3377D">
        <w:rPr>
          <w:rFonts w:asciiTheme="minorHAnsi" w:hAnsiTheme="minorHAnsi" w:cstheme="minorHAnsi"/>
          <w:i/>
          <w:sz w:val="16"/>
          <w:szCs w:val="16"/>
        </w:rPr>
        <w:t xml:space="preserve">see also </w:t>
      </w:r>
      <w:hyperlink r:id="rId625" w:history="1">
        <w:r w:rsidRPr="00C3377D">
          <w:rPr>
            <w:rStyle w:val="Hyperlink"/>
            <w:rFonts w:asciiTheme="minorHAnsi" w:hAnsiTheme="minorHAnsi" w:cstheme="minorHAnsi"/>
            <w:i/>
            <w:sz w:val="16"/>
            <w:szCs w:val="16"/>
          </w:rPr>
          <w:t>Bentkowski v. Trafis</w:t>
        </w:r>
      </w:hyperlink>
      <w:r w:rsidRPr="00C3377D">
        <w:rPr>
          <w:rFonts w:asciiTheme="minorHAnsi" w:hAnsiTheme="minorHAnsi" w:cstheme="minorHAnsi"/>
          <w:sz w:val="16"/>
          <w:szCs w:val="16"/>
        </w:rPr>
        <w:t>, 8th Dist. Cuyahoga No. 102540, 2015-Ohio-5139, ¶ 27 (trial preparation records exemption inapplicable to records of a police investigation when the police had closed the investigation; no crime was charged or even contemplated, and thus trial was not reasonably anticipated).</w:t>
      </w:r>
    </w:p>
  </w:endnote>
  <w:endnote w:id="454">
    <w:p w14:paraId="3F282955" w14:textId="7B5ED71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6" w:history="1">
        <w:r w:rsidRPr="00C3377D">
          <w:rPr>
            <w:rStyle w:val="Hyperlink"/>
            <w:rFonts w:asciiTheme="minorHAnsi" w:hAnsiTheme="minorHAnsi" w:cstheme="minorHAnsi"/>
            <w:i/>
            <w:sz w:val="16"/>
            <w:szCs w:val="16"/>
          </w:rPr>
          <w:t xml:space="preserve">Hodge v. Montgomery </w:t>
        </w:r>
        <w:r w:rsidRPr="00C3377D">
          <w:rPr>
            <w:rStyle w:val="Hyperlink"/>
            <w:rFonts w:asciiTheme="minorHAnsi" w:hAnsiTheme="minorHAnsi" w:cstheme="minorHAnsi"/>
            <w:i/>
            <w:sz w:val="16"/>
            <w:szCs w:val="16"/>
          </w:rPr>
          <w:t>Cty. Prosecutor’s Office</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No. 2019-01111PQ, 2020-Ohio-4520, ¶ 13,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Ct. of Cl. No. 2019-01111PQ, 2020-Ohio-4904.</w:t>
      </w:r>
    </w:p>
  </w:endnote>
  <w:endnote w:id="455">
    <w:p w14:paraId="2522743E" w14:textId="1E7518D1"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Chapter </w:t>
      </w:r>
      <w:r w:rsidR="00F12762"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E0738B">
        <w:rPr>
          <w:rFonts w:asciiTheme="minorHAnsi" w:hAnsiTheme="minorHAnsi" w:cstheme="minorHAnsi"/>
          <w:sz w:val="16"/>
          <w:szCs w:val="16"/>
        </w:rPr>
        <w:t>B</w:t>
      </w:r>
      <w:r w:rsidRPr="00C3377D">
        <w:rPr>
          <w:rFonts w:asciiTheme="minorHAnsi" w:hAnsiTheme="minorHAnsi" w:cstheme="minorHAnsi"/>
          <w:sz w:val="16"/>
          <w:szCs w:val="16"/>
        </w:rPr>
        <w:t>. “Court Records.”</w:t>
      </w:r>
    </w:p>
  </w:endnote>
  <w:endnote w:id="456">
    <w:p w14:paraId="35D2473D" w14:textId="270AE0B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State ex rel. Vindicator Printing Co. v. Watkins</w:t>
      </w:r>
      <w:r w:rsidRPr="00C3377D">
        <w:rPr>
          <w:rFonts w:asciiTheme="minorHAnsi" w:hAnsiTheme="minorHAnsi" w:cstheme="minorHAnsi"/>
          <w:sz w:val="16"/>
          <w:szCs w:val="16"/>
        </w:rPr>
        <w:t xml:space="preserve">, 66 Ohio St.3d 129, 137-38 (1993) (prohibiting disclosure of pretrial court records prejudicing rights of criminal defendant); </w:t>
      </w:r>
      <w:r w:rsidRPr="00C3377D">
        <w:rPr>
          <w:rFonts w:asciiTheme="minorHAnsi" w:hAnsiTheme="minorHAnsi" w:cstheme="minorHAnsi"/>
          <w:i/>
          <w:sz w:val="16"/>
          <w:szCs w:val="16"/>
        </w:rPr>
        <w:t>Adams v. Metallica, Inc.</w:t>
      </w:r>
      <w:r w:rsidRPr="00C3377D">
        <w:rPr>
          <w:rFonts w:asciiTheme="minorHAnsi" w:hAnsiTheme="minorHAnsi" w:cstheme="minorHAnsi"/>
          <w:sz w:val="16"/>
          <w:szCs w:val="16"/>
        </w:rPr>
        <w:t xml:space="preserve">, 143 Ohio App.3d 482, 493-95 (1st Dist. 2001) (applying balancing test to determine whether prejudicial record should be released when filed with the court); </w:t>
      </w:r>
      <w:r w:rsidRPr="00C3377D">
        <w:rPr>
          <w:rFonts w:asciiTheme="minorHAnsi" w:hAnsiTheme="minorHAnsi" w:cstheme="minorHAnsi"/>
          <w:i/>
          <w:sz w:val="16"/>
          <w:szCs w:val="16"/>
        </w:rPr>
        <w:t xml:space="preserve">but see </w:t>
      </w:r>
      <w:hyperlink r:id="rId627" w:history="1">
        <w:r w:rsidRPr="00C3377D">
          <w:rPr>
            <w:rStyle w:val="Hyperlink"/>
            <w:rFonts w:asciiTheme="minorHAnsi" w:hAnsiTheme="minorHAnsi" w:cstheme="minorHAnsi"/>
            <w:i/>
            <w:sz w:val="16"/>
            <w:szCs w:val="16"/>
          </w:rPr>
          <w:t xml:space="preserve">State ex rel. Highlander v. </w:t>
        </w:r>
        <w:r w:rsidRPr="00C3377D">
          <w:rPr>
            <w:rStyle w:val="Hyperlink"/>
            <w:rFonts w:asciiTheme="minorHAnsi" w:hAnsiTheme="minorHAnsi" w:cstheme="minorHAnsi"/>
            <w:i/>
            <w:sz w:val="16"/>
            <w:szCs w:val="16"/>
          </w:rPr>
          <w:t>Rudduck</w:t>
        </w:r>
      </w:hyperlink>
      <w:r w:rsidRPr="00C3377D">
        <w:rPr>
          <w:rFonts w:asciiTheme="minorHAnsi" w:hAnsiTheme="minorHAnsi" w:cstheme="minorHAnsi"/>
          <w:sz w:val="16"/>
          <w:szCs w:val="16"/>
        </w:rPr>
        <w:t>, 103 Ohio St.3d 370, 2004-Ohio-4952, ¶ 9-20 (pending appeal from court order unsealing divorce records does not preclude writ of mandamus claim).</w:t>
      </w:r>
    </w:p>
  </w:endnote>
  <w:endnote w:id="457">
    <w:p w14:paraId="5F03CB65" w14:textId="66A1240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Cincinnati Enquirer v. </w:t>
      </w:r>
      <w:r w:rsidRPr="00C3377D">
        <w:rPr>
          <w:rFonts w:asciiTheme="minorHAnsi" w:hAnsiTheme="minorHAnsi" w:cstheme="minorHAnsi"/>
          <w:i/>
          <w:sz w:val="16"/>
          <w:szCs w:val="16"/>
        </w:rPr>
        <w:t>Dinkelacker</w:t>
      </w:r>
      <w:r w:rsidRPr="00C3377D">
        <w:rPr>
          <w:rFonts w:asciiTheme="minorHAnsi" w:hAnsiTheme="minorHAnsi" w:cstheme="minorHAnsi"/>
          <w:sz w:val="16"/>
          <w:szCs w:val="16"/>
        </w:rPr>
        <w:t>, 144 Ohio App.3d 725, 730-33 (1st Dist. 2001) (trial judge was required to determine whether release of records would jeopardize defendant’s right to a fair trial)</w:t>
      </w:r>
      <w:r w:rsidR="007A0FA9">
        <w:rPr>
          <w:rFonts w:asciiTheme="minorHAnsi" w:hAnsiTheme="minorHAnsi" w:cstheme="minorHAnsi"/>
          <w:sz w:val="16"/>
          <w:szCs w:val="16"/>
        </w:rPr>
        <w:t>.</w:t>
      </w:r>
    </w:p>
  </w:endnote>
  <w:endnote w:id="458">
    <w:p w14:paraId="2F9ED289" w14:textId="542137E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28" w:history="1">
        <w:r w:rsidR="00811C09" w:rsidRPr="00C3377D">
          <w:rPr>
            <w:rStyle w:val="Hyperlink"/>
            <w:rFonts w:asciiTheme="minorHAnsi" w:hAnsiTheme="minorHAnsi" w:cstheme="minorHAnsi"/>
            <w:sz w:val="16"/>
            <w:szCs w:val="16"/>
          </w:rPr>
          <w:t>R.C. 2953.32</w:t>
        </w:r>
      </w:hyperlink>
      <w:r w:rsidR="00811C09" w:rsidRPr="00C3377D">
        <w:rPr>
          <w:rFonts w:asciiTheme="minorHAnsi" w:hAnsiTheme="minorHAnsi" w:cstheme="minorHAnsi"/>
          <w:sz w:val="16"/>
          <w:szCs w:val="16"/>
        </w:rPr>
        <w:t xml:space="preserve">; </w:t>
      </w:r>
      <w:hyperlink r:id="rId629" w:history="1">
        <w:r w:rsidR="00811C09" w:rsidRPr="00C3377D">
          <w:rPr>
            <w:rStyle w:val="Hyperlink"/>
            <w:rFonts w:asciiTheme="minorHAnsi" w:hAnsiTheme="minorHAnsi" w:cstheme="minorHAnsi"/>
            <w:sz w:val="16"/>
            <w:szCs w:val="16"/>
          </w:rPr>
          <w:t>R.C. 2953.33</w:t>
        </w:r>
      </w:hyperlink>
      <w:r w:rsidR="00811C09" w:rsidRPr="00C3377D">
        <w:rPr>
          <w:rFonts w:asciiTheme="minorHAnsi" w:hAnsiTheme="minorHAnsi" w:cstheme="minorHAnsi"/>
          <w:sz w:val="16"/>
          <w:szCs w:val="16"/>
        </w:rPr>
        <w:t xml:space="preserve">; </w:t>
      </w:r>
      <w:hyperlink r:id="rId630" w:history="1">
        <w:r w:rsidR="00811C09" w:rsidRPr="00C3377D">
          <w:rPr>
            <w:rStyle w:val="Hyperlink"/>
            <w:rFonts w:asciiTheme="minorHAnsi" w:hAnsiTheme="minorHAnsi" w:cstheme="minorHAnsi"/>
            <w:sz w:val="16"/>
            <w:szCs w:val="16"/>
          </w:rPr>
          <w:t>R.C. 2953.34</w:t>
        </w:r>
      </w:hyperlink>
      <w:r w:rsidR="00811C09" w:rsidRPr="00C3377D">
        <w:rPr>
          <w:rFonts w:asciiTheme="minorHAnsi" w:hAnsiTheme="minorHAnsi" w:cstheme="minorHAnsi"/>
          <w:sz w:val="16"/>
          <w:szCs w:val="16"/>
        </w:rPr>
        <w:t xml:space="preserve">; </w:t>
      </w:r>
      <w:hyperlink r:id="rId631" w:history="1">
        <w:r w:rsidRPr="00C3377D">
          <w:rPr>
            <w:rStyle w:val="Hyperlink"/>
            <w:rFonts w:asciiTheme="minorHAnsi" w:hAnsiTheme="minorHAnsi" w:cstheme="minorHAnsi"/>
            <w:i/>
            <w:sz w:val="16"/>
            <w:szCs w:val="16"/>
          </w:rPr>
          <w:t>State ex rel. Cincinnati Enquirer v. Winkler</w:t>
        </w:r>
      </w:hyperlink>
      <w:r w:rsidRPr="00C3377D">
        <w:rPr>
          <w:rFonts w:asciiTheme="minorHAnsi" w:hAnsiTheme="minorHAnsi" w:cstheme="minorHAnsi"/>
          <w:sz w:val="16"/>
          <w:szCs w:val="16"/>
        </w:rPr>
        <w:t>, 101 Ohio St.3d 382, 2004-Ohio-1581, ¶ 4-13 (affirming trial court’s sealing order per R.C. 2953.52</w:t>
      </w:r>
      <w:r w:rsidR="00811C09" w:rsidRPr="00C3377D">
        <w:rPr>
          <w:rFonts w:asciiTheme="minorHAnsi" w:hAnsiTheme="minorHAnsi" w:cstheme="minorHAnsi"/>
          <w:sz w:val="16"/>
          <w:szCs w:val="16"/>
        </w:rPr>
        <w:t xml:space="preserve"> [renumbered as R.C. 2943.33]</w:t>
      </w:r>
      <w:r w:rsidRPr="00C3377D">
        <w:rPr>
          <w:rFonts w:asciiTheme="minorHAnsi" w:hAnsiTheme="minorHAnsi" w:cstheme="minorHAnsi"/>
          <w:sz w:val="16"/>
          <w:szCs w:val="16"/>
        </w:rPr>
        <w:t xml:space="preserve">); </w:t>
      </w:r>
      <w:hyperlink r:id="rId632" w:history="1">
        <w:r w:rsidRPr="00C3377D">
          <w:rPr>
            <w:rStyle w:val="Hyperlink"/>
            <w:rFonts w:asciiTheme="minorHAnsi" w:hAnsiTheme="minorHAnsi" w:cstheme="minorHAnsi"/>
            <w:i/>
            <w:sz w:val="16"/>
            <w:szCs w:val="16"/>
          </w:rPr>
          <w:t>Dream Fields, LLC v. Bogart</w:t>
        </w:r>
      </w:hyperlink>
      <w:r w:rsidRPr="00C3377D">
        <w:rPr>
          <w:rFonts w:asciiTheme="minorHAnsi" w:hAnsiTheme="minorHAnsi" w:cstheme="minorHAnsi"/>
          <w:sz w:val="16"/>
          <w:szCs w:val="16"/>
        </w:rPr>
        <w:t xml:space="preserve">, 175 Ohio App.3d 165, 2008-Ohio-152, ¶ 5-6 (1st Dist.) (unless a court record contains information that is </w:t>
      </w:r>
      <w:r w:rsidR="00477FA9">
        <w:rPr>
          <w:rFonts w:asciiTheme="minorHAnsi" w:hAnsiTheme="minorHAnsi" w:cstheme="minorHAnsi"/>
          <w:sz w:val="16"/>
          <w:szCs w:val="16"/>
        </w:rPr>
        <w:t xml:space="preserve">exempt as </w:t>
      </w:r>
      <w:r w:rsidRPr="00C3377D">
        <w:rPr>
          <w:rFonts w:asciiTheme="minorHAnsi" w:hAnsiTheme="minorHAnsi" w:cstheme="minorHAnsi"/>
          <w:sz w:val="16"/>
          <w:szCs w:val="16"/>
        </w:rPr>
        <w:t>a public record, it shall not be sealed and shall be available for public inspection</w:t>
      </w:r>
      <w:r w:rsidR="00477FA9">
        <w:rPr>
          <w:rFonts w:asciiTheme="minorHAnsi" w:hAnsiTheme="minorHAnsi" w:cstheme="minorHAnsi"/>
          <w:sz w:val="16"/>
          <w:szCs w:val="16"/>
        </w:rPr>
        <w:t>;</w:t>
      </w:r>
      <w:r w:rsidRPr="00C3377D">
        <w:rPr>
          <w:rFonts w:asciiTheme="minorHAnsi" w:hAnsiTheme="minorHAnsi" w:cstheme="minorHAnsi"/>
          <w:sz w:val="16"/>
          <w:szCs w:val="16"/>
        </w:rPr>
        <w:t xml:space="preserve"> “[j]</w:t>
      </w:r>
      <w:r w:rsidRPr="00C3377D">
        <w:rPr>
          <w:rFonts w:asciiTheme="minorHAnsi" w:hAnsiTheme="minorHAnsi" w:cstheme="minorHAnsi"/>
          <w:sz w:val="16"/>
          <w:szCs w:val="16"/>
        </w:rPr>
        <w:t xml:space="preserve">ust because the parties have agreed that they want the records sealed is not enough to justify the sealing”);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w:t>
      </w:r>
      <w:r w:rsidR="00F12762" w:rsidRPr="00C3377D">
        <w:rPr>
          <w:rFonts w:asciiTheme="minorHAnsi" w:hAnsiTheme="minorHAnsi" w:cstheme="minorHAnsi"/>
          <w:sz w:val="16"/>
          <w:szCs w:val="16"/>
        </w:rPr>
        <w:t>Five</w:t>
      </w:r>
      <w:r w:rsidRPr="00C3377D">
        <w:rPr>
          <w:rFonts w:asciiTheme="minorHAnsi" w:hAnsiTheme="minorHAnsi" w:cstheme="minorHAnsi"/>
          <w:sz w:val="16"/>
          <w:szCs w:val="16"/>
        </w:rPr>
        <w:t xml:space="preserve">: </w:t>
      </w:r>
      <w:r w:rsidR="00F12762" w:rsidRPr="00C3377D">
        <w:rPr>
          <w:rFonts w:asciiTheme="minorHAnsi" w:hAnsiTheme="minorHAnsi" w:cstheme="minorHAnsi"/>
          <w:sz w:val="16"/>
          <w:szCs w:val="16"/>
        </w:rPr>
        <w:t>B</w:t>
      </w:r>
      <w:r w:rsidRPr="00C3377D">
        <w:rPr>
          <w:rFonts w:asciiTheme="minorHAnsi" w:hAnsiTheme="minorHAnsi" w:cstheme="minorHAnsi"/>
          <w:sz w:val="16"/>
          <w:szCs w:val="16"/>
        </w:rPr>
        <w:t>. “Court Records.”</w:t>
      </w:r>
    </w:p>
  </w:endnote>
  <w:endnote w:id="459">
    <w:p w14:paraId="7AFF9A5F" w14:textId="4E997AE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3" w:history="1">
        <w:r w:rsidRPr="00C3377D">
          <w:rPr>
            <w:rStyle w:val="Hyperlink"/>
            <w:rFonts w:asciiTheme="minorHAnsi" w:hAnsiTheme="minorHAnsi" w:cstheme="minorHAnsi"/>
            <w:i/>
            <w:sz w:val="16"/>
            <w:szCs w:val="16"/>
          </w:rPr>
          <w:t>Mayfield Hts. v. M.T.S.</w:t>
        </w:r>
      </w:hyperlink>
      <w:r w:rsidRPr="00C3377D">
        <w:rPr>
          <w:rFonts w:asciiTheme="minorHAnsi" w:hAnsiTheme="minorHAnsi" w:cstheme="minorHAnsi"/>
          <w:sz w:val="16"/>
          <w:szCs w:val="16"/>
        </w:rPr>
        <w:t>, 8th Dist. Cuyahoga No. 100842, 2014-Ohio-4088, ¶ 8.</w:t>
      </w:r>
    </w:p>
  </w:endnote>
  <w:endnote w:id="460">
    <w:p w14:paraId="3AD22F17" w14:textId="3720234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4" w:history="1">
        <w:r w:rsidRPr="00C3377D">
          <w:rPr>
            <w:rStyle w:val="Hyperlink"/>
            <w:rFonts w:asciiTheme="minorHAnsi" w:hAnsiTheme="minorHAnsi" w:cstheme="minorHAnsi"/>
            <w:i/>
            <w:sz w:val="16"/>
            <w:szCs w:val="16"/>
          </w:rPr>
          <w:t xml:space="preserve">State ex rel. Frank v. Clermont </w:t>
        </w:r>
        <w:r w:rsidRPr="00C3377D">
          <w:rPr>
            <w:rStyle w:val="Hyperlink"/>
            <w:rFonts w:asciiTheme="minorHAnsi" w:hAnsiTheme="minorHAnsi" w:cstheme="minorHAnsi"/>
            <w:i/>
            <w:sz w:val="16"/>
            <w:szCs w:val="16"/>
          </w:rPr>
          <w:t>Cty. Prosecutor</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164 Ohio St.3d 522, 2021-Ohio-623, ¶ 21 (prosecutor’s response, “This does not preclude the possibility of unlisted arrests, expunged/sealed records or criminal investigation information with this or other departments” was sufficient when denying public records request); </w:t>
      </w:r>
      <w:hyperlink r:id="rId635" w:history="1">
        <w:r w:rsidRPr="00C3377D">
          <w:rPr>
            <w:rStyle w:val="Hyperlink"/>
            <w:rFonts w:asciiTheme="minorHAnsi" w:hAnsiTheme="minorHAnsi" w:cstheme="minorHAnsi"/>
            <w:i/>
            <w:sz w:val="16"/>
            <w:szCs w:val="16"/>
          </w:rPr>
          <w:t>State ex rel. Doe v. Smith</w:t>
        </w:r>
      </w:hyperlink>
      <w:r w:rsidRPr="00C3377D">
        <w:rPr>
          <w:rFonts w:asciiTheme="minorHAnsi" w:hAnsiTheme="minorHAnsi" w:cstheme="minorHAnsi"/>
          <w:sz w:val="16"/>
          <w:szCs w:val="16"/>
        </w:rPr>
        <w:t xml:space="preserve">, 123 Ohio St.3d 44, 2009-Ohio-4149, ¶ 6, 9, 38, 43 (response, “There is no information available” was a violation of the R.C. 149.43(B)(3) requirement to provide a sufficient explanation, with legal authority, for the denial); </w:t>
      </w:r>
      <w:r w:rsidRPr="00C3377D">
        <w:rPr>
          <w:rFonts w:asciiTheme="minorHAnsi" w:hAnsiTheme="minorHAnsi" w:cstheme="minorHAnsi"/>
          <w:i/>
          <w:sz w:val="16"/>
          <w:szCs w:val="16"/>
        </w:rPr>
        <w:t xml:space="preserve">but see </w:t>
      </w:r>
      <w:hyperlink r:id="rId636" w:history="1">
        <w:r w:rsidRPr="00C3377D">
          <w:rPr>
            <w:rStyle w:val="Hyperlink"/>
            <w:rFonts w:asciiTheme="minorHAnsi" w:hAnsiTheme="minorHAnsi" w:cstheme="minorHAnsi"/>
            <w:sz w:val="16"/>
            <w:szCs w:val="16"/>
          </w:rPr>
          <w:t>R.C. 2953.3</w:t>
        </w:r>
        <w:r w:rsidR="00811C09" w:rsidRPr="00C3377D">
          <w:rPr>
            <w:rStyle w:val="Hyperlink"/>
            <w:rFonts w:asciiTheme="minorHAnsi" w:hAnsiTheme="minorHAnsi" w:cstheme="minorHAnsi"/>
            <w:sz w:val="16"/>
            <w:szCs w:val="16"/>
          </w:rPr>
          <w:t>6</w:t>
        </w:r>
        <w:r w:rsidRPr="00C3377D">
          <w:rPr>
            <w:rStyle w:val="Hyperlink"/>
            <w:rFonts w:asciiTheme="minorHAnsi" w:hAnsiTheme="minorHAnsi" w:cstheme="minorHAnsi"/>
            <w:sz w:val="16"/>
            <w:szCs w:val="16"/>
          </w:rPr>
          <w:t>(</w:t>
        </w:r>
        <w:r w:rsidR="00811C09" w:rsidRPr="00C3377D">
          <w:rPr>
            <w:rStyle w:val="Hyperlink"/>
            <w:rFonts w:asciiTheme="minorHAnsi" w:hAnsiTheme="minorHAnsi" w:cstheme="minorHAnsi"/>
            <w:sz w:val="16"/>
            <w:szCs w:val="16"/>
          </w:rPr>
          <w:t>F</w:t>
        </w:r>
        <w:r w:rsidRPr="00C3377D">
          <w:rPr>
            <w:rStyle w:val="Hyperlink"/>
            <w:rFonts w:asciiTheme="minorHAnsi" w:hAnsiTheme="minorHAnsi" w:cstheme="minorHAnsi"/>
            <w:sz w:val="16"/>
            <w:szCs w:val="16"/>
          </w:rPr>
          <w:t>)(2)</w:t>
        </w:r>
      </w:hyperlink>
      <w:r w:rsidRPr="00C3377D">
        <w:rPr>
          <w:rFonts w:asciiTheme="minorHAnsi" w:hAnsiTheme="minorHAnsi" w:cstheme="minorHAnsi"/>
          <w:sz w:val="16"/>
          <w:szCs w:val="16"/>
        </w:rPr>
        <w:t xml:space="preserve"> (“upon any inquiry” for expunged records of human trafficking victims, the court “</w:t>
      </w:r>
      <w:r w:rsidRPr="00C3377D">
        <w:rPr>
          <w:rFonts w:asciiTheme="minorHAnsi" w:hAnsiTheme="minorHAnsi" w:cstheme="minorHAnsi"/>
          <w:i/>
          <w:sz w:val="16"/>
          <w:szCs w:val="16"/>
        </w:rPr>
        <w:t>shall</w:t>
      </w:r>
      <w:r w:rsidRPr="00C3377D">
        <w:rPr>
          <w:rFonts w:asciiTheme="minorHAnsi" w:hAnsiTheme="minorHAnsi" w:cstheme="minorHAnsi"/>
          <w:sz w:val="16"/>
          <w:szCs w:val="16"/>
        </w:rPr>
        <w:t xml:space="preserve"> reply that no record exists”).</w:t>
      </w:r>
    </w:p>
  </w:endnote>
  <w:endnote w:id="461">
    <w:p w14:paraId="2C655382" w14:textId="399B87E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7" w:history="1">
        <w:r w:rsidRPr="00C3377D">
          <w:rPr>
            <w:rStyle w:val="Hyperlink"/>
            <w:rFonts w:asciiTheme="minorHAnsi" w:hAnsiTheme="minorHAnsi" w:cstheme="minorHAnsi"/>
            <w:i/>
            <w:sz w:val="16"/>
            <w:szCs w:val="16"/>
          </w:rPr>
          <w:t>State v. Radcliff</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142 Ohio St.3d 78, 2015-Ohio-235, ¶ 27; </w:t>
      </w:r>
      <w:r w:rsidRPr="00C3377D">
        <w:rPr>
          <w:rFonts w:asciiTheme="minorHAnsi" w:hAnsiTheme="minorHAnsi" w:cstheme="minorHAnsi"/>
          <w:i/>
          <w:sz w:val="16"/>
          <w:szCs w:val="16"/>
        </w:rPr>
        <w:t xml:space="preserve">but see </w:t>
      </w:r>
      <w:hyperlink r:id="rId638" w:history="1">
        <w:r w:rsidRPr="00C3377D">
          <w:rPr>
            <w:rStyle w:val="Hyperlink"/>
            <w:rFonts w:asciiTheme="minorHAnsi" w:hAnsiTheme="minorHAnsi" w:cstheme="minorHAnsi"/>
            <w:i/>
            <w:sz w:val="16"/>
            <w:szCs w:val="16"/>
          </w:rPr>
          <w:t xml:space="preserve">State ex rel. Highlander v. </w:t>
        </w:r>
        <w:r w:rsidRPr="00C3377D">
          <w:rPr>
            <w:rStyle w:val="Hyperlink"/>
            <w:rFonts w:asciiTheme="minorHAnsi" w:hAnsiTheme="minorHAnsi" w:cstheme="minorHAnsi"/>
            <w:i/>
            <w:sz w:val="16"/>
            <w:szCs w:val="16"/>
          </w:rPr>
          <w:t>Rudduck</w:t>
        </w:r>
      </w:hyperlink>
      <w:r w:rsidRPr="00C3377D">
        <w:rPr>
          <w:rFonts w:asciiTheme="minorHAnsi" w:hAnsiTheme="minorHAnsi" w:cstheme="minorHAnsi"/>
          <w:sz w:val="16"/>
          <w:szCs w:val="16"/>
        </w:rPr>
        <w:t>, 103 Ohio St.3d 370, 2004-Ohio-4952, ¶ 1 (divorce records were not properly sealed when an order results from “unwritten and informal court policy”).</w:t>
      </w:r>
    </w:p>
  </w:endnote>
  <w:endnote w:id="462">
    <w:p w14:paraId="46416703" w14:textId="55DAE536"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39" w:history="1">
        <w:r w:rsidRPr="00C3377D">
          <w:rPr>
            <w:rStyle w:val="Hyperlink"/>
            <w:rFonts w:asciiTheme="minorHAnsi" w:hAnsiTheme="minorHAnsi" w:cstheme="minorHAnsi"/>
            <w:i/>
            <w:sz w:val="16"/>
            <w:szCs w:val="16"/>
          </w:rPr>
          <w:t>State v. Radcliff</w:t>
        </w:r>
      </w:hyperlink>
      <w:r w:rsidRPr="00C3377D">
        <w:rPr>
          <w:rFonts w:asciiTheme="minorHAnsi" w:hAnsiTheme="minorHAnsi" w:cstheme="minorHAnsi"/>
          <w:sz w:val="16"/>
          <w:szCs w:val="16"/>
        </w:rPr>
        <w:t>, 142 Ohio St.3d 78, 2015-Ohio-235, ¶ 27.</w:t>
      </w:r>
    </w:p>
  </w:endnote>
  <w:endnote w:id="463">
    <w:p w14:paraId="5619AE30"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0" w:history="1">
        <w:r w:rsidRPr="00C3377D">
          <w:rPr>
            <w:rStyle w:val="Hyperlink"/>
            <w:rFonts w:asciiTheme="minorHAnsi" w:hAnsiTheme="minorHAnsi" w:cstheme="minorHAnsi"/>
            <w:i/>
            <w:sz w:val="16"/>
            <w:szCs w:val="16"/>
          </w:rPr>
          <w:t>State v. Boykin</w:t>
        </w:r>
      </w:hyperlink>
      <w:r w:rsidRPr="00C3377D">
        <w:rPr>
          <w:rFonts w:asciiTheme="minorHAnsi" w:hAnsiTheme="minorHAnsi" w:cstheme="minorHAnsi"/>
          <w:sz w:val="16"/>
          <w:szCs w:val="16"/>
        </w:rPr>
        <w:t>, 138 Ohio St.3d 97, 2013-Ohio-4582, syllabus.</w:t>
      </w:r>
    </w:p>
  </w:endnote>
  <w:endnote w:id="464">
    <w:p w14:paraId="323C47F2"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1" w:history="1">
        <w:r w:rsidRPr="00C3377D">
          <w:rPr>
            <w:rStyle w:val="Hyperlink"/>
            <w:rFonts w:asciiTheme="minorHAnsi" w:hAnsiTheme="minorHAnsi" w:cstheme="minorHAnsi"/>
            <w:i/>
            <w:sz w:val="16"/>
            <w:szCs w:val="16"/>
          </w:rPr>
          <w:t>State v. Radcliff</w:t>
        </w:r>
      </w:hyperlink>
      <w:r w:rsidRPr="00C3377D">
        <w:rPr>
          <w:rFonts w:asciiTheme="minorHAnsi" w:hAnsiTheme="minorHAnsi" w:cstheme="minorHAnsi"/>
          <w:sz w:val="16"/>
          <w:szCs w:val="16"/>
        </w:rPr>
        <w:t>, 142 Ohio St.3d 78, 2015-Ohio-235, ¶ 37.</w:t>
      </w:r>
    </w:p>
  </w:endnote>
  <w:endnote w:id="465">
    <w:p w14:paraId="4DA0E6F4" w14:textId="57DED43F"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2" w:history="1">
        <w:r w:rsidRPr="00C3377D">
          <w:rPr>
            <w:rStyle w:val="Hyperlink"/>
            <w:rFonts w:asciiTheme="minorHAnsi" w:hAnsiTheme="minorHAnsi" w:cstheme="minorHAnsi"/>
            <w:sz w:val="16"/>
            <w:szCs w:val="16"/>
          </w:rPr>
          <w:t>Crim.R. 6(E).</w:t>
        </w:r>
      </w:hyperlink>
    </w:p>
  </w:endnote>
  <w:endnote w:id="466">
    <w:p w14:paraId="30C908E4" w14:textId="743BEFA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3" w:history="1">
        <w:r w:rsidRPr="00C3377D">
          <w:rPr>
            <w:rStyle w:val="Hyperlink"/>
            <w:rFonts w:asciiTheme="minorHAnsi" w:hAnsiTheme="minorHAnsi" w:cstheme="minorHAnsi"/>
            <w:i/>
            <w:sz w:val="16"/>
            <w:szCs w:val="16"/>
          </w:rPr>
          <w:t>State ex rel. Beacon Journal v. Waters</w:t>
        </w:r>
      </w:hyperlink>
      <w:r w:rsidRPr="00C3377D">
        <w:rPr>
          <w:rFonts w:asciiTheme="minorHAnsi" w:hAnsiTheme="minorHAnsi" w:cstheme="minorHAnsi"/>
          <w:sz w:val="16"/>
          <w:szCs w:val="16"/>
        </w:rPr>
        <w:t xml:space="preserve">, 67 Ohio St.3d 321, 327 (1993); </w:t>
      </w:r>
      <w:hyperlink r:id="rId644" w:history="1">
        <w:r w:rsidRPr="00C3377D">
          <w:rPr>
            <w:rStyle w:val="Hyperlink"/>
            <w:rFonts w:asciiTheme="minorHAnsi" w:hAnsiTheme="minorHAnsi" w:cstheme="minorHAnsi"/>
            <w:sz w:val="16"/>
            <w:szCs w:val="16"/>
          </w:rPr>
          <w:t>Crim.R. 6.</w:t>
        </w:r>
      </w:hyperlink>
    </w:p>
  </w:endnote>
  <w:endnote w:id="467">
    <w:p w14:paraId="2B66DC09" w14:textId="5D63CBFD"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5" w:history="1">
        <w:r w:rsidRPr="00C3377D">
          <w:rPr>
            <w:rStyle w:val="Hyperlink"/>
            <w:rFonts w:asciiTheme="minorHAnsi" w:hAnsiTheme="minorHAnsi" w:cstheme="minorHAnsi"/>
            <w:i/>
            <w:sz w:val="16"/>
            <w:szCs w:val="16"/>
          </w:rPr>
          <w:t xml:space="preserve">State ex rel. Dispatch Printing Co. v. Morrow </w:t>
        </w:r>
        <w:r w:rsidRPr="00C3377D">
          <w:rPr>
            <w:rStyle w:val="Hyperlink"/>
            <w:rFonts w:asciiTheme="minorHAnsi" w:hAnsiTheme="minorHAnsi" w:cstheme="minorHAnsi"/>
            <w:i/>
            <w:sz w:val="16"/>
            <w:szCs w:val="16"/>
          </w:rPr>
          <w:t>Cty. Prosecutor’s Office</w:t>
        </w:r>
      </w:hyperlink>
      <w:r w:rsidRPr="00C3377D">
        <w:rPr>
          <w:rFonts w:asciiTheme="minorHAnsi" w:hAnsiTheme="minorHAnsi" w:cstheme="minorHAnsi"/>
          <w:sz w:val="16"/>
          <w:szCs w:val="16"/>
        </w:rPr>
        <w:t xml:space="preserve">, 105 Ohio St.3d 172, 2005-Ohio-685, ¶ 5; </w:t>
      </w:r>
      <w:hyperlink r:id="rId646" w:history="1">
        <w:r w:rsidRPr="00C3377D">
          <w:rPr>
            <w:rStyle w:val="Hyperlink"/>
            <w:rFonts w:asciiTheme="minorHAnsi" w:hAnsiTheme="minorHAnsi" w:cstheme="minorHAnsi"/>
            <w:i/>
            <w:sz w:val="16"/>
            <w:szCs w:val="16"/>
          </w:rPr>
          <w:t>State ex rel. Gannett Satellite Information Network, Inc. v. Petro</w:t>
        </w:r>
      </w:hyperlink>
      <w:r w:rsidRPr="00C3377D">
        <w:rPr>
          <w:rFonts w:asciiTheme="minorHAnsi" w:hAnsiTheme="minorHAnsi" w:cstheme="minorHAnsi"/>
          <w:sz w:val="16"/>
          <w:szCs w:val="16"/>
        </w:rPr>
        <w:t>, 80 Ohio St.3d 261, 267 (1997).</w:t>
      </w:r>
    </w:p>
  </w:endnote>
  <w:endnote w:id="468">
    <w:p w14:paraId="24140A81" w14:textId="196B3619"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7" w:history="1">
        <w:r w:rsidRPr="00C3377D">
          <w:rPr>
            <w:rStyle w:val="Hyperlink"/>
            <w:rFonts w:asciiTheme="minorHAnsi" w:hAnsiTheme="minorHAnsi" w:cstheme="minorHAnsi"/>
            <w:i/>
            <w:sz w:val="16"/>
            <w:szCs w:val="16"/>
          </w:rPr>
          <w:t>Krouse v. Ohio State Univ.</w:t>
        </w:r>
      </w:hyperlink>
      <w:r w:rsidRPr="00C3377D">
        <w:rPr>
          <w:rFonts w:asciiTheme="minorHAnsi" w:hAnsiTheme="minorHAnsi" w:cstheme="minorHAnsi"/>
          <w:sz w:val="16"/>
          <w:szCs w:val="16"/>
        </w:rPr>
        <w:t>, Ct. of Cl. No. 2018-00988PQ, 2018-Ohio-5014, ¶ 9</w:t>
      </w:r>
      <w:r w:rsidR="00477FA9">
        <w:rPr>
          <w:rFonts w:asciiTheme="minorHAnsi" w:hAnsiTheme="minorHAnsi" w:cstheme="minorHAnsi"/>
          <w:sz w:val="16"/>
          <w:szCs w:val="16"/>
        </w:rPr>
        <w:t>,</w:t>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adopted by</w:t>
      </w:r>
      <w:r w:rsidRPr="00C3377D">
        <w:rPr>
          <w:rFonts w:asciiTheme="minorHAnsi" w:hAnsiTheme="minorHAnsi" w:cstheme="minorHAnsi"/>
          <w:sz w:val="16"/>
          <w:szCs w:val="16"/>
        </w:rPr>
        <w:t xml:space="preserve"> Ct. of Cl. No. 2018-00988PQ, 2018-Ohio-5013.</w:t>
      </w:r>
    </w:p>
  </w:endnote>
  <w:endnote w:id="469">
    <w:p w14:paraId="2FE3CA69" w14:textId="3C9F4B1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48" w:history="1">
        <w:r w:rsidRPr="00C3377D">
          <w:rPr>
            <w:rStyle w:val="Hyperlink"/>
            <w:rFonts w:asciiTheme="minorHAnsi" w:hAnsiTheme="minorHAnsi" w:cstheme="minorHAnsi"/>
            <w:i/>
            <w:sz w:val="16"/>
            <w:szCs w:val="16"/>
          </w:rPr>
          <w:t>State ex rel. Cincinnati Enquirer, Div. of Gannett Satellite Information Network, Inc. v. Dupuis</w:t>
        </w:r>
      </w:hyperlink>
      <w:r w:rsidRPr="00C3377D">
        <w:rPr>
          <w:rFonts w:asciiTheme="minorHAnsi" w:hAnsiTheme="minorHAnsi" w:cstheme="minorHAnsi"/>
          <w:sz w:val="16"/>
          <w:szCs w:val="16"/>
        </w:rPr>
        <w:t xml:space="preserve">, 98 Ohio St.3d 126, 2002-Ohio-7041, ¶ 11-21; </w:t>
      </w:r>
      <w:r w:rsidRPr="00C3377D">
        <w:rPr>
          <w:rFonts w:asciiTheme="minorHAnsi" w:hAnsiTheme="minorHAnsi" w:cstheme="minorHAnsi"/>
          <w:i/>
          <w:sz w:val="16"/>
          <w:szCs w:val="16"/>
        </w:rPr>
        <w:t xml:space="preserve">State ex rel. Kinsley v. Berea Bd. of </w:t>
      </w:r>
      <w:r w:rsidRPr="00C3377D">
        <w:rPr>
          <w:rFonts w:asciiTheme="minorHAnsi" w:hAnsiTheme="minorHAnsi" w:cstheme="minorHAnsi"/>
          <w:i/>
          <w:sz w:val="16"/>
          <w:szCs w:val="16"/>
        </w:rPr>
        <w:t>Edn.</w:t>
      </w:r>
      <w:r w:rsidRPr="00C3377D">
        <w:rPr>
          <w:rFonts w:asciiTheme="minorHAnsi" w:hAnsiTheme="minorHAnsi" w:cstheme="minorHAnsi"/>
          <w:sz w:val="16"/>
          <w:szCs w:val="16"/>
        </w:rPr>
        <w:t>, 64 Ohio App.3d 659, 663 (8th Dist. 1990)</w:t>
      </w:r>
      <w:r w:rsidR="00A22CE1" w:rsidRPr="00C3377D">
        <w:rPr>
          <w:rFonts w:asciiTheme="minorHAnsi" w:hAnsiTheme="minorHAnsi" w:cstheme="minorHAnsi"/>
          <w:sz w:val="16"/>
          <w:szCs w:val="16"/>
        </w:rPr>
        <w:t>.</w:t>
      </w:r>
    </w:p>
  </w:endnote>
  <w:endnote w:id="470">
    <w:p w14:paraId="50D8E5ED" w14:textId="3663F8C3"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Sun Newspapers v. Westlake Bd. of </w:t>
      </w:r>
      <w:r w:rsidRPr="00C3377D">
        <w:rPr>
          <w:rFonts w:asciiTheme="minorHAnsi" w:hAnsiTheme="minorHAnsi" w:cstheme="minorHAnsi"/>
          <w:i/>
          <w:sz w:val="16"/>
          <w:szCs w:val="16"/>
        </w:rPr>
        <w:t>Edn.</w:t>
      </w:r>
      <w:r w:rsidRPr="00C3377D">
        <w:rPr>
          <w:rFonts w:asciiTheme="minorHAnsi" w:hAnsiTheme="minorHAnsi" w:cstheme="minorHAnsi"/>
          <w:sz w:val="16"/>
          <w:szCs w:val="16"/>
        </w:rPr>
        <w:t xml:space="preserve">, 76 Ohio App.3d 170, 173 (8th Dist. 1991); </w:t>
      </w:r>
      <w:hyperlink r:id="rId649" w:history="1">
        <w:r w:rsidRPr="00C3377D">
          <w:rPr>
            <w:rStyle w:val="Hyperlink"/>
            <w:rFonts w:asciiTheme="minorHAnsi" w:hAnsiTheme="minorHAnsi" w:cstheme="minorHAnsi"/>
            <w:i/>
            <w:sz w:val="16"/>
            <w:szCs w:val="16"/>
          </w:rPr>
          <w:t>Smith v. Ohio State Univ. Office of Compliance &amp; Integrity</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Ct. of Cl. No. 2021-00400PQ, 2022-Ohio-2657, ¶ 20-22 (ordering production of settlement agreement between university and victims</w:t>
      </w:r>
      <w:r w:rsidR="00477FA9">
        <w:rPr>
          <w:rFonts w:asciiTheme="minorHAnsi" w:hAnsiTheme="minorHAnsi" w:cstheme="minorHAnsi"/>
          <w:sz w:val="16"/>
          <w:szCs w:val="16"/>
        </w:rPr>
        <w:t xml:space="preserve">, </w:t>
      </w:r>
      <w:r w:rsidRPr="00C3377D">
        <w:rPr>
          <w:rFonts w:asciiTheme="minorHAnsi" w:hAnsiTheme="minorHAnsi" w:cstheme="minorHAnsi"/>
          <w:sz w:val="16"/>
          <w:szCs w:val="16"/>
        </w:rPr>
        <w:t>but not privileged communications relating to implementation of th</w:t>
      </w:r>
      <w:r w:rsidR="00477FA9">
        <w:rPr>
          <w:rFonts w:asciiTheme="minorHAnsi" w:hAnsiTheme="minorHAnsi" w:cstheme="minorHAnsi"/>
          <w:sz w:val="16"/>
          <w:szCs w:val="16"/>
        </w:rPr>
        <w:t>e</w:t>
      </w:r>
      <w:r w:rsidRPr="00C3377D">
        <w:rPr>
          <w:rFonts w:asciiTheme="minorHAnsi" w:hAnsiTheme="minorHAnsi" w:cstheme="minorHAnsi"/>
          <w:sz w:val="16"/>
          <w:szCs w:val="16"/>
        </w:rPr>
        <w:t xml:space="preserve"> agreement);</w:t>
      </w:r>
      <w:r w:rsidRPr="00C3377D">
        <w:rPr>
          <w:rFonts w:asciiTheme="minorHAnsi" w:hAnsiTheme="minorHAnsi" w:cstheme="minorHAnsi"/>
          <w:i/>
          <w:sz w:val="16"/>
          <w:szCs w:val="16"/>
        </w:rPr>
        <w:t xml:space="preserve"> see also</w:t>
      </w:r>
      <w:r w:rsidRPr="00C3377D">
        <w:rPr>
          <w:rFonts w:asciiTheme="minorHAnsi" w:hAnsiTheme="minorHAnsi" w:cstheme="minorHAnsi"/>
          <w:sz w:val="16"/>
          <w:szCs w:val="16"/>
        </w:rPr>
        <w:t xml:space="preserve"> Chapter Three:  F.5.a. “Attorney-client privilege.”</w:t>
      </w:r>
    </w:p>
  </w:endnote>
  <w:endnote w:id="471">
    <w:p w14:paraId="2BF98F63" w14:textId="094476E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50" w:history="1">
        <w:r w:rsidRPr="00C3377D">
          <w:rPr>
            <w:rStyle w:val="Hyperlink"/>
            <w:rFonts w:asciiTheme="minorHAnsi" w:hAnsiTheme="minorHAnsi" w:cstheme="minorHAnsi"/>
            <w:i/>
            <w:sz w:val="16"/>
            <w:szCs w:val="16"/>
          </w:rPr>
          <w:t>Keller v. Columbus</w:t>
        </w:r>
      </w:hyperlink>
      <w:r w:rsidRPr="00C3377D">
        <w:rPr>
          <w:rFonts w:asciiTheme="minorHAnsi" w:hAnsiTheme="minorHAnsi" w:cstheme="minorHAnsi"/>
          <w:sz w:val="16"/>
          <w:szCs w:val="16"/>
        </w:rPr>
        <w:t xml:space="preserve">, 100 Ohio St.3d 192, 2003-Ohio-5599, ¶ 20; </w:t>
      </w:r>
      <w:hyperlink r:id="rId651" w:history="1">
        <w:r w:rsidRPr="00C3377D">
          <w:rPr>
            <w:rStyle w:val="Hyperlink"/>
            <w:rFonts w:asciiTheme="minorHAnsi" w:hAnsiTheme="minorHAnsi" w:cstheme="minorHAnsi"/>
            <w:i/>
            <w:sz w:val="16"/>
            <w:szCs w:val="16"/>
          </w:rPr>
          <w:t xml:space="preserve">State ex rel. Findlay Publishing Co. v. Hancock </w:t>
        </w:r>
        <w:r w:rsidRPr="00C3377D">
          <w:rPr>
            <w:rStyle w:val="Hyperlink"/>
            <w:rFonts w:asciiTheme="minorHAnsi" w:hAnsiTheme="minorHAnsi" w:cstheme="minorHAnsi"/>
            <w:i/>
            <w:sz w:val="16"/>
            <w:szCs w:val="16"/>
          </w:rPr>
          <w:t>Cty. Bd. of Commrs.</w:t>
        </w:r>
      </w:hyperlink>
      <w:r w:rsidRPr="00C3377D">
        <w:rPr>
          <w:rFonts w:asciiTheme="minorHAnsi" w:hAnsiTheme="minorHAnsi" w:cstheme="minorHAnsi"/>
          <w:sz w:val="16"/>
          <w:szCs w:val="16"/>
        </w:rPr>
        <w:t xml:space="preserve">, 80 Ohio St.3d 134, 136-37 (1997); </w:t>
      </w:r>
      <w:hyperlink r:id="rId652" w:history="1">
        <w:r w:rsidRPr="00C3377D">
          <w:rPr>
            <w:rStyle w:val="Hyperlink"/>
            <w:rFonts w:asciiTheme="minorHAnsi" w:hAnsiTheme="minorHAnsi" w:cstheme="minorHAnsi"/>
            <w:i/>
            <w:sz w:val="16"/>
            <w:szCs w:val="16"/>
          </w:rPr>
          <w:t>Zamlen-Spotts v. Cleveland State Univ.</w:t>
        </w:r>
      </w:hyperlink>
      <w:r w:rsidRPr="00C3377D">
        <w:rPr>
          <w:rFonts w:asciiTheme="minorHAnsi" w:hAnsiTheme="minorHAnsi" w:cstheme="minorHAnsi"/>
          <w:i/>
          <w:sz w:val="16"/>
          <w:szCs w:val="16"/>
        </w:rPr>
        <w:t xml:space="preserve">, </w:t>
      </w:r>
      <w:r w:rsidRPr="00C3377D">
        <w:rPr>
          <w:rFonts w:asciiTheme="minorHAnsi" w:hAnsiTheme="minorHAnsi" w:cstheme="minorHAnsi"/>
          <w:sz w:val="16"/>
          <w:szCs w:val="16"/>
        </w:rPr>
        <w:t xml:space="preserve">Ct. of Cl. Case No. 2021-00087PQ, 2021-Ohio-2704, ¶ 17, </w:t>
      </w:r>
      <w:r w:rsidRPr="00C3377D">
        <w:rPr>
          <w:rFonts w:asciiTheme="minorHAnsi" w:hAnsiTheme="minorHAnsi" w:cstheme="minorHAnsi"/>
          <w:i/>
          <w:sz w:val="16"/>
          <w:szCs w:val="16"/>
        </w:rPr>
        <w:t xml:space="preserve">adopted by </w:t>
      </w:r>
      <w:r w:rsidRPr="00C3377D">
        <w:rPr>
          <w:rFonts w:asciiTheme="minorHAnsi" w:hAnsiTheme="minorHAnsi" w:cstheme="minorHAnsi"/>
          <w:sz w:val="16"/>
          <w:szCs w:val="16"/>
        </w:rPr>
        <w:t xml:space="preserve">Ct. of Cl. No. 2021-00087PQ, 2021-Ohio-3128 (contractual promise cannot alter public nature of records);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 xml:space="preserve">Chapter Three: </w:t>
      </w:r>
      <w:r w:rsidR="00E0738B">
        <w:rPr>
          <w:rFonts w:asciiTheme="minorHAnsi" w:hAnsiTheme="minorHAnsi" w:cstheme="minorHAnsi"/>
          <w:sz w:val="16"/>
          <w:szCs w:val="16"/>
        </w:rPr>
        <w:t>A</w:t>
      </w:r>
      <w:r w:rsidRPr="00C3377D">
        <w:rPr>
          <w:rFonts w:asciiTheme="minorHAnsi" w:hAnsiTheme="minorHAnsi" w:cstheme="minorHAnsi"/>
          <w:sz w:val="16"/>
          <w:szCs w:val="16"/>
        </w:rPr>
        <w:t>.1. “Contracts cannot create exemptions.”</w:t>
      </w:r>
    </w:p>
  </w:endnote>
  <w:endnote w:id="472">
    <w:p w14:paraId="77EC26DC" w14:textId="40757B54" w:rsidR="00DD79AB" w:rsidRPr="00C3377D" w:rsidRDefault="00DD79AB"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53" w:history="1">
        <w:r w:rsidRPr="00C3377D">
          <w:rPr>
            <w:rStyle w:val="Hyperlink"/>
            <w:rFonts w:asciiTheme="minorHAnsi" w:hAnsiTheme="minorHAnsi" w:cstheme="minorHAnsi"/>
            <w:sz w:val="16"/>
            <w:szCs w:val="16"/>
          </w:rPr>
          <w:t>Prof. Cond. Adv. Op. 2013-13.</w:t>
        </w:r>
      </w:hyperlink>
    </w:p>
  </w:endnote>
  <w:endnote w:id="473">
    <w:p w14:paraId="0F6734A3" w14:textId="05497A8C" w:rsidR="002F23BE" w:rsidRPr="00C3377D" w:rsidRDefault="002F23BE" w:rsidP="00C3377D">
      <w:pPr>
        <w:pStyle w:val="EndnoteText"/>
        <w:spacing w:line="160" w:lineRule="exact"/>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Toledo Blade Co. v. Univ. of Toledo Found., </w:t>
      </w:r>
      <w:r w:rsidRPr="00C3377D">
        <w:rPr>
          <w:rFonts w:asciiTheme="minorHAnsi" w:hAnsiTheme="minorHAnsi" w:cstheme="minorHAnsi"/>
          <w:sz w:val="16"/>
          <w:szCs w:val="16"/>
        </w:rPr>
        <w:t>65 Ohio St.3d 258, 264 (1992).</w:t>
      </w:r>
    </w:p>
  </w:endnote>
  <w:endnote w:id="474">
    <w:p w14:paraId="3DF5A18C" w14:textId="1414BBBC"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00A22CE1" w:rsidRPr="00EA7BC1">
        <w:rPr>
          <w:rFonts w:asciiTheme="minorHAnsi" w:hAnsiTheme="minorHAnsi" w:cstheme="minorHAnsi"/>
          <w:i/>
          <w:iCs/>
          <w:sz w:val="16"/>
          <w:szCs w:val="16"/>
        </w:rPr>
        <w:t>See</w:t>
      </w:r>
      <w:r w:rsidR="00EA7BC1" w:rsidRPr="00EA7BC1">
        <w:rPr>
          <w:rFonts w:asciiTheme="minorHAnsi" w:hAnsiTheme="minorHAnsi" w:cstheme="minorHAnsi"/>
          <w:i/>
          <w:iCs/>
          <w:sz w:val="16"/>
          <w:szCs w:val="16"/>
        </w:rPr>
        <w:t>,</w:t>
      </w:r>
      <w:r w:rsidR="00A22CE1" w:rsidRPr="00EA7BC1">
        <w:rPr>
          <w:rFonts w:asciiTheme="minorHAnsi" w:hAnsiTheme="minorHAnsi" w:cstheme="minorHAnsi"/>
          <w:i/>
          <w:iCs/>
          <w:sz w:val="16"/>
          <w:szCs w:val="16"/>
        </w:rPr>
        <w:t xml:space="preserve"> e.g</w:t>
      </w:r>
      <w:r w:rsidR="00A22CE1" w:rsidRPr="00C3377D">
        <w:rPr>
          <w:rFonts w:asciiTheme="minorHAnsi" w:hAnsiTheme="minorHAnsi" w:cstheme="minorHAnsi"/>
          <w:sz w:val="16"/>
          <w:szCs w:val="16"/>
        </w:rPr>
        <w:t>.</w:t>
      </w:r>
      <w:r w:rsidR="00EA7BC1">
        <w:rPr>
          <w:rFonts w:asciiTheme="minorHAnsi" w:hAnsiTheme="minorHAnsi" w:cstheme="minorHAnsi"/>
          <w:sz w:val="16"/>
          <w:szCs w:val="16"/>
        </w:rPr>
        <w:t>,</w:t>
      </w:r>
      <w:r w:rsidR="00A22CE1" w:rsidRPr="00C3377D">
        <w:rPr>
          <w:rFonts w:asciiTheme="minorHAnsi" w:hAnsiTheme="minorHAnsi" w:cstheme="minorHAnsi"/>
          <w:sz w:val="16"/>
          <w:szCs w:val="16"/>
        </w:rPr>
        <w:t xml:space="preserve"> </w:t>
      </w:r>
      <w:hyperlink r:id="rId654"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87 Ohio St.3d 535, 543 (2000) (a public entity can have its own trade secrets)</w:t>
      </w:r>
      <w:r w:rsidR="00EA7BC1">
        <w:rPr>
          <w:rFonts w:asciiTheme="minorHAnsi" w:hAnsiTheme="minorHAnsi" w:cstheme="minorHAnsi"/>
          <w:sz w:val="16"/>
          <w:szCs w:val="16"/>
        </w:rPr>
        <w:t>;</w:t>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Gannett Satellite Info. Network v. </w:t>
      </w:r>
      <w:r w:rsidRPr="00C3377D">
        <w:rPr>
          <w:rFonts w:asciiTheme="minorHAnsi" w:hAnsiTheme="minorHAnsi" w:cstheme="minorHAnsi"/>
          <w:i/>
          <w:sz w:val="16"/>
          <w:szCs w:val="16"/>
        </w:rPr>
        <w:t>Shirey</w:t>
      </w:r>
      <w:r w:rsidRPr="00C3377D">
        <w:rPr>
          <w:rFonts w:asciiTheme="minorHAnsi" w:hAnsiTheme="minorHAnsi" w:cstheme="minorHAnsi"/>
          <w:sz w:val="16"/>
          <w:szCs w:val="16"/>
        </w:rPr>
        <w:t xml:space="preserve">, 76 Ohio St.3d 1224, 1225 (1996) (resumes are not trade secrets of a private consultant); </w:t>
      </w:r>
      <w:hyperlink r:id="rId655" w:history="1">
        <w:r w:rsidRPr="00C3377D">
          <w:rPr>
            <w:rStyle w:val="Hyperlink"/>
            <w:rFonts w:asciiTheme="minorHAnsi" w:hAnsiTheme="minorHAnsi" w:cstheme="minorHAnsi"/>
            <w:i/>
            <w:sz w:val="16"/>
            <w:szCs w:val="16"/>
          </w:rPr>
          <w:t>State ex rel. Rea v. Ohio Dept. of Edn.</w:t>
        </w:r>
      </w:hyperlink>
      <w:r w:rsidRPr="00C3377D">
        <w:rPr>
          <w:rFonts w:asciiTheme="minorHAnsi" w:hAnsiTheme="minorHAnsi" w:cstheme="minorHAnsi"/>
          <w:sz w:val="16"/>
          <w:szCs w:val="16"/>
        </w:rPr>
        <w:t xml:space="preserve">, 81 Ohio St.3d 527, 533 (1998) (proficiency tests are public record after they have been administered); </w:t>
      </w:r>
      <w:hyperlink r:id="rId656" w:history="1">
        <w:r w:rsidRPr="00C3377D">
          <w:rPr>
            <w:rStyle w:val="Hyperlink"/>
            <w:rFonts w:asciiTheme="minorHAnsi" w:hAnsiTheme="minorHAnsi" w:cstheme="minorHAnsi"/>
            <w:i/>
            <w:sz w:val="16"/>
            <w:szCs w:val="16"/>
          </w:rPr>
          <w:t>State ex rel. Perrea v. Cincinnati Pub. Schools</w:t>
        </w:r>
      </w:hyperlink>
      <w:r w:rsidRPr="00C3377D">
        <w:rPr>
          <w:rFonts w:asciiTheme="minorHAnsi" w:hAnsiTheme="minorHAnsi" w:cstheme="minorHAnsi"/>
          <w:i/>
          <w:sz w:val="16"/>
          <w:szCs w:val="16"/>
        </w:rPr>
        <w:t>,</w:t>
      </w:r>
      <w:r w:rsidRPr="00C3377D">
        <w:rPr>
          <w:rFonts w:asciiTheme="minorHAnsi" w:hAnsiTheme="minorHAnsi" w:cstheme="minorHAnsi"/>
          <w:sz w:val="16"/>
          <w:szCs w:val="16"/>
        </w:rPr>
        <w:t xml:space="preserve"> 123 Ohio St.3d 410, 2009-Ohio-4762, ¶ 32-33 (public school established that certain semester examination record</w:t>
      </w:r>
      <w:r w:rsidR="00EA7BC1">
        <w:rPr>
          <w:rFonts w:asciiTheme="minorHAnsi" w:hAnsiTheme="minorHAnsi" w:cstheme="minorHAnsi"/>
          <w:sz w:val="16"/>
          <w:szCs w:val="16"/>
        </w:rPr>
        <w:t>s</w:t>
      </w:r>
      <w:r w:rsidR="00A22CE1" w:rsidRPr="00C3377D">
        <w:rPr>
          <w:rFonts w:asciiTheme="minorHAnsi" w:hAnsiTheme="minorHAnsi" w:cstheme="minorHAnsi"/>
          <w:sz w:val="16"/>
          <w:szCs w:val="16"/>
        </w:rPr>
        <w:t xml:space="preserve"> exempt as trade secrets</w:t>
      </w:r>
      <w:r w:rsidRPr="00C3377D">
        <w:rPr>
          <w:rFonts w:asciiTheme="minorHAnsi" w:hAnsiTheme="minorHAnsi" w:cstheme="minorHAnsi"/>
          <w:sz w:val="16"/>
          <w:szCs w:val="16"/>
        </w:rPr>
        <w:t xml:space="preserve">); </w:t>
      </w:r>
      <w:hyperlink r:id="rId657" w:history="1">
        <w:r w:rsidRPr="00C3377D">
          <w:rPr>
            <w:rStyle w:val="Hyperlink"/>
            <w:rFonts w:asciiTheme="minorHAnsi" w:hAnsiTheme="minorHAnsi" w:cstheme="minorHAnsi"/>
            <w:i/>
            <w:sz w:val="16"/>
            <w:szCs w:val="16"/>
          </w:rPr>
          <w:t>State ex rel. Am. Ctr. for Economic Equality v. Jackson</w:t>
        </w:r>
      </w:hyperlink>
      <w:r w:rsidRPr="00C3377D">
        <w:rPr>
          <w:rFonts w:asciiTheme="minorHAnsi" w:hAnsiTheme="minorHAnsi" w:cstheme="minorHAnsi"/>
          <w:sz w:val="16"/>
          <w:szCs w:val="16"/>
        </w:rPr>
        <w:t xml:space="preserve">, 8th Dist. Cuyahoga No. 102298, 2015-Ohio-4981, ¶ 41-48 </w:t>
      </w:r>
      <w:r w:rsidR="00A22CE1" w:rsidRPr="00C3377D">
        <w:rPr>
          <w:rFonts w:asciiTheme="minorHAnsi" w:hAnsiTheme="minorHAnsi" w:cstheme="minorHAnsi"/>
          <w:sz w:val="16"/>
          <w:szCs w:val="16"/>
        </w:rPr>
        <w:t>(</w:t>
      </w:r>
      <w:r w:rsidRPr="00C3377D">
        <w:rPr>
          <w:rFonts w:asciiTheme="minorHAnsi" w:hAnsiTheme="minorHAnsi" w:cstheme="minorHAnsi"/>
          <w:sz w:val="16"/>
          <w:szCs w:val="16"/>
        </w:rPr>
        <w:t>document containing list of names and email addresses was exempt as trade secret</w:t>
      </w:r>
      <w:r w:rsidR="00A22CE1" w:rsidRPr="00C3377D">
        <w:rPr>
          <w:rFonts w:asciiTheme="minorHAnsi" w:hAnsiTheme="minorHAnsi" w:cstheme="minorHAnsi"/>
          <w:sz w:val="16"/>
          <w:szCs w:val="16"/>
        </w:rPr>
        <w:t>s</w:t>
      </w:r>
      <w:r w:rsidRPr="00C3377D">
        <w:rPr>
          <w:rFonts w:asciiTheme="minorHAnsi" w:hAnsiTheme="minorHAnsi" w:cstheme="minorHAnsi"/>
          <w:sz w:val="16"/>
          <w:szCs w:val="16"/>
        </w:rPr>
        <w:t>);</w:t>
      </w:r>
      <w:r w:rsidRPr="00C3377D">
        <w:rPr>
          <w:rFonts w:asciiTheme="minorHAnsi" w:hAnsiTheme="minorHAnsi" w:cstheme="minorHAnsi"/>
          <w:i/>
          <w:sz w:val="16"/>
          <w:szCs w:val="16"/>
        </w:rPr>
        <w:t xml:space="preserve"> </w:t>
      </w:r>
      <w:hyperlink r:id="rId658" w:history="1">
        <w:r w:rsidRPr="00C3377D">
          <w:rPr>
            <w:rStyle w:val="Hyperlink"/>
            <w:rFonts w:asciiTheme="minorHAnsi" w:hAnsiTheme="minorHAnsi" w:cstheme="minorHAnsi"/>
            <w:i/>
            <w:sz w:val="16"/>
            <w:szCs w:val="16"/>
          </w:rPr>
          <w:t>Salemi v. Cleveland Metroparks</w:t>
        </w:r>
      </w:hyperlink>
      <w:r w:rsidRPr="00C3377D">
        <w:rPr>
          <w:rFonts w:asciiTheme="minorHAnsi" w:hAnsiTheme="minorHAnsi" w:cstheme="minorHAnsi"/>
          <w:sz w:val="16"/>
          <w:szCs w:val="16"/>
        </w:rPr>
        <w:t>, 8th Dist. Cuyahoga No. 100761, 2014-Ohio-3914, ¶ 12, 14-23 (customer lists and marketing plan of public golf course</w:t>
      </w:r>
      <w:r w:rsidR="00A22CE1" w:rsidRPr="00C3377D">
        <w:rPr>
          <w:rFonts w:asciiTheme="minorHAnsi" w:hAnsiTheme="minorHAnsi" w:cstheme="minorHAnsi"/>
          <w:sz w:val="16"/>
          <w:szCs w:val="16"/>
        </w:rPr>
        <w:t xml:space="preserve"> were</w:t>
      </w:r>
      <w:r w:rsidRPr="00C3377D">
        <w:rPr>
          <w:rFonts w:asciiTheme="minorHAnsi" w:hAnsiTheme="minorHAnsi" w:cstheme="minorHAnsi"/>
          <w:sz w:val="16"/>
          <w:szCs w:val="16"/>
        </w:rPr>
        <w:t xml:space="preserve"> exempt from disclosure </w:t>
      </w:r>
      <w:r w:rsidR="00A22CE1" w:rsidRPr="00C3377D">
        <w:rPr>
          <w:rFonts w:asciiTheme="minorHAnsi" w:hAnsiTheme="minorHAnsi" w:cstheme="minorHAnsi"/>
          <w:sz w:val="16"/>
          <w:szCs w:val="16"/>
        </w:rPr>
        <w:t>as</w:t>
      </w:r>
      <w:r w:rsidRPr="00C3377D">
        <w:rPr>
          <w:rFonts w:asciiTheme="minorHAnsi" w:hAnsiTheme="minorHAnsi" w:cstheme="minorHAnsi"/>
          <w:sz w:val="16"/>
          <w:szCs w:val="16"/>
        </w:rPr>
        <w:t xml:space="preserve"> trade secret</w:t>
      </w:r>
      <w:r w:rsidR="00A22CE1" w:rsidRPr="00C3377D">
        <w:rPr>
          <w:rFonts w:asciiTheme="minorHAnsi" w:hAnsiTheme="minorHAnsi" w:cstheme="minorHAnsi"/>
          <w:sz w:val="16"/>
          <w:szCs w:val="16"/>
        </w:rPr>
        <w:t>s</w:t>
      </w:r>
      <w:r w:rsidRPr="00C3377D">
        <w:rPr>
          <w:rFonts w:asciiTheme="minorHAnsi" w:hAnsiTheme="minorHAnsi" w:cstheme="minorHAnsi"/>
          <w:sz w:val="16"/>
          <w:szCs w:val="16"/>
        </w:rPr>
        <w:t>).</w:t>
      </w:r>
    </w:p>
  </w:endnote>
  <w:endnote w:id="475">
    <w:p w14:paraId="1FFE9E16" w14:textId="238E970A"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59" w:history="1">
        <w:r w:rsidRPr="00C3377D">
          <w:rPr>
            <w:rStyle w:val="Hyperlink"/>
            <w:rFonts w:asciiTheme="minorHAnsi" w:hAnsiTheme="minorHAnsi" w:cstheme="minorHAnsi"/>
            <w:sz w:val="16"/>
            <w:szCs w:val="16"/>
          </w:rPr>
          <w:t>R.C. 1333.61(D)</w:t>
        </w:r>
      </w:hyperlink>
      <w:r w:rsidRPr="00C3377D">
        <w:rPr>
          <w:rFonts w:asciiTheme="minorHAnsi" w:hAnsiTheme="minorHAnsi" w:cstheme="minorHAnsi"/>
          <w:sz w:val="16"/>
          <w:szCs w:val="16"/>
        </w:rPr>
        <w:t xml:space="preserve"> (adopting the Uniform Trade Secrets Act);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w:t>
      </w:r>
      <w:hyperlink r:id="rId660" w:history="1">
        <w:r w:rsidRPr="00C3377D">
          <w:rPr>
            <w:rStyle w:val="Hyperlink"/>
            <w:rFonts w:asciiTheme="minorHAnsi" w:hAnsiTheme="minorHAnsi" w:cstheme="minorHAnsi"/>
            <w:sz w:val="16"/>
            <w:szCs w:val="16"/>
          </w:rPr>
          <w:t>R.C. 149.43(A)(1)(m)</w:t>
        </w:r>
      </w:hyperlink>
      <w:r w:rsidRPr="00C3377D">
        <w:rPr>
          <w:rFonts w:asciiTheme="minorHAnsi" w:hAnsiTheme="minorHAnsi" w:cstheme="minorHAnsi"/>
          <w:sz w:val="16"/>
          <w:szCs w:val="16"/>
        </w:rPr>
        <w:t xml:space="preserve">; </w:t>
      </w:r>
      <w:hyperlink r:id="rId661" w:history="1">
        <w:r w:rsidRPr="00C3377D">
          <w:rPr>
            <w:rStyle w:val="Hyperlink"/>
            <w:rFonts w:asciiTheme="minorHAnsi" w:hAnsiTheme="minorHAnsi" w:cstheme="minorHAnsi"/>
            <w:sz w:val="16"/>
            <w:szCs w:val="16"/>
          </w:rPr>
          <w:t>R.C. 149.43(A)(5).</w:t>
        </w:r>
      </w:hyperlink>
    </w:p>
  </w:endnote>
  <w:endnote w:id="476">
    <w:p w14:paraId="060372A9"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2" w:history="1">
        <w:r w:rsidRPr="00C3377D">
          <w:rPr>
            <w:rStyle w:val="Hyperlink"/>
            <w:rFonts w:asciiTheme="minorHAnsi" w:hAnsiTheme="minorHAnsi" w:cstheme="minorHAnsi"/>
            <w:i/>
            <w:sz w:val="16"/>
            <w:szCs w:val="16"/>
          </w:rPr>
          <w:t>Fred Siegel Co., L.P.A. v. Arter &amp; Hadden</w:t>
        </w:r>
      </w:hyperlink>
      <w:r w:rsidRPr="00C3377D">
        <w:rPr>
          <w:rFonts w:asciiTheme="minorHAnsi" w:hAnsiTheme="minorHAnsi" w:cstheme="minorHAnsi"/>
          <w:sz w:val="16"/>
          <w:szCs w:val="16"/>
        </w:rPr>
        <w:t>, 85 Ohio St.3d 171, 181 (1999) (finding that time, effort, or money expended in developing law firm’s client list, as well as amount of time and expense it would take for others to acquire and duplicate it, may be among factfinder’s considerations in determining if that information qualifies as a trade secret).</w:t>
      </w:r>
    </w:p>
  </w:endnote>
  <w:endnote w:id="477">
    <w:p w14:paraId="4D526781" w14:textId="3012768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3"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89 Ohio St.3d 396, 400 (2000).</w:t>
      </w:r>
    </w:p>
  </w:endnote>
  <w:endnote w:id="478">
    <w:p w14:paraId="6D599CD9" w14:textId="4E1B87F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4"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xml:space="preserve">, 89 Ohio St.3d 396, 399-400 (2000); </w:t>
      </w:r>
      <w:hyperlink r:id="rId665" w:history="1">
        <w:r w:rsidRPr="00C3377D">
          <w:rPr>
            <w:rStyle w:val="Hyperlink"/>
            <w:rFonts w:asciiTheme="minorHAnsi" w:hAnsiTheme="minorHAnsi" w:cstheme="minorHAnsi"/>
            <w:i/>
            <w:sz w:val="16"/>
            <w:szCs w:val="16"/>
          </w:rPr>
          <w:t xml:space="preserve">State ex rel. </w:t>
        </w:r>
        <w:r w:rsidRPr="00C3377D">
          <w:rPr>
            <w:rStyle w:val="Hyperlink"/>
            <w:rFonts w:asciiTheme="minorHAnsi" w:hAnsiTheme="minorHAnsi" w:cstheme="minorHAnsi"/>
            <w:i/>
            <w:sz w:val="16"/>
            <w:szCs w:val="16"/>
          </w:rPr>
          <w:t>Luken v. Corp. for Findlay Market</w:t>
        </w:r>
      </w:hyperlink>
      <w:r w:rsidRPr="00C3377D">
        <w:rPr>
          <w:rFonts w:asciiTheme="minorHAnsi" w:hAnsiTheme="minorHAnsi" w:cstheme="minorHAnsi"/>
          <w:sz w:val="16"/>
          <w:szCs w:val="16"/>
        </w:rPr>
        <w:t xml:space="preserve">, 135 Ohio St.3d 416, 2013-Ohio-1532, ¶ 19-25 (information met the two requirements of </w:t>
      </w:r>
      <w:r w:rsidRPr="00C3377D">
        <w:rPr>
          <w:rFonts w:asciiTheme="minorHAnsi" w:hAnsiTheme="minorHAnsi" w:cstheme="minorHAnsi"/>
          <w:i/>
          <w:sz w:val="16"/>
          <w:szCs w:val="16"/>
        </w:rPr>
        <w:t>Besser</w:t>
      </w:r>
      <w:r w:rsidRPr="00C3377D">
        <w:rPr>
          <w:rFonts w:asciiTheme="minorHAnsi" w:hAnsiTheme="minorHAnsi" w:cstheme="minorHAnsi"/>
          <w:sz w:val="16"/>
          <w:szCs w:val="16"/>
        </w:rPr>
        <w:t xml:space="preserve"> because sublease rental terms had independent economic value and corporation made reasonable efforts to maintain secrecy of information); </w:t>
      </w:r>
      <w:hyperlink r:id="rId666" w:history="1">
        <w:r w:rsidRPr="00C3377D">
          <w:rPr>
            <w:rStyle w:val="Hyperlink"/>
            <w:rFonts w:asciiTheme="minorHAnsi" w:hAnsiTheme="minorHAnsi" w:cstheme="minorHAnsi"/>
            <w:i/>
            <w:sz w:val="16"/>
            <w:szCs w:val="16"/>
          </w:rPr>
          <w:t>Salemi v. Cleveland Metroparks</w:t>
        </w:r>
      </w:hyperlink>
      <w:r w:rsidRPr="00C3377D">
        <w:rPr>
          <w:rFonts w:asciiTheme="minorHAnsi" w:hAnsiTheme="minorHAnsi" w:cstheme="minorHAnsi"/>
          <w:sz w:val="16"/>
          <w:szCs w:val="16"/>
        </w:rPr>
        <w:t xml:space="preserve">, 145 Ohio St.3d 408, 2016-Ohio-1192, ¶ 27-30 (applying the </w:t>
      </w:r>
      <w:r w:rsidRPr="00C3377D">
        <w:rPr>
          <w:rFonts w:asciiTheme="minorHAnsi" w:hAnsiTheme="minorHAnsi" w:cstheme="minorHAnsi"/>
          <w:i/>
          <w:sz w:val="16"/>
          <w:szCs w:val="16"/>
        </w:rPr>
        <w:t>Besser</w:t>
      </w:r>
      <w:r w:rsidRPr="00C3377D">
        <w:rPr>
          <w:rFonts w:asciiTheme="minorHAnsi" w:hAnsiTheme="minorHAnsi" w:cstheme="minorHAnsi"/>
          <w:sz w:val="16"/>
          <w:szCs w:val="16"/>
        </w:rPr>
        <w:t xml:space="preserve"> factors, customer lists and marketing plan of Metroparks’ public golf course were trade secrets because:  (1) the information was not available to the public or contractual partners, (2) the golf course took measures to protect the list from disclosure and limited employee access, (3) the customer list was of economic value to the golf course, and (4) the golf course expended money and effort in collecting and maintaining the information)</w:t>
      </w:r>
      <w:r w:rsidR="00A22CE1" w:rsidRPr="00C3377D">
        <w:rPr>
          <w:rFonts w:asciiTheme="minorHAnsi" w:hAnsiTheme="minorHAnsi" w:cstheme="minorHAnsi"/>
          <w:sz w:val="16"/>
          <w:szCs w:val="16"/>
        </w:rPr>
        <w:t>.</w:t>
      </w:r>
    </w:p>
  </w:endnote>
  <w:endnote w:id="479">
    <w:p w14:paraId="21E31AA2" w14:textId="7777777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7" w:history="1">
        <w:r w:rsidRPr="00C3377D">
          <w:rPr>
            <w:rStyle w:val="Hyperlink"/>
            <w:rFonts w:asciiTheme="minorHAnsi" w:hAnsiTheme="minorHAnsi" w:cstheme="minorHAnsi"/>
            <w:i/>
            <w:sz w:val="16"/>
            <w:szCs w:val="16"/>
          </w:rPr>
          <w:t>State ex rel. Besser v. Ohio State Univ.</w:t>
        </w:r>
      </w:hyperlink>
      <w:r w:rsidRPr="00C3377D">
        <w:rPr>
          <w:rFonts w:asciiTheme="minorHAnsi" w:hAnsiTheme="minorHAnsi" w:cstheme="minorHAnsi"/>
          <w:sz w:val="16"/>
          <w:szCs w:val="16"/>
        </w:rPr>
        <w:t>, 89 Ohio St.3d 396, 399-400 (2000).</w:t>
      </w:r>
    </w:p>
  </w:endnote>
  <w:endnote w:id="480">
    <w:p w14:paraId="7F10474A" w14:textId="18B2C1FE"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 xml:space="preserve">State ex rel. </w:t>
      </w:r>
      <w:r w:rsidRPr="00C3377D">
        <w:rPr>
          <w:rFonts w:asciiTheme="minorHAnsi" w:hAnsiTheme="minorHAnsi" w:cstheme="minorHAnsi"/>
          <w:i/>
          <w:sz w:val="16"/>
          <w:szCs w:val="16"/>
        </w:rPr>
        <w:t>Allright Parking of Cleveland, Inc. v. Cleveland</w:t>
      </w:r>
      <w:r w:rsidRPr="00C3377D">
        <w:rPr>
          <w:rFonts w:asciiTheme="minorHAnsi" w:hAnsiTheme="minorHAnsi" w:cstheme="minorHAnsi"/>
          <w:sz w:val="16"/>
          <w:szCs w:val="16"/>
        </w:rPr>
        <w:t>, 63 Ohio St.3d 772, 776 (1992) (</w:t>
      </w:r>
      <w:r w:rsidRPr="00C3377D">
        <w:rPr>
          <w:rFonts w:asciiTheme="minorHAnsi" w:hAnsiTheme="minorHAnsi" w:cstheme="minorHAnsi"/>
          <w:i/>
          <w:sz w:val="16"/>
          <w:szCs w:val="16"/>
        </w:rPr>
        <w:t>in camera</w:t>
      </w:r>
      <w:r w:rsidRPr="00C3377D">
        <w:rPr>
          <w:rFonts w:asciiTheme="minorHAnsi" w:hAnsiTheme="minorHAnsi" w:cstheme="minorHAnsi"/>
          <w:sz w:val="16"/>
          <w:szCs w:val="16"/>
        </w:rPr>
        <w:t xml:space="preserve"> inspection may be necessary to determine whether disputed records contain trade secrets)</w:t>
      </w:r>
      <w:r w:rsidR="00A22CE1" w:rsidRPr="00C3377D">
        <w:rPr>
          <w:rFonts w:asciiTheme="minorHAnsi" w:hAnsiTheme="minorHAnsi" w:cstheme="minorHAnsi"/>
          <w:sz w:val="16"/>
          <w:szCs w:val="16"/>
        </w:rPr>
        <w:t>.</w:t>
      </w:r>
    </w:p>
  </w:endnote>
  <w:endnote w:id="481">
    <w:p w14:paraId="7A358C25" w14:textId="58CDC607"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68" w:history="1">
        <w:r w:rsidRPr="00C3377D">
          <w:rPr>
            <w:rStyle w:val="Hyperlink"/>
            <w:rFonts w:asciiTheme="minorHAnsi" w:hAnsiTheme="minorHAnsi" w:cstheme="minorHAnsi"/>
            <w:i/>
            <w:sz w:val="16"/>
            <w:szCs w:val="16"/>
          </w:rPr>
          <w:t>State ex rel. Plain Dealer v. Ohio Dept. of Ins.</w:t>
        </w:r>
      </w:hyperlink>
      <w:r w:rsidRPr="00C3377D">
        <w:rPr>
          <w:rFonts w:asciiTheme="minorHAnsi" w:hAnsiTheme="minorHAnsi" w:cstheme="minorHAnsi"/>
          <w:sz w:val="16"/>
          <w:szCs w:val="16"/>
        </w:rPr>
        <w:t xml:space="preserve">, 80 Ohio St.3d 513, 527 (1997); </w:t>
      </w:r>
      <w:r w:rsidRPr="00C3377D">
        <w:rPr>
          <w:rFonts w:asciiTheme="minorHAnsi" w:hAnsiTheme="minorHAnsi" w:cstheme="minorHAnsi"/>
          <w:i/>
          <w:sz w:val="16"/>
          <w:szCs w:val="16"/>
        </w:rPr>
        <w:t xml:space="preserve">see also </w:t>
      </w:r>
      <w:r w:rsidRPr="00C3377D">
        <w:rPr>
          <w:rFonts w:asciiTheme="minorHAnsi" w:hAnsiTheme="minorHAnsi" w:cstheme="minorHAnsi"/>
          <w:sz w:val="16"/>
          <w:szCs w:val="16"/>
        </w:rPr>
        <w:t xml:space="preserve">Chapter Three: </w:t>
      </w:r>
      <w:r w:rsidR="00E0738B">
        <w:rPr>
          <w:rFonts w:asciiTheme="minorHAnsi" w:hAnsiTheme="minorHAnsi" w:cstheme="minorHAnsi"/>
          <w:sz w:val="16"/>
          <w:szCs w:val="16"/>
        </w:rPr>
        <w:t>A</w:t>
      </w:r>
      <w:r w:rsidRPr="00C3377D">
        <w:rPr>
          <w:rFonts w:asciiTheme="minorHAnsi" w:hAnsiTheme="minorHAnsi" w:cstheme="minorHAnsi"/>
          <w:sz w:val="16"/>
          <w:szCs w:val="16"/>
        </w:rPr>
        <w:t>.1. “Contracts cannot create exemptions.”</w:t>
      </w:r>
    </w:p>
  </w:endnote>
  <w:endnote w:id="482">
    <w:p w14:paraId="5CC35660" w14:textId="0C118AC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r w:rsidRPr="00C3377D">
        <w:rPr>
          <w:rFonts w:asciiTheme="minorHAnsi" w:hAnsiTheme="minorHAnsi" w:cstheme="minorHAnsi"/>
          <w:i/>
          <w:sz w:val="16"/>
          <w:szCs w:val="16"/>
        </w:rPr>
        <w:t>See, e.g.</w:t>
      </w:r>
      <w:r w:rsidRPr="00C3377D">
        <w:rPr>
          <w:rFonts w:asciiTheme="minorHAnsi" w:hAnsiTheme="minorHAnsi" w:cstheme="minorHAnsi"/>
          <w:sz w:val="16"/>
          <w:szCs w:val="16"/>
        </w:rPr>
        <w:t xml:space="preserve">, </w:t>
      </w:r>
      <w:hyperlink r:id="rId669" w:history="1">
        <w:r w:rsidR="005F71AD" w:rsidRPr="00A03E56">
          <w:rPr>
            <w:rStyle w:val="Hyperlink"/>
            <w:rFonts w:asciiTheme="minorHAnsi" w:hAnsiTheme="minorHAnsi" w:cstheme="minorHAnsi"/>
            <w:i/>
            <w:sz w:val="16"/>
            <w:szCs w:val="16"/>
          </w:rPr>
          <w:t xml:space="preserve">State ex rel. Gannett Satellite Info. Network v. </w:t>
        </w:r>
        <w:r w:rsidR="005F71AD" w:rsidRPr="00A03E56">
          <w:rPr>
            <w:rStyle w:val="Hyperlink"/>
            <w:rFonts w:asciiTheme="minorHAnsi" w:hAnsiTheme="minorHAnsi" w:cstheme="minorHAnsi"/>
            <w:i/>
            <w:sz w:val="16"/>
            <w:szCs w:val="16"/>
          </w:rPr>
          <w:t>Shirey</w:t>
        </w:r>
      </w:hyperlink>
      <w:r w:rsidR="005F71AD" w:rsidRPr="00A03E56">
        <w:rPr>
          <w:rFonts w:asciiTheme="minorHAnsi" w:hAnsiTheme="minorHAnsi" w:cstheme="minorHAnsi"/>
          <w:sz w:val="16"/>
          <w:szCs w:val="16"/>
        </w:rPr>
        <w:t xml:space="preserve">, </w:t>
      </w:r>
      <w:r w:rsidRPr="00C3377D">
        <w:rPr>
          <w:rFonts w:asciiTheme="minorHAnsi" w:hAnsiTheme="minorHAnsi" w:cstheme="minorHAnsi"/>
          <w:sz w:val="16"/>
          <w:szCs w:val="16"/>
        </w:rPr>
        <w:t xml:space="preserve">78 Ohio St.3d 400 (1997) (contract provision between city and outside search firm making resumes and application materials confidential is void as a matter of law); </w:t>
      </w:r>
      <w:r w:rsidRPr="00C3377D">
        <w:rPr>
          <w:rFonts w:asciiTheme="minorHAnsi" w:hAnsiTheme="minorHAnsi" w:cstheme="minorHAnsi"/>
          <w:i/>
          <w:sz w:val="16"/>
          <w:szCs w:val="16"/>
        </w:rPr>
        <w:t>see also</w:t>
      </w:r>
      <w:r w:rsidRPr="00C3377D">
        <w:rPr>
          <w:rFonts w:asciiTheme="minorHAnsi" w:hAnsiTheme="minorHAnsi" w:cstheme="minorHAnsi"/>
          <w:sz w:val="16"/>
          <w:szCs w:val="16"/>
        </w:rPr>
        <w:t xml:space="preserve"> Chapter Three: </w:t>
      </w:r>
      <w:r w:rsidR="00E0738B">
        <w:rPr>
          <w:rFonts w:asciiTheme="minorHAnsi" w:hAnsiTheme="minorHAnsi" w:cstheme="minorHAnsi"/>
          <w:sz w:val="16"/>
          <w:szCs w:val="16"/>
        </w:rPr>
        <w:t>A</w:t>
      </w:r>
      <w:r w:rsidRPr="00C3377D">
        <w:rPr>
          <w:rFonts w:asciiTheme="minorHAnsi" w:hAnsiTheme="minorHAnsi" w:cstheme="minorHAnsi"/>
          <w:sz w:val="16"/>
          <w:szCs w:val="16"/>
        </w:rPr>
        <w:t xml:space="preserve">.1. “Contracts cannot create exemptions.” </w:t>
      </w:r>
    </w:p>
  </w:endnote>
  <w:endnote w:id="483">
    <w:p w14:paraId="2260D150" w14:textId="6C37AD44"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102(a).</w:t>
      </w:r>
    </w:p>
  </w:endnote>
  <w:endnote w:id="484">
    <w:p w14:paraId="774AB404" w14:textId="08CCFF60"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102(a)(1)-(8).</w:t>
      </w:r>
    </w:p>
  </w:endnote>
  <w:endnote w:id="485">
    <w:p w14:paraId="07E8E203" w14:textId="7AD42A38"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102(a).</w:t>
      </w:r>
    </w:p>
  </w:endnote>
  <w:endnote w:id="486">
    <w:p w14:paraId="23E7DBDE" w14:textId="54DEE93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17 U.S.C. § 107; </w:t>
      </w:r>
      <w:r w:rsidRPr="00C3377D">
        <w:rPr>
          <w:rFonts w:asciiTheme="minorHAnsi" w:hAnsiTheme="minorHAnsi" w:cstheme="minorHAnsi"/>
          <w:i/>
          <w:sz w:val="16"/>
          <w:szCs w:val="16"/>
        </w:rPr>
        <w:t>Harper &amp; Row Publishers, Inc. v. Nation Enterprises</w:t>
      </w:r>
      <w:r w:rsidRPr="00C3377D">
        <w:rPr>
          <w:rFonts w:asciiTheme="minorHAnsi" w:hAnsiTheme="minorHAnsi" w:cstheme="minorHAnsi"/>
          <w:sz w:val="16"/>
          <w:szCs w:val="16"/>
        </w:rPr>
        <w:t xml:space="preserve">, 471 U.S. 539, 560-61 (1985) (in determining whether the intended use of the protected work is “fair use,” a court must consider these facts, which are not exclusive: (1) the purpose and character of the use, including whether the intended use is commercial or for non-profit educational purposes; (2) the nature of the protected work; (3) the amount and substantiality of the portion used in relation to the copyrighted work as a whole; and (4) the most important factor—the effect of the intended use upon the market for or value of the protected work); </w:t>
      </w:r>
      <w:hyperlink r:id="rId670" w:history="1">
        <w:r w:rsidRPr="00C3377D">
          <w:rPr>
            <w:rStyle w:val="Hyperlink"/>
            <w:rFonts w:asciiTheme="minorHAnsi" w:hAnsiTheme="minorHAnsi" w:cstheme="minorHAnsi"/>
            <w:i/>
            <w:sz w:val="16"/>
            <w:szCs w:val="16"/>
          </w:rPr>
          <w:t>State ex rel. Gambill v. Opperman</w:t>
        </w:r>
      </w:hyperlink>
      <w:r w:rsidRPr="00C3377D">
        <w:rPr>
          <w:rFonts w:asciiTheme="minorHAnsi" w:hAnsiTheme="minorHAnsi" w:cstheme="minorHAnsi"/>
          <w:sz w:val="16"/>
          <w:szCs w:val="16"/>
        </w:rPr>
        <w:t>, 135 Ohio St.3d 298, 2013-Ohio-761, ¶ 25 (because engineer’s office cannot separate requested raw data from copyrighted and exempt software, nonexempt records are not subject to disclosure to the extent they are inseparable from copyrighted software).</w:t>
      </w:r>
    </w:p>
  </w:endnote>
  <w:endnote w:id="487">
    <w:p w14:paraId="5F23CBA5" w14:textId="7C8C23DB"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1" w:history="1">
        <w:r w:rsidRPr="00C3377D">
          <w:rPr>
            <w:rStyle w:val="Hyperlink"/>
            <w:rFonts w:asciiTheme="minorHAnsi" w:hAnsiTheme="minorHAnsi" w:cstheme="minorHAnsi"/>
            <w:sz w:val="16"/>
            <w:szCs w:val="16"/>
          </w:rPr>
          <w:t>R.C. 5120.21 (A)-(C).</w:t>
        </w:r>
      </w:hyperlink>
    </w:p>
  </w:endnote>
  <w:endnote w:id="488">
    <w:p w14:paraId="356FC319" w14:textId="672D9285" w:rsidR="002F23BE" w:rsidRPr="00C3377D"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2" w:history="1">
        <w:r w:rsidRPr="00C3377D">
          <w:rPr>
            <w:rStyle w:val="Hyperlink"/>
            <w:rFonts w:asciiTheme="minorHAnsi" w:hAnsiTheme="minorHAnsi" w:cstheme="minorHAnsi"/>
            <w:sz w:val="16"/>
            <w:szCs w:val="16"/>
          </w:rPr>
          <w:t>R.C. 5120.21(F)</w:t>
        </w:r>
      </w:hyperlink>
      <w:r w:rsidRPr="00C3377D">
        <w:rPr>
          <w:rFonts w:asciiTheme="minorHAnsi" w:hAnsiTheme="minorHAnsi" w:cstheme="minorHAnsi"/>
          <w:sz w:val="16"/>
          <w:szCs w:val="16"/>
        </w:rPr>
        <w:t xml:space="preserve">; </w:t>
      </w:r>
      <w:hyperlink r:id="rId673" w:history="1">
        <w:r w:rsidRPr="00C3377D">
          <w:rPr>
            <w:rStyle w:val="Hyperlink"/>
            <w:rFonts w:asciiTheme="minorHAnsi" w:hAnsiTheme="minorHAnsi" w:cstheme="minorHAnsi"/>
            <w:i/>
            <w:sz w:val="16"/>
            <w:szCs w:val="16"/>
          </w:rPr>
          <w:t>State ex rel. Mobley v. Ohio Dept. of Rehab. &amp; Corr.</w:t>
        </w:r>
      </w:hyperlink>
      <w:r w:rsidRPr="00C3377D">
        <w:rPr>
          <w:rFonts w:asciiTheme="minorHAnsi" w:hAnsiTheme="minorHAnsi" w:cstheme="minorHAnsi"/>
          <w:i/>
          <w:sz w:val="16"/>
          <w:szCs w:val="16"/>
        </w:rPr>
        <w:t xml:space="preserve">, </w:t>
      </w:r>
      <w:r w:rsidR="00A22CE1" w:rsidRPr="00C3377D">
        <w:rPr>
          <w:rFonts w:asciiTheme="minorHAnsi" w:hAnsiTheme="minorHAnsi" w:cstheme="minorHAnsi"/>
          <w:sz w:val="16"/>
          <w:szCs w:val="16"/>
        </w:rPr>
        <w:t>169 Ohio St.3d 39, 2022-Ohio-1765, ¶ 17-22.</w:t>
      </w:r>
    </w:p>
  </w:endnote>
  <w:endnote w:id="489">
    <w:p w14:paraId="1973DF6C" w14:textId="686743E8" w:rsidR="002F23BE" w:rsidRPr="006B5C29" w:rsidRDefault="002F23BE" w:rsidP="00C3377D">
      <w:pPr>
        <w:pStyle w:val="EndnoteText"/>
        <w:spacing w:line="160" w:lineRule="exact"/>
        <w:jc w:val="both"/>
        <w:rPr>
          <w:rFonts w:asciiTheme="minorHAnsi" w:hAnsiTheme="minorHAnsi" w:cstheme="minorHAnsi"/>
          <w:sz w:val="16"/>
          <w:szCs w:val="16"/>
        </w:rPr>
      </w:pPr>
      <w:r w:rsidRPr="00C3377D">
        <w:rPr>
          <w:rStyle w:val="EndnoteReference"/>
          <w:rFonts w:asciiTheme="minorHAnsi" w:hAnsiTheme="minorHAnsi" w:cstheme="minorHAnsi"/>
          <w:sz w:val="16"/>
          <w:szCs w:val="16"/>
        </w:rPr>
        <w:endnoteRef/>
      </w:r>
      <w:r w:rsidRPr="00C3377D">
        <w:rPr>
          <w:rFonts w:asciiTheme="minorHAnsi" w:hAnsiTheme="minorHAnsi" w:cstheme="minorHAnsi"/>
          <w:sz w:val="16"/>
          <w:szCs w:val="16"/>
        </w:rPr>
        <w:t xml:space="preserve"> </w:t>
      </w:r>
      <w:hyperlink r:id="rId674" w:history="1">
        <w:r w:rsidRPr="00C3377D">
          <w:rPr>
            <w:rStyle w:val="Hyperlink"/>
            <w:rFonts w:asciiTheme="minorHAnsi" w:hAnsiTheme="minorHAnsi" w:cstheme="minorHAnsi"/>
            <w:i/>
            <w:sz w:val="16"/>
            <w:szCs w:val="16"/>
          </w:rPr>
          <w:t>State ex rel. Mobley v. Ohio Dept. of Rehab. &amp; Corr.</w:t>
        </w:r>
      </w:hyperlink>
      <w:r w:rsidRPr="00C3377D">
        <w:rPr>
          <w:rFonts w:asciiTheme="minorHAnsi" w:hAnsiTheme="minorHAnsi" w:cstheme="minorHAnsi"/>
          <w:i/>
          <w:sz w:val="16"/>
          <w:szCs w:val="16"/>
        </w:rPr>
        <w:t xml:space="preserve">, </w:t>
      </w:r>
      <w:r w:rsidR="00A22CE1" w:rsidRPr="00C3377D">
        <w:rPr>
          <w:rFonts w:asciiTheme="minorHAnsi" w:hAnsiTheme="minorHAnsi" w:cstheme="minorHAnsi"/>
          <w:sz w:val="16"/>
          <w:szCs w:val="16"/>
        </w:rPr>
        <w:t>169 Ohio St.3d 39, 2022-Ohio-1765,</w:t>
      </w:r>
      <w:r w:rsidRPr="00C3377D">
        <w:rPr>
          <w:rFonts w:asciiTheme="minorHAnsi" w:hAnsiTheme="minorHAnsi" w:cstheme="minorHAnsi"/>
          <w:sz w:val="16"/>
          <w:szCs w:val="16"/>
        </w:rPr>
        <w:t xml:space="preserve"> ¶ 16-23</w:t>
      </w:r>
      <w:r w:rsidR="007C41A5" w:rsidRPr="00C3377D">
        <w:rPr>
          <w:rFonts w:asciiTheme="minorHAnsi" w:hAnsiTheme="minorHAnsi" w:cstheme="minorHAnsi"/>
          <w:sz w:val="16"/>
          <w:szCs w:val="16"/>
        </w:rPr>
        <w:t>;</w:t>
      </w:r>
      <w:hyperlink r:id="rId675" w:history="1">
        <w:r w:rsidR="007C41A5" w:rsidRPr="00C3377D">
          <w:rPr>
            <w:rStyle w:val="Hyperlink"/>
            <w:rFonts w:asciiTheme="minorHAnsi" w:hAnsiTheme="minorHAnsi" w:cstheme="minorHAnsi"/>
            <w:i/>
            <w:iCs/>
            <w:sz w:val="16"/>
            <w:szCs w:val="16"/>
          </w:rPr>
          <w:t xml:space="preserve"> State ex rel. </w:t>
        </w:r>
        <w:r w:rsidR="007C41A5" w:rsidRPr="00C3377D">
          <w:rPr>
            <w:rStyle w:val="Hyperlink"/>
            <w:rFonts w:asciiTheme="minorHAnsi" w:hAnsiTheme="minorHAnsi" w:cstheme="minorHAnsi"/>
            <w:i/>
            <w:iCs/>
            <w:sz w:val="16"/>
            <w:szCs w:val="16"/>
          </w:rPr>
          <w:t>Sulta</w:t>
        </w:r>
        <w:r w:rsidR="0091368A">
          <w:rPr>
            <w:rStyle w:val="Hyperlink"/>
            <w:rFonts w:asciiTheme="minorHAnsi" w:hAnsiTheme="minorHAnsi" w:cstheme="minorHAnsi"/>
            <w:i/>
            <w:iCs/>
            <w:sz w:val="16"/>
            <w:szCs w:val="16"/>
          </w:rPr>
          <w:t>a</w:t>
        </w:r>
        <w:r w:rsidR="007C41A5" w:rsidRPr="00C3377D">
          <w:rPr>
            <w:rStyle w:val="Hyperlink"/>
            <w:rFonts w:asciiTheme="minorHAnsi" w:hAnsiTheme="minorHAnsi" w:cstheme="minorHAnsi"/>
            <w:i/>
            <w:iCs/>
            <w:sz w:val="16"/>
            <w:szCs w:val="16"/>
          </w:rPr>
          <w:t>na v. Mansfield Corr. Inst</w:t>
        </w:r>
      </w:hyperlink>
      <w:r w:rsidR="007C41A5" w:rsidRPr="00C3377D">
        <w:rPr>
          <w:rFonts w:asciiTheme="minorHAnsi" w:hAnsiTheme="minorHAnsi" w:cstheme="minorHAnsi"/>
          <w:i/>
          <w:iCs/>
          <w:sz w:val="16"/>
          <w:szCs w:val="16"/>
        </w:rPr>
        <w:t>.</w:t>
      </w:r>
      <w:r w:rsidR="007C41A5" w:rsidRPr="00C3377D">
        <w:rPr>
          <w:rFonts w:asciiTheme="minorHAnsi" w:hAnsiTheme="minorHAnsi" w:cstheme="minorHAnsi"/>
          <w:sz w:val="16"/>
          <w:szCs w:val="16"/>
        </w:rPr>
        <w:t>, 172 Ohio St.3d 438, 2023-Ohio</w:t>
      </w:r>
      <w:r w:rsidR="00F12762" w:rsidRPr="00C3377D">
        <w:rPr>
          <w:rFonts w:asciiTheme="minorHAnsi" w:hAnsiTheme="minorHAnsi" w:cstheme="minorHAnsi"/>
          <w:sz w:val="16"/>
          <w:szCs w:val="16"/>
        </w:rPr>
        <w:t>-</w:t>
      </w:r>
      <w:r w:rsidR="007C41A5" w:rsidRPr="00C3377D">
        <w:rPr>
          <w:rFonts w:asciiTheme="minorHAnsi" w:hAnsiTheme="minorHAnsi" w:cstheme="minorHAnsi"/>
          <w:sz w:val="16"/>
          <w:szCs w:val="16"/>
        </w:rPr>
        <w:t>1177, ¶ 32 (incident and conduct reports did not fall under any category in R.C. 5120.21 and not exempt).</w:t>
      </w:r>
    </w:p>
  </w:endnote>
  <w:endnote w:id="490">
    <w:p w14:paraId="1BF955F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76" w:history="1">
        <w:r w:rsidRPr="00A03E56">
          <w:rPr>
            <w:rStyle w:val="Hyperlink"/>
            <w:rFonts w:asciiTheme="minorHAnsi" w:hAnsiTheme="minorHAnsi" w:cstheme="minorHAnsi"/>
            <w:sz w:val="16"/>
            <w:szCs w:val="16"/>
          </w:rPr>
          <w:t>R.C. 149.43(A)(2)</w:t>
        </w:r>
      </w:hyperlink>
      <w:r w:rsidRPr="00A03E56">
        <w:rPr>
          <w:rFonts w:asciiTheme="minorHAnsi" w:hAnsiTheme="minorHAnsi" w:cstheme="minorHAnsi"/>
          <w:sz w:val="16"/>
          <w:szCs w:val="16"/>
        </w:rPr>
        <w:t>.</w:t>
      </w:r>
    </w:p>
  </w:endnote>
  <w:endnote w:id="491">
    <w:p w14:paraId="4762C44F" w14:textId="73AD74C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77"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xml:space="preserve">, 72 Ohio St.3d 141, 143, (1995) (polygraph test results, questionnaires, and other materials gathered during a police department’s hiring process were not “law enforcement matters” for purposes of CLEIRs). </w:t>
      </w:r>
    </w:p>
  </w:endnote>
  <w:endnote w:id="492">
    <w:p w14:paraId="3311E8A9" w14:textId="43BB340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78" w:history="1">
        <w:r w:rsidRPr="00A03E56">
          <w:rPr>
            <w:rStyle w:val="Hyperlink"/>
            <w:rFonts w:asciiTheme="minorHAnsi" w:hAnsiTheme="minorHAnsi" w:cstheme="minorHAnsi"/>
            <w:i/>
            <w:iCs/>
            <w:sz w:val="16"/>
            <w:szCs w:val="16"/>
          </w:rPr>
          <w:t>State ex rel. Standifer v. City of Cleveland</w:t>
        </w:r>
      </w:hyperlink>
      <w:r w:rsidRPr="00A03E56">
        <w:rPr>
          <w:rFonts w:asciiTheme="minorHAnsi" w:hAnsiTheme="minorHAnsi" w:cstheme="minorHAnsi"/>
          <w:sz w:val="16"/>
          <w:szCs w:val="16"/>
        </w:rPr>
        <w:t>, 170 Ohio St.3d 367, 2022-Ohio-3711, ¶ 21 (use of force reports are not categorically considered investigation records for purposes of CLEIRs).</w:t>
      </w:r>
    </w:p>
  </w:endnote>
  <w:endnote w:id="493">
    <w:p w14:paraId="51176CB1" w14:textId="78CCBD9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Natl. Broadcasting Co., Inc. v. Cleveland</w:t>
      </w:r>
      <w:r w:rsidRPr="00A03E56">
        <w:rPr>
          <w:rFonts w:asciiTheme="minorHAnsi" w:hAnsiTheme="minorHAnsi" w:cstheme="minorHAnsi"/>
          <w:sz w:val="16"/>
          <w:szCs w:val="16"/>
        </w:rPr>
        <w:t xml:space="preserve">, 38 Ohio St.3d 79, 84, (1988) (CLEIRs exemption does not cover law enforcement investigations routinely conducted in every use of force incident, absent evidence of “specific suspicion of criminal wrongdoing”); </w:t>
      </w:r>
      <w:hyperlink r:id="rId679" w:history="1">
        <w:r w:rsidRPr="00A03E56">
          <w:rPr>
            <w:rStyle w:val="Hyperlink"/>
            <w:rFonts w:asciiTheme="minorHAnsi" w:hAnsiTheme="minorHAnsi" w:cstheme="minorHAnsi"/>
            <w:i/>
            <w:iCs/>
            <w:sz w:val="16"/>
            <w:szCs w:val="16"/>
          </w:rPr>
          <w:t>State ex rel. Oriana House, Inc. v. Montgomery</w:t>
        </w:r>
      </w:hyperlink>
      <w:r w:rsidRPr="00A03E56">
        <w:rPr>
          <w:rFonts w:asciiTheme="minorHAnsi" w:hAnsiTheme="minorHAnsi" w:cstheme="minorHAnsi"/>
          <w:sz w:val="16"/>
          <w:szCs w:val="16"/>
        </w:rPr>
        <w:t xml:space="preserve">, 10th Dist. Franklin Nos. 04AP-492, 04AP-504, 2005-Ohio-3377, ¶ 77, </w:t>
      </w:r>
      <w:r w:rsidRPr="00A03E56">
        <w:rPr>
          <w:rFonts w:asciiTheme="minorHAnsi" w:hAnsiTheme="minorHAnsi" w:cstheme="minorHAnsi"/>
          <w:i/>
          <w:sz w:val="16"/>
          <w:szCs w:val="16"/>
        </w:rPr>
        <w:t xml:space="preserve">rev’d on other grounds, </w:t>
      </w:r>
      <w:r w:rsidRPr="00A03E56">
        <w:rPr>
          <w:rFonts w:asciiTheme="minorHAnsi" w:hAnsiTheme="minorHAnsi" w:cstheme="minorHAnsi"/>
          <w:sz w:val="16"/>
          <w:szCs w:val="16"/>
        </w:rPr>
        <w:t>110 Ohio St.3d 456, 2006-Ohio-4854 (redacted portions of audit records were directed to specific misconduct and were not simply part of routine monitoring).</w:t>
      </w:r>
    </w:p>
  </w:endnote>
  <w:endnote w:id="494">
    <w:p w14:paraId="0AB19F37" w14:textId="775B29F9"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80" w:history="1">
        <w:r w:rsidRPr="00A03E56">
          <w:rPr>
            <w:rStyle w:val="Hyperlink"/>
            <w:rFonts w:asciiTheme="minorHAnsi" w:hAnsiTheme="minorHAnsi" w:cstheme="minorHAnsi"/>
            <w:iCs/>
            <w:sz w:val="16"/>
            <w:szCs w:val="16"/>
          </w:rPr>
          <w:t>S</w:t>
        </w:r>
        <w:r w:rsidRPr="00A03E56">
          <w:rPr>
            <w:rStyle w:val="Hyperlink"/>
            <w:rFonts w:asciiTheme="minorHAnsi" w:hAnsiTheme="minorHAnsi" w:cstheme="minorHAnsi"/>
            <w:i/>
            <w:sz w:val="16"/>
            <w:szCs w:val="16"/>
          </w:rPr>
          <w:t>tate ex rel. Oriana House, Inc. v. Montgomery</w:t>
        </w:r>
      </w:hyperlink>
      <w:r w:rsidRPr="00A03E56">
        <w:rPr>
          <w:rFonts w:asciiTheme="minorHAnsi" w:hAnsiTheme="minorHAnsi" w:cstheme="minorHAnsi"/>
          <w:sz w:val="16"/>
          <w:szCs w:val="16"/>
        </w:rPr>
        <w:t xml:space="preserve">, 10th Dist. Franklin Nos. 04AP-492, 04AP-504, 2005-Ohio-3377, ¶ 76, </w:t>
      </w:r>
      <w:r w:rsidRPr="00A03E56">
        <w:rPr>
          <w:rFonts w:asciiTheme="minorHAnsi" w:hAnsiTheme="minorHAnsi" w:cstheme="minorHAnsi"/>
          <w:i/>
          <w:sz w:val="16"/>
          <w:szCs w:val="16"/>
        </w:rPr>
        <w:t>rev’d on other grounds,</w:t>
      </w:r>
      <w:r w:rsidRPr="00A03E56">
        <w:rPr>
          <w:rFonts w:asciiTheme="minorHAnsi" w:hAnsiTheme="minorHAnsi" w:cstheme="minorHAnsi"/>
          <w:sz w:val="16"/>
          <w:szCs w:val="16"/>
        </w:rPr>
        <w:t xml:space="preserve"> 110 Ohio St.3d 456, 2006-Ohio-4854 (special audit conducted by the Auditor of State qualifies as both a “law enforcement matter of a ... civil, or administrative nature” and a “law enforcement matter of a criminal [or] quasi-criminal” matter); </w:t>
      </w:r>
      <w:r w:rsidRPr="00A03E56">
        <w:rPr>
          <w:rFonts w:asciiTheme="minorHAnsi" w:hAnsiTheme="minorHAnsi" w:cstheme="minorHAnsi"/>
          <w:i/>
          <w:sz w:val="16"/>
          <w:szCs w:val="16"/>
        </w:rPr>
        <w:t>In re Fisher</w:t>
      </w:r>
      <w:r w:rsidRPr="00A03E56">
        <w:rPr>
          <w:rFonts w:asciiTheme="minorHAnsi" w:hAnsiTheme="minorHAnsi" w:cstheme="minorHAnsi"/>
          <w:sz w:val="16"/>
          <w:szCs w:val="16"/>
        </w:rPr>
        <w:t xml:space="preserve">, 39 Ohio St.2d 71, 75-76 (1974) (juvenile delinquency is an example of a “quasi-criminal” matter); </w:t>
      </w:r>
      <w:r w:rsidRPr="00A03E56">
        <w:rPr>
          <w:rFonts w:asciiTheme="minorHAnsi" w:hAnsiTheme="minorHAnsi" w:cstheme="minorHAnsi"/>
          <w:i/>
          <w:sz w:val="16"/>
          <w:szCs w:val="16"/>
        </w:rPr>
        <w:t>State ex rel. Polovischak v. Mayfield</w:t>
      </w:r>
      <w:r w:rsidRPr="00A03E56">
        <w:rPr>
          <w:rFonts w:asciiTheme="minorHAnsi" w:hAnsiTheme="minorHAnsi" w:cstheme="minorHAnsi"/>
          <w:sz w:val="16"/>
          <w:szCs w:val="16"/>
        </w:rPr>
        <w:t xml:space="preserve">, 50 Ohio St.3d 51, 53 (1990) (anti-fraud and anti-corruption investigations are the types of criminal, quasi-criminal or administrative matters to which the CLEIRs exemption may apply because the “records are compiled by the committee in order to investigate matter prohibited by state law and administrative rule”); </w:t>
      </w:r>
      <w:hyperlink r:id="rId681" w:history="1">
        <w:r w:rsidRPr="00A03E56">
          <w:rPr>
            <w:rStyle w:val="Hyperlink"/>
            <w:rFonts w:asciiTheme="minorHAnsi" w:hAnsiTheme="minorHAnsi" w:cstheme="minorHAnsi"/>
            <w:i/>
            <w:iCs/>
            <w:sz w:val="16"/>
            <w:szCs w:val="16"/>
          </w:rPr>
          <w:t>State ex rel. Mahajan v. State Med. Bd. of Ohio</w:t>
        </w:r>
      </w:hyperlink>
      <w:r w:rsidRPr="00A03E56">
        <w:rPr>
          <w:rFonts w:asciiTheme="minorHAnsi" w:hAnsiTheme="minorHAnsi" w:cstheme="minorHAnsi"/>
          <w:sz w:val="16"/>
          <w:szCs w:val="16"/>
        </w:rPr>
        <w:t>,</w:t>
      </w:r>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127 Ohio St.3d 497, 2010-Ohio-5995, ¶ 29 (the reference in the CLEIRs exemption to four types of law enforcement matters – criminal, quasi-criminal, civil, and administrative – “evidences a clear statutory intention to include investigative activities of state licensing boards”).</w:t>
      </w:r>
    </w:p>
  </w:endnote>
  <w:endnote w:id="495">
    <w:p w14:paraId="5B35BD72" w14:textId="789EC94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82" w:history="1">
        <w:r w:rsidRPr="00A03E56">
          <w:rPr>
            <w:rStyle w:val="Hyperlink"/>
            <w:rFonts w:asciiTheme="minorHAnsi" w:hAnsiTheme="minorHAnsi" w:cstheme="minorHAnsi"/>
            <w:i/>
            <w:sz w:val="16"/>
            <w:szCs w:val="16"/>
          </w:rPr>
          <w:t>State ex rel. Freedom Communications, Inc. v. Elida Community Fire Co</w:t>
        </w:r>
        <w:r w:rsidRPr="00A03E56">
          <w:rPr>
            <w:rStyle w:val="Hyperlink"/>
            <w:rFonts w:asciiTheme="minorHAnsi" w:hAnsiTheme="minorHAnsi" w:cstheme="minorHAnsi"/>
            <w:sz w:val="16"/>
            <w:szCs w:val="16"/>
          </w:rPr>
          <w:t>.</w:t>
        </w:r>
      </w:hyperlink>
      <w:r w:rsidRPr="00A03E56">
        <w:rPr>
          <w:rFonts w:asciiTheme="minorHAnsi" w:hAnsiTheme="minorHAnsi" w:cstheme="minorHAnsi"/>
          <w:sz w:val="16"/>
          <w:szCs w:val="16"/>
        </w:rPr>
        <w:t>, 82 Ohio St.3d 578, 581 (1998).</w:t>
      </w:r>
    </w:p>
  </w:endnote>
  <w:endnote w:id="496">
    <w:p w14:paraId="37B1AEA8" w14:textId="34422A51"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3" w:history="1">
        <w:r w:rsidRPr="00A03E56">
          <w:rPr>
            <w:rStyle w:val="Hyperlink"/>
            <w:rFonts w:asciiTheme="minorHAnsi" w:hAnsiTheme="minorHAnsi" w:cstheme="minorHAnsi"/>
            <w:i/>
            <w:iCs/>
            <w:sz w:val="16"/>
            <w:szCs w:val="16"/>
          </w:rPr>
          <w:t>State ex rel. Morgan v. City of New Lexington</w:t>
        </w:r>
      </w:hyperlink>
      <w:r w:rsidRPr="00A03E56">
        <w:rPr>
          <w:rFonts w:asciiTheme="minorHAnsi" w:hAnsiTheme="minorHAnsi" w:cstheme="minorHAnsi"/>
          <w:sz w:val="16"/>
          <w:szCs w:val="16"/>
        </w:rPr>
        <w:t>, 112 Ohio St.3d 33, 2006-Ohio-6365, ¶ 49.</w:t>
      </w:r>
    </w:p>
  </w:endnote>
  <w:endnote w:id="497">
    <w:p w14:paraId="3686409E" w14:textId="2A33601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84" w:history="1">
        <w:r w:rsidRPr="00A03E56">
          <w:rPr>
            <w:rStyle w:val="Hyperlink"/>
            <w:rFonts w:asciiTheme="minorHAnsi" w:hAnsiTheme="minorHAnsi" w:cstheme="minorHAnsi"/>
            <w:i/>
            <w:sz w:val="16"/>
            <w:szCs w:val="16"/>
          </w:rPr>
          <w:t>State ex rel. Multimedia, Inc. v. Snowde</w:t>
        </w:r>
        <w:r w:rsidRPr="00A03E56">
          <w:rPr>
            <w:rStyle w:val="Hyperlink"/>
            <w:rFonts w:asciiTheme="minorHAnsi" w:hAnsiTheme="minorHAnsi" w:cstheme="minorHAnsi"/>
            <w:iCs/>
            <w:sz w:val="16"/>
            <w:szCs w:val="16"/>
          </w:rPr>
          <w:t>n</w:t>
        </w:r>
      </w:hyperlink>
      <w:r w:rsidRPr="00A03E56">
        <w:rPr>
          <w:rFonts w:asciiTheme="minorHAnsi" w:hAnsiTheme="minorHAnsi" w:cstheme="minorHAnsi"/>
          <w:sz w:val="16"/>
          <w:szCs w:val="16"/>
        </w:rPr>
        <w:t>, 72 Ohio St.3d 141, 142 (1995) (personnel records reflecting the discipline of police officers were not exempt under CLEIRs).</w:t>
      </w:r>
    </w:p>
  </w:endnote>
  <w:endnote w:id="498">
    <w:p w14:paraId="5769C237" w14:textId="081D6161"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5" w:history="1">
        <w:r w:rsidRPr="00A03E56">
          <w:rPr>
            <w:rStyle w:val="Hyperlink"/>
            <w:rFonts w:asciiTheme="minorHAnsi" w:hAnsiTheme="minorHAnsi" w:cstheme="minorHAnsi"/>
            <w:i/>
            <w:iCs/>
            <w:sz w:val="16"/>
            <w:szCs w:val="16"/>
          </w:rPr>
          <w:t xml:space="preserve">State ex rel. Cincinnati Enquirer v. Pike </w:t>
        </w:r>
        <w:r w:rsidRPr="00A03E56">
          <w:rPr>
            <w:rStyle w:val="Hyperlink"/>
            <w:rFonts w:asciiTheme="minorHAnsi" w:hAnsiTheme="minorHAnsi" w:cstheme="minorHAnsi"/>
            <w:i/>
            <w:iCs/>
            <w:sz w:val="16"/>
            <w:szCs w:val="16"/>
          </w:rPr>
          <w:t>Cty. Coroner’s Office</w:t>
        </w:r>
      </w:hyperlink>
      <w:r w:rsidRPr="00A03E56">
        <w:rPr>
          <w:rFonts w:asciiTheme="minorHAnsi" w:hAnsiTheme="minorHAnsi" w:cstheme="minorHAnsi"/>
          <w:iCs/>
          <w:sz w:val="16"/>
          <w:szCs w:val="16"/>
        </w:rPr>
        <w:t>,</w:t>
      </w:r>
      <w:r w:rsidRPr="00A03E56">
        <w:rPr>
          <w:rFonts w:asciiTheme="minorHAnsi" w:hAnsiTheme="minorHAnsi" w:cstheme="minorHAnsi"/>
          <w:sz w:val="16"/>
          <w:szCs w:val="16"/>
        </w:rPr>
        <w:t xml:space="preserve"> 153 Ohio St.3d 63, 2017-Ohio-8988, </w:t>
      </w:r>
      <w:r w:rsidRPr="00A03E56">
        <w:rPr>
          <w:rFonts w:asciiTheme="minorHAnsi" w:eastAsia="Calibri" w:hAnsiTheme="minorHAnsi" w:cstheme="minorHAnsi"/>
          <w:sz w:val="16"/>
          <w:szCs w:val="16"/>
          <w:lang w:eastAsia="ja-JP"/>
        </w:rPr>
        <w:t>¶ 34-38 (a coroner may be a law enforcement officer for purposes of CLEIRs because “the nature of a coroner’s work in a homicide-related autopsy is investigative and pertains to law enforcement”).</w:t>
      </w:r>
    </w:p>
  </w:endnote>
  <w:endnote w:id="499">
    <w:p w14:paraId="0F4CA980" w14:textId="1BF6D7F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6" w:history="1">
        <w:r w:rsidRPr="00A03E56">
          <w:rPr>
            <w:rStyle w:val="Hyperlink"/>
            <w:rFonts w:asciiTheme="minorHAnsi" w:hAnsiTheme="minorHAnsi" w:cstheme="minorHAnsi"/>
            <w:i/>
            <w:iCs/>
            <w:sz w:val="16"/>
            <w:szCs w:val="16"/>
          </w:rPr>
          <w:t>State ex rel. Strothers v. Wertheim</w:t>
        </w:r>
      </w:hyperlink>
      <w:r w:rsidRPr="00A03E56">
        <w:rPr>
          <w:rFonts w:asciiTheme="minorHAnsi" w:hAnsiTheme="minorHAnsi" w:cstheme="minorHAnsi"/>
          <w:sz w:val="16"/>
          <w:szCs w:val="16"/>
        </w:rPr>
        <w:t>, 80 Ohio St.3d 155, 158 (1997) (records of alleged child abuse do not pertain to a law enforcement matter in the hands of county ombudsman office that has no legally mandated enforcement or investigative authority).</w:t>
      </w:r>
    </w:p>
  </w:endnote>
  <w:endnote w:id="500">
    <w:p w14:paraId="0B0F4E19" w14:textId="4125A35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87" w:history="1">
        <w:r w:rsidRPr="00A03E56">
          <w:rPr>
            <w:rStyle w:val="Hyperlink"/>
            <w:rFonts w:asciiTheme="minorHAnsi" w:hAnsiTheme="minorHAnsi" w:cstheme="minorHAnsi"/>
            <w:i/>
            <w:iCs/>
            <w:sz w:val="16"/>
            <w:szCs w:val="16"/>
          </w:rPr>
          <w:t>State ex rel. Morgan v. New Lexington</w:t>
        </w:r>
      </w:hyperlink>
      <w:r w:rsidRPr="00A03E56">
        <w:rPr>
          <w:rFonts w:asciiTheme="minorHAnsi" w:hAnsiTheme="minorHAnsi" w:cstheme="minorHAnsi"/>
          <w:sz w:val="16"/>
          <w:szCs w:val="16"/>
        </w:rPr>
        <w:t xml:space="preserve">, 112 Ohio St.3d 33, 2006-Ohio-6365, ¶ 51 (“records made in the routine course of public employment before” an investigation began were not covered by CLEIRs); </w:t>
      </w:r>
      <w:hyperlink r:id="rId688" w:history="1">
        <w:r w:rsidRPr="00A03E56">
          <w:rPr>
            <w:rStyle w:val="Hyperlink"/>
            <w:rFonts w:asciiTheme="minorHAnsi" w:hAnsiTheme="minorHAnsi" w:cstheme="minorHAnsi"/>
            <w:i/>
            <w:iCs/>
            <w:sz w:val="16"/>
            <w:szCs w:val="16"/>
          </w:rPr>
          <w:t xml:space="preserve">State ex rel. </w:t>
        </w:r>
        <w:r w:rsidRPr="00A03E56">
          <w:rPr>
            <w:rStyle w:val="Hyperlink"/>
            <w:rFonts w:asciiTheme="minorHAnsi" w:hAnsiTheme="minorHAnsi" w:cstheme="minorHAnsi"/>
            <w:i/>
            <w:iCs/>
            <w:sz w:val="16"/>
            <w:szCs w:val="16"/>
          </w:rPr>
          <w:t>Dillery v. Icsman</w:t>
        </w:r>
      </w:hyperlink>
      <w:r w:rsidRPr="00A03E56">
        <w:rPr>
          <w:rFonts w:asciiTheme="minorHAnsi" w:hAnsiTheme="minorHAnsi" w:cstheme="minorHAnsi"/>
          <w:sz w:val="16"/>
          <w:szCs w:val="16"/>
        </w:rPr>
        <w:t xml:space="preserve">, 92 Ohio St.3d 312, 316 (2001) (street repair records of city’s public works superintendent not covered under CLEIRs simply because the records may become relevant to a criminal case); </w:t>
      </w:r>
      <w:hyperlink r:id="rId689" w:history="1">
        <w:r w:rsidRPr="00A03E56">
          <w:rPr>
            <w:rStyle w:val="Hyperlink"/>
            <w:rFonts w:asciiTheme="minorHAnsi" w:hAnsiTheme="minorHAnsi" w:cstheme="minorHAnsi"/>
            <w:i/>
            <w:sz w:val="16"/>
            <w:szCs w:val="16"/>
          </w:rPr>
          <w:t>State ex rel. Cincinnati Enquirer v. Hamilton Cty</w:t>
        </w:r>
        <w:r w:rsidRPr="00A03E56">
          <w:rPr>
            <w:rStyle w:val="Hyperlink"/>
            <w:rFonts w:asciiTheme="minorHAnsi" w:hAnsiTheme="minorHAnsi" w:cstheme="minorHAnsi"/>
            <w:iCs/>
            <w:sz w:val="16"/>
            <w:szCs w:val="16"/>
          </w:rPr>
          <w:t>.</w:t>
        </w:r>
      </w:hyperlink>
      <w:r w:rsidRPr="00A03E56">
        <w:rPr>
          <w:rFonts w:asciiTheme="minorHAnsi" w:hAnsiTheme="minorHAnsi" w:cstheme="minorHAnsi"/>
          <w:sz w:val="16"/>
          <w:szCs w:val="16"/>
        </w:rPr>
        <w:t>, 75 Ohio St.3d 374, 378 (1996) (a public record that “subsequently came into the possession and/or control of a prosecutor, other law enforcement officials, or even the grand jury has no significance” because “[o]nce clothed with the public records cloak, the records cannot be defrocked of their status”).</w:t>
      </w:r>
    </w:p>
  </w:endnote>
  <w:endnote w:id="501">
    <w:p w14:paraId="6533CA3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0" w:history="1">
        <w:r w:rsidRPr="00A03E56">
          <w:rPr>
            <w:rStyle w:val="Hyperlink"/>
            <w:rFonts w:asciiTheme="minorHAnsi" w:hAnsiTheme="minorHAnsi" w:cstheme="minorHAnsi"/>
            <w:sz w:val="16"/>
            <w:szCs w:val="16"/>
          </w:rPr>
          <w:t>R.C. 149.43(A)(2)</w:t>
        </w:r>
      </w:hyperlink>
      <w:r w:rsidRPr="00A03E56">
        <w:rPr>
          <w:rFonts w:asciiTheme="minorHAnsi" w:hAnsiTheme="minorHAnsi" w:cstheme="minorHAnsi"/>
          <w:sz w:val="16"/>
          <w:szCs w:val="16"/>
        </w:rPr>
        <w:t>.</w:t>
      </w:r>
    </w:p>
  </w:endnote>
  <w:endnote w:id="502">
    <w:p w14:paraId="0EE124C7" w14:textId="2E9C087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1" w:history="1">
        <w:r w:rsidRPr="00A03E56">
          <w:rPr>
            <w:rStyle w:val="Hyperlink"/>
            <w:rFonts w:asciiTheme="minorHAnsi" w:hAnsiTheme="minorHAnsi" w:cstheme="minorHAnsi"/>
            <w:i/>
            <w:iCs/>
            <w:sz w:val="16"/>
            <w:szCs w:val="16"/>
          </w:rPr>
          <w:t>State ex rel. Musial v. N. Olmsted</w:t>
        </w:r>
      </w:hyperlink>
      <w:r w:rsidRPr="00A03E56">
        <w:rPr>
          <w:rFonts w:asciiTheme="minorHAnsi" w:hAnsiTheme="minorHAnsi" w:cstheme="minorHAnsi"/>
          <w:sz w:val="16"/>
          <w:szCs w:val="16"/>
        </w:rPr>
        <w:t>, 106 Ohio St.3d 459, 2005-Ohio-5521, ¶ 23-24 (a “charge” is a “formal accusation of an offense as a preliminary step to prosecution” and “[a] formal accusation of an offense requires a charging instrument, i.e., an indictment, information, or criminal complaint”);</w:t>
      </w:r>
      <w:r w:rsidRPr="00A03E56">
        <w:rPr>
          <w:rFonts w:asciiTheme="minorHAnsi" w:hAnsiTheme="minorHAnsi" w:cstheme="minorHAnsi"/>
          <w:i/>
          <w:sz w:val="16"/>
          <w:szCs w:val="16"/>
        </w:rPr>
        <w:t xml:space="preserve"> see also</w:t>
      </w:r>
      <w:r w:rsidRPr="00A03E56">
        <w:rPr>
          <w:rFonts w:asciiTheme="minorHAnsi" w:hAnsiTheme="minorHAnsi" w:cstheme="minorHAnsi"/>
          <w:sz w:val="16"/>
          <w:szCs w:val="16"/>
        </w:rPr>
        <w:t xml:space="preserve"> </w:t>
      </w:r>
      <w:hyperlink r:id="rId692" w:history="1">
        <w:r w:rsidRPr="00A03E56">
          <w:rPr>
            <w:rStyle w:val="Hyperlink"/>
            <w:rFonts w:asciiTheme="minorHAnsi" w:hAnsiTheme="minorHAnsi" w:cstheme="minorHAnsi"/>
            <w:sz w:val="16"/>
            <w:szCs w:val="16"/>
          </w:rPr>
          <w:t>Crim.R. 7</w:t>
        </w:r>
      </w:hyperlink>
      <w:r w:rsidRPr="00A03E56">
        <w:rPr>
          <w:rFonts w:asciiTheme="minorHAnsi" w:hAnsiTheme="minorHAnsi" w:cstheme="minorHAnsi"/>
          <w:sz w:val="16"/>
          <w:szCs w:val="16"/>
        </w:rPr>
        <w:t>.</w:t>
      </w:r>
    </w:p>
  </w:endnote>
  <w:endnote w:id="503">
    <w:p w14:paraId="6E4CB1BE" w14:textId="3DC7D1E4"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3" w:history="1">
        <w:r w:rsidRPr="00A03E56">
          <w:rPr>
            <w:rStyle w:val="Hyperlink"/>
            <w:rFonts w:asciiTheme="minorHAnsi" w:hAnsiTheme="minorHAnsi" w:cstheme="minorHAnsi"/>
            <w:i/>
            <w:iCs/>
            <w:sz w:val="16"/>
            <w:szCs w:val="16"/>
          </w:rPr>
          <w:t>State ex rel. Master v. Cleveland</w:t>
        </w:r>
      </w:hyperlink>
      <w:r w:rsidRPr="00A03E56">
        <w:rPr>
          <w:rFonts w:asciiTheme="minorHAnsi" w:hAnsiTheme="minorHAnsi" w:cstheme="minorHAnsi"/>
          <w:sz w:val="16"/>
          <w:szCs w:val="16"/>
        </w:rPr>
        <w:t>, 76 Ohio St.3d 340, 343 (1996) (citing “avoidance of subjecting persons to adverse publicity where they may otherwise never have been identified with the matter under investigation” and a law enforcement interest in not “compromising subsequent efforts to reopen and solve inactive cases” as two of the purposes of the uncharged suspect exemption).</w:t>
      </w:r>
    </w:p>
  </w:endnote>
  <w:endnote w:id="504">
    <w:p w14:paraId="0F4BC2DB" w14:textId="04005A0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94" w:history="1">
        <w:r w:rsidRPr="00A03E56">
          <w:rPr>
            <w:rStyle w:val="Hyperlink"/>
            <w:rFonts w:asciiTheme="minorHAnsi" w:hAnsiTheme="minorHAnsi" w:cstheme="minorHAnsi"/>
            <w:i/>
            <w:iCs/>
            <w:sz w:val="16"/>
            <w:szCs w:val="16"/>
          </w:rPr>
          <w:t xml:space="preserve">State ex rel. Rocker v. Guernsey </w:t>
        </w:r>
        <w:r w:rsidRPr="00A03E56">
          <w:rPr>
            <w:rStyle w:val="Hyperlink"/>
            <w:rFonts w:asciiTheme="minorHAnsi" w:hAnsiTheme="minorHAnsi" w:cstheme="minorHAnsi"/>
            <w:i/>
            <w:iCs/>
            <w:sz w:val="16"/>
            <w:szCs w:val="16"/>
          </w:rPr>
          <w:t>Cty. Sheriff’s Office</w:t>
        </w:r>
      </w:hyperlink>
      <w:r w:rsidRPr="00A03E56">
        <w:rPr>
          <w:rFonts w:asciiTheme="minorHAnsi" w:hAnsiTheme="minorHAnsi" w:cstheme="minorHAnsi"/>
          <w:sz w:val="16"/>
          <w:szCs w:val="16"/>
        </w:rPr>
        <w:t>, 126 Ohio St.3d 224, 2010-Ohio-3288, ¶ 11 (the uncharged suspect “exception applies only to those portions of records that, if released, would create a high probability of disclosure of the suspect's identity”).</w:t>
      </w:r>
    </w:p>
  </w:endnote>
  <w:endnote w:id="505">
    <w:p w14:paraId="687F16B6" w14:textId="0AD15B6B"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5" w:history="1">
        <w:r w:rsidRPr="00A03E56">
          <w:rPr>
            <w:rStyle w:val="Hyperlink"/>
            <w:rFonts w:asciiTheme="minorHAnsi" w:hAnsiTheme="minorHAnsi" w:cstheme="minorHAnsi"/>
            <w:i/>
            <w:iCs/>
            <w:sz w:val="16"/>
            <w:szCs w:val="16"/>
          </w:rPr>
          <w:t>State ex rel. Master v. Cleveland</w:t>
        </w:r>
      </w:hyperlink>
      <w:r w:rsidRPr="00A03E56">
        <w:rPr>
          <w:rFonts w:asciiTheme="minorHAnsi" w:hAnsiTheme="minorHAnsi" w:cstheme="minorHAnsi"/>
          <w:sz w:val="16"/>
          <w:szCs w:val="16"/>
        </w:rPr>
        <w:t>, 76 Ohio St.3d 340, 342 (1996) (records fall under the uncharged suspect exemption when “the protected identities of uncharged suspects are inextricably intertwined with the investigatory records”).</w:t>
      </w:r>
    </w:p>
  </w:endnote>
  <w:endnote w:id="506">
    <w:p w14:paraId="6E972512" w14:textId="06E3C3E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6" w:history="1">
        <w:r w:rsidRPr="00A03E56">
          <w:rPr>
            <w:rStyle w:val="Hyperlink"/>
            <w:rFonts w:asciiTheme="minorHAnsi" w:hAnsiTheme="minorHAnsi" w:cstheme="minorHAnsi"/>
            <w:i/>
            <w:iCs/>
            <w:sz w:val="16"/>
            <w:szCs w:val="16"/>
          </w:rPr>
          <w:t xml:space="preserve">State ex rel. Rocker v. Guernsey </w:t>
        </w:r>
        <w:r w:rsidRPr="00A03E56">
          <w:rPr>
            <w:rStyle w:val="Hyperlink"/>
            <w:rFonts w:asciiTheme="minorHAnsi" w:hAnsiTheme="minorHAnsi" w:cstheme="minorHAnsi"/>
            <w:i/>
            <w:iCs/>
            <w:sz w:val="16"/>
            <w:szCs w:val="16"/>
          </w:rPr>
          <w:t>Cty. Sheriff’s Office</w:t>
        </w:r>
      </w:hyperlink>
      <w:r w:rsidRPr="00A03E56">
        <w:rPr>
          <w:rFonts w:asciiTheme="minorHAnsi" w:hAnsiTheme="minorHAnsi" w:cstheme="minorHAnsi"/>
          <w:sz w:val="16"/>
          <w:szCs w:val="16"/>
        </w:rPr>
        <w:t>, 126 Ohio St.3d 224, 2010-Ohio-3288, ¶ 15 (holding that the court of appeals erred in concluding that all records at issue were covered by a “blanket uncharged-suspect exemption”);</w:t>
      </w:r>
      <w:r w:rsidRPr="00A03E56">
        <w:rPr>
          <w:rFonts w:asciiTheme="minorHAnsi" w:hAnsiTheme="minorHAnsi" w:cstheme="minorHAnsi"/>
          <w:i/>
          <w:iCs/>
          <w:sz w:val="16"/>
          <w:szCs w:val="16"/>
        </w:rPr>
        <w:t xml:space="preserve"> </w:t>
      </w:r>
      <w:hyperlink r:id="rId697" w:history="1">
        <w:r w:rsidRPr="00A03E56">
          <w:rPr>
            <w:rStyle w:val="Hyperlink"/>
            <w:rFonts w:asciiTheme="minorHAnsi" w:hAnsiTheme="minorHAnsi" w:cstheme="minorHAnsi"/>
            <w:i/>
            <w:iCs/>
            <w:sz w:val="16"/>
            <w:szCs w:val="16"/>
          </w:rPr>
          <w:t>Narciso v. Powell Police Dept.</w:t>
        </w:r>
      </w:hyperlink>
      <w:r w:rsidRPr="00A03E56">
        <w:rPr>
          <w:rFonts w:asciiTheme="minorHAnsi" w:hAnsiTheme="minorHAnsi" w:cstheme="minorHAnsi"/>
          <w:sz w:val="16"/>
          <w:szCs w:val="16"/>
        </w:rPr>
        <w:t>, Ct. of Cl. No. 2018-01195PQ, 2018-Ohio-4590, ¶ 29-30 (uncharged suspect exemption “does not exempt investigatory information about the facts alleged, evidence obtained, investigator activities, and determinations, or any other item that does not disclose the identity of the suspect” or allow a public office to “deny access to the entire investigatory file merely because the request identifies the investigation by the name of the suspect or other person involved”).</w:t>
      </w:r>
    </w:p>
  </w:endnote>
  <w:endnote w:id="507">
    <w:p w14:paraId="37762564" w14:textId="7186C176" w:rsidR="00E2327A" w:rsidRPr="00A03E56" w:rsidRDefault="00E2327A" w:rsidP="00A03E56">
      <w:pPr>
        <w:pStyle w:val="EndnoteText"/>
        <w:spacing w:line="160" w:lineRule="exact"/>
        <w:rPr>
          <w:rFonts w:asciiTheme="minorHAnsi" w:hAnsiTheme="minorHAnsi" w:cstheme="minorHAnsi"/>
          <w: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698" w:history="1">
        <w:r w:rsidRPr="00A03E56">
          <w:rPr>
            <w:rStyle w:val="Hyperlink"/>
            <w:rFonts w:asciiTheme="minorHAnsi" w:hAnsiTheme="minorHAnsi" w:cstheme="minorHAnsi"/>
            <w:i/>
            <w:sz w:val="16"/>
            <w:szCs w:val="16"/>
          </w:rPr>
          <w:t>State ex rel. Standifer v. City of Cleveland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170 Ohio St.3d 367, 2022-Ohio-3711, ¶ 21.</w:t>
      </w:r>
    </w:p>
  </w:endnote>
  <w:endnote w:id="508">
    <w:p w14:paraId="4A853EED" w14:textId="0E6195B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699" w:history="1">
        <w:r w:rsidRPr="00A03E56">
          <w:rPr>
            <w:rStyle w:val="Hyperlink"/>
            <w:rFonts w:asciiTheme="minorHAnsi" w:hAnsiTheme="minorHAnsi" w:cstheme="minorHAnsi"/>
            <w:i/>
            <w:iCs/>
            <w:sz w:val="16"/>
            <w:szCs w:val="16"/>
          </w:rPr>
          <w:t xml:space="preserve">State ex rel. Musial v. N. </w:t>
        </w:r>
        <w:r w:rsidR="0091368A" w:rsidRPr="00A03E56">
          <w:rPr>
            <w:rStyle w:val="Hyperlink"/>
            <w:rFonts w:asciiTheme="minorHAnsi" w:hAnsiTheme="minorHAnsi" w:cstheme="minorHAnsi"/>
            <w:i/>
            <w:iCs/>
            <w:sz w:val="16"/>
            <w:szCs w:val="16"/>
          </w:rPr>
          <w:t>Olmsted</w:t>
        </w:r>
      </w:hyperlink>
      <w:r w:rsidRPr="00A03E56">
        <w:rPr>
          <w:rFonts w:asciiTheme="minorHAnsi" w:hAnsiTheme="minorHAnsi" w:cstheme="minorHAnsi"/>
          <w:sz w:val="16"/>
          <w:szCs w:val="16"/>
        </w:rPr>
        <w:t>, 106 Ohio St.3d 459, 2005-Ohio-5521, ¶ 28.</w:t>
      </w:r>
    </w:p>
  </w:endnote>
  <w:endnote w:id="509">
    <w:p w14:paraId="74CBDC84" w14:textId="372C404B"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00" w:history="1">
        <w:r w:rsidRPr="00A03E56">
          <w:rPr>
            <w:rStyle w:val="Hyperlink"/>
            <w:rFonts w:asciiTheme="minorHAnsi" w:hAnsiTheme="minorHAnsi" w:cstheme="minorHAnsi"/>
            <w:i/>
            <w:iCs/>
            <w:sz w:val="16"/>
            <w:szCs w:val="16"/>
          </w:rPr>
          <w:t xml:space="preserve">State ex rel. Rocker v. Guernsey </w:t>
        </w:r>
        <w:r w:rsidRPr="00A03E56">
          <w:rPr>
            <w:rStyle w:val="Hyperlink"/>
            <w:rFonts w:asciiTheme="minorHAnsi" w:hAnsiTheme="minorHAnsi" w:cstheme="minorHAnsi"/>
            <w:i/>
            <w:iCs/>
            <w:sz w:val="16"/>
            <w:szCs w:val="16"/>
          </w:rPr>
          <w:t>Cty. Sheriff’s Office</w:t>
        </w:r>
      </w:hyperlink>
      <w:r w:rsidRPr="00A03E56">
        <w:rPr>
          <w:rFonts w:asciiTheme="minorHAnsi" w:hAnsiTheme="minorHAnsi" w:cstheme="minorHAnsi"/>
          <w:sz w:val="16"/>
          <w:szCs w:val="16"/>
        </w:rPr>
        <w:t xml:space="preserve">, 126 Ohio St.3d 224, 2010-Ohio-3288, ¶ 10; </w:t>
      </w:r>
      <w:hyperlink r:id="rId701" w:history="1">
        <w:r w:rsidRPr="00A03E56">
          <w:rPr>
            <w:rStyle w:val="Hyperlink"/>
            <w:rFonts w:asciiTheme="minorHAnsi" w:hAnsiTheme="minorHAnsi" w:cstheme="minorHAnsi"/>
            <w:i/>
            <w:iCs/>
            <w:sz w:val="16"/>
            <w:szCs w:val="16"/>
          </w:rPr>
          <w:t>State ex rel. Ohio Patrolmen’s Benevolent Assn. v. Mentor</w:t>
        </w:r>
      </w:hyperlink>
      <w:r w:rsidRPr="00A03E56">
        <w:rPr>
          <w:rFonts w:asciiTheme="minorHAnsi" w:hAnsiTheme="minorHAnsi" w:cstheme="minorHAnsi"/>
          <w:sz w:val="16"/>
          <w:szCs w:val="16"/>
        </w:rPr>
        <w:t>, 89 Ohio St.3d 440, 447 (2000).</w:t>
      </w:r>
    </w:p>
  </w:endnote>
  <w:endnote w:id="510">
    <w:p w14:paraId="4BD7ACAA" w14:textId="30334C1F"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2" w:history="1">
        <w:r w:rsidRPr="00A03E56">
          <w:rPr>
            <w:rStyle w:val="Hyperlink"/>
            <w:rFonts w:asciiTheme="minorHAnsi" w:hAnsiTheme="minorHAnsi" w:cstheme="minorHAnsi"/>
            <w:i/>
            <w:iCs/>
            <w:sz w:val="16"/>
            <w:szCs w:val="16"/>
          </w:rPr>
          <w:t>State ex rel. Musial v. N. Olmsted</w:t>
        </w:r>
      </w:hyperlink>
      <w:r w:rsidRPr="00A03E56">
        <w:rPr>
          <w:rFonts w:asciiTheme="minorHAnsi" w:hAnsiTheme="minorHAnsi" w:cstheme="minorHAnsi"/>
          <w:sz w:val="16"/>
          <w:szCs w:val="16"/>
        </w:rPr>
        <w:t>, 106 Ohio St.3d 459, 2005-Ohio-5521, ¶ 21-29.</w:t>
      </w:r>
    </w:p>
  </w:endnote>
  <w:endnote w:id="511">
    <w:p w14:paraId="2C07C13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3" w:history="1">
        <w:r w:rsidRPr="00A03E56">
          <w:rPr>
            <w:rStyle w:val="Hyperlink"/>
            <w:rFonts w:asciiTheme="minorHAnsi" w:hAnsiTheme="minorHAnsi" w:cstheme="minorHAnsi"/>
            <w:sz w:val="16"/>
            <w:szCs w:val="16"/>
          </w:rPr>
          <w:t>R.C. 149.43(A)(2)(b)</w:t>
        </w:r>
      </w:hyperlink>
      <w:r w:rsidRPr="00A03E56">
        <w:rPr>
          <w:rFonts w:asciiTheme="minorHAnsi" w:hAnsiTheme="minorHAnsi" w:cstheme="minorHAnsi"/>
          <w:sz w:val="16"/>
          <w:szCs w:val="16"/>
        </w:rPr>
        <w:t>.</w:t>
      </w:r>
    </w:p>
  </w:endnote>
  <w:endnote w:id="512">
    <w:p w14:paraId="408C0B1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r w:rsidRPr="00A03E56">
        <w:rPr>
          <w:rFonts w:asciiTheme="minorHAnsi" w:hAnsiTheme="minorHAnsi" w:cstheme="minorHAnsi"/>
          <w:i/>
          <w:sz w:val="16"/>
          <w:szCs w:val="16"/>
        </w:rPr>
        <w:t>Telb</w:t>
      </w:r>
      <w:r w:rsidRPr="00A03E56">
        <w:rPr>
          <w:rFonts w:asciiTheme="minorHAnsi" w:hAnsiTheme="minorHAnsi" w:cstheme="minorHAnsi"/>
          <w:sz w:val="16"/>
          <w:szCs w:val="16"/>
        </w:rPr>
        <w:t>, 50 Ohio Misc.2d 1, 9, 552 N.E.2d 243 (C.P. 1990).</w:t>
      </w:r>
    </w:p>
  </w:endnote>
  <w:endnote w:id="513">
    <w:p w14:paraId="579215FF" w14:textId="32E14502"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r w:rsidRPr="00A03E56">
        <w:rPr>
          <w:rFonts w:asciiTheme="minorHAnsi" w:hAnsiTheme="minorHAnsi" w:cstheme="minorHAnsi"/>
          <w:i/>
          <w:sz w:val="16"/>
          <w:szCs w:val="16"/>
        </w:rPr>
        <w:t>Telb</w:t>
      </w:r>
      <w:r w:rsidRPr="00A03E56">
        <w:rPr>
          <w:rFonts w:asciiTheme="minorHAnsi" w:hAnsiTheme="minorHAnsi" w:cstheme="minorHAnsi"/>
          <w:sz w:val="16"/>
          <w:szCs w:val="16"/>
        </w:rPr>
        <w:t xml:space="preserve">, 50 Ohio Misc.2d 1, 9, 552 N.E.2d 243 (C.P. 1990); </w:t>
      </w:r>
      <w:r w:rsidRPr="00A03E56">
        <w:rPr>
          <w:rFonts w:asciiTheme="minorHAnsi" w:hAnsiTheme="minorHAnsi" w:cstheme="minorHAnsi"/>
          <w:i/>
          <w:sz w:val="16"/>
          <w:szCs w:val="16"/>
        </w:rPr>
        <w:t xml:space="preserve">see also </w:t>
      </w:r>
      <w:hyperlink r:id="rId704" w:history="1">
        <w:r w:rsidRPr="000B4883">
          <w:rPr>
            <w:rStyle w:val="Hyperlink"/>
            <w:rFonts w:asciiTheme="minorHAnsi" w:hAnsiTheme="minorHAnsi" w:cstheme="minorHAnsi"/>
            <w:i/>
            <w:iCs/>
            <w:sz w:val="16"/>
            <w:szCs w:val="16"/>
          </w:rPr>
          <w:t>State ex rel. Martin v. Cleveland</w:t>
        </w:r>
      </w:hyperlink>
      <w:r w:rsidRPr="00A03E56">
        <w:rPr>
          <w:rFonts w:asciiTheme="minorHAnsi" w:hAnsiTheme="minorHAnsi" w:cstheme="minorHAnsi"/>
          <w:sz w:val="16"/>
          <w:szCs w:val="16"/>
        </w:rPr>
        <w:t>, 67 Ohio St.3d 155, 156-57 (1993) (to trigger exemption a promise of confidentiality or a threat to physical safety need not be within the “four corners” of a document).</w:t>
      </w:r>
    </w:p>
  </w:endnote>
  <w:endnote w:id="514">
    <w:p w14:paraId="1A62AAA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r w:rsidRPr="00A03E56">
        <w:rPr>
          <w:rFonts w:asciiTheme="minorHAnsi" w:hAnsiTheme="minorHAnsi" w:cstheme="minorHAnsi"/>
          <w:i/>
          <w:sz w:val="16"/>
          <w:szCs w:val="16"/>
        </w:rPr>
        <w:t>Telb</w:t>
      </w:r>
      <w:r w:rsidRPr="00A03E56">
        <w:rPr>
          <w:rFonts w:asciiTheme="minorHAnsi" w:hAnsiTheme="minorHAnsi" w:cstheme="minorHAnsi"/>
          <w:sz w:val="16"/>
          <w:szCs w:val="16"/>
        </w:rPr>
        <w:t>, 50 Ohio Misc.2d 1, 8-9, 552 N.E.2d 243 (C.P. 1990).</w:t>
      </w:r>
    </w:p>
  </w:endnote>
  <w:endnote w:id="515">
    <w:p w14:paraId="5639D2C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Toledo Blade Co. v. </w:t>
      </w:r>
      <w:r w:rsidRPr="00A03E56">
        <w:rPr>
          <w:rFonts w:asciiTheme="minorHAnsi" w:hAnsiTheme="minorHAnsi" w:cstheme="minorHAnsi"/>
          <w:i/>
          <w:sz w:val="16"/>
          <w:szCs w:val="16"/>
        </w:rPr>
        <w:t>Telb</w:t>
      </w:r>
      <w:r w:rsidRPr="00A03E56">
        <w:rPr>
          <w:rFonts w:asciiTheme="minorHAnsi" w:hAnsiTheme="minorHAnsi" w:cstheme="minorHAnsi"/>
          <w:sz w:val="16"/>
          <w:szCs w:val="16"/>
        </w:rPr>
        <w:t>, 50 Ohio Misc.2d 1, 9, 552 N.E.2d 243 (C.P. 1990).</w:t>
      </w:r>
    </w:p>
  </w:endnote>
  <w:endnote w:id="516">
    <w:p w14:paraId="0357539E" w14:textId="114EB3C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Beacon Journal Publishing Co. v. Kent State Univ.</w:t>
      </w:r>
      <w:r w:rsidRPr="00A03E56">
        <w:rPr>
          <w:rFonts w:asciiTheme="minorHAnsi" w:hAnsiTheme="minorHAnsi" w:cstheme="minorHAnsi"/>
          <w:sz w:val="16"/>
          <w:szCs w:val="16"/>
        </w:rPr>
        <w:t xml:space="preserve">, 68 Ohio St.3d 40, 44 (1993), </w:t>
      </w:r>
      <w:r w:rsidRPr="00A03E56">
        <w:rPr>
          <w:rFonts w:asciiTheme="minorHAnsi" w:hAnsiTheme="minorHAnsi" w:cstheme="minorHAnsi"/>
          <w:i/>
          <w:sz w:val="16"/>
          <w:szCs w:val="16"/>
        </w:rPr>
        <w:t xml:space="preserve">overruled on other grounds, </w:t>
      </w:r>
      <w:r w:rsidRPr="00A03E56">
        <w:rPr>
          <w:rFonts w:asciiTheme="minorHAnsi" w:hAnsiTheme="minorHAnsi" w:cstheme="minorHAnsi"/>
          <w:sz w:val="16"/>
          <w:szCs w:val="16"/>
        </w:rPr>
        <w:t xml:space="preserve">70 Ohio St.3d 420 (1994); </w:t>
      </w:r>
      <w:r w:rsidRPr="00A03E56">
        <w:rPr>
          <w:rFonts w:asciiTheme="minorHAnsi" w:hAnsiTheme="minorHAnsi" w:cstheme="minorHAnsi"/>
          <w:i/>
          <w:sz w:val="16"/>
          <w:szCs w:val="16"/>
        </w:rPr>
        <w:t>State ex rel. Strothers v. McFaul</w:t>
      </w:r>
      <w:r w:rsidRPr="00A03E56">
        <w:rPr>
          <w:rFonts w:asciiTheme="minorHAnsi" w:hAnsiTheme="minorHAnsi" w:cstheme="minorHAnsi"/>
          <w:sz w:val="16"/>
          <w:szCs w:val="16"/>
        </w:rPr>
        <w:t>, 122 Ohio App.3d 327, 332 (8th Dist.1997).</w:t>
      </w:r>
    </w:p>
  </w:endnote>
  <w:endnote w:id="517">
    <w:p w14:paraId="482F8088"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Walker v. Balraj</w:t>
      </w:r>
      <w:r w:rsidRPr="00A03E56">
        <w:rPr>
          <w:rFonts w:asciiTheme="minorHAnsi" w:hAnsiTheme="minorHAnsi" w:cstheme="minorHAnsi"/>
          <w:sz w:val="16"/>
          <w:szCs w:val="16"/>
        </w:rPr>
        <w:t>, 8th Dist. Cuyahoga No. 77967, 2000 Ohio App. LEXIS 3620 (Aug. 2, 2000) (results of “trace metal test” are exempt as specific investigatory work product).</w:t>
      </w:r>
    </w:p>
  </w:endnote>
  <w:endnote w:id="518">
    <w:p w14:paraId="6162BAB8" w14:textId="2E2EB0B4"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Dayton Newspapers, Inc. v. Rauch</w:t>
      </w:r>
      <w:r w:rsidRPr="00A03E56">
        <w:rPr>
          <w:rFonts w:asciiTheme="minorHAnsi" w:hAnsiTheme="minorHAnsi" w:cstheme="minorHAnsi"/>
          <w:sz w:val="16"/>
          <w:szCs w:val="16"/>
        </w:rPr>
        <w:t xml:space="preserve">, 12 Ohio St.3d 100, 100-01 (1984) (an autopsy report may be exempt as a specific investigatory technique or work product), </w:t>
      </w:r>
      <w:r w:rsidRPr="00A03E56">
        <w:rPr>
          <w:rFonts w:asciiTheme="minorHAnsi" w:hAnsiTheme="minorHAnsi" w:cstheme="minorHAnsi"/>
          <w:i/>
          <w:sz w:val="16"/>
          <w:szCs w:val="16"/>
        </w:rPr>
        <w:t>as modified by</w:t>
      </w:r>
      <w:r w:rsidRPr="00A03E56">
        <w:rPr>
          <w:rFonts w:asciiTheme="minorHAnsi" w:hAnsiTheme="minorHAnsi" w:cstheme="minorHAnsi"/>
          <w:sz w:val="16"/>
          <w:szCs w:val="16"/>
        </w:rPr>
        <w:t xml:space="preserve"> </w:t>
      </w:r>
      <w:hyperlink r:id="rId705" w:history="1">
        <w:r w:rsidRPr="00A03E56">
          <w:rPr>
            <w:rStyle w:val="Hyperlink"/>
            <w:rFonts w:asciiTheme="minorHAnsi" w:hAnsiTheme="minorHAnsi" w:cstheme="minorHAnsi"/>
            <w:sz w:val="16"/>
            <w:szCs w:val="16"/>
          </w:rPr>
          <w:t>R.C. 313.10</w:t>
        </w:r>
      </w:hyperlink>
      <w:r w:rsidRPr="00A03E56">
        <w:rPr>
          <w:rFonts w:asciiTheme="minorHAnsi" w:hAnsiTheme="minorHAnsi" w:cstheme="minorHAnsi"/>
          <w:sz w:val="16"/>
          <w:szCs w:val="16"/>
        </w:rPr>
        <w:t>.</w:t>
      </w:r>
    </w:p>
  </w:endnote>
  <w:endnote w:id="519">
    <w:p w14:paraId="23A2127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Broom v. Cleveland</w:t>
      </w:r>
      <w:r w:rsidRPr="00A03E56">
        <w:rPr>
          <w:rFonts w:asciiTheme="minorHAnsi" w:hAnsiTheme="minorHAnsi" w:cstheme="minorHAnsi"/>
          <w:sz w:val="16"/>
          <w:szCs w:val="16"/>
        </w:rPr>
        <w:t xml:space="preserve">, 8th Dist. Cuyahoga No. 59571, 1992 Ohio App. LEXIS 4548 (Aug. 27, 1992) (city properly redacted portions of records that “mention confidential investigatory techniques, the effectiveness of which could be compromised by disclosure,” to ensure “continued effectiveness of these techniques”); </w:t>
      </w:r>
      <w:hyperlink r:id="rId706" w:history="1">
        <w:r w:rsidRPr="00A03E56">
          <w:rPr>
            <w:rStyle w:val="Hyperlink"/>
            <w:rFonts w:asciiTheme="minorHAnsi" w:hAnsiTheme="minorHAnsi" w:cstheme="minorHAnsi"/>
            <w:i/>
            <w:iCs/>
            <w:sz w:val="16"/>
            <w:szCs w:val="16"/>
          </w:rPr>
          <w:t>State ex rel. Toledo Blade Co. v. Toledo</w:t>
        </w:r>
      </w:hyperlink>
      <w:r w:rsidRPr="00A03E56">
        <w:rPr>
          <w:rFonts w:asciiTheme="minorHAnsi" w:hAnsiTheme="minorHAnsi" w:cstheme="minorHAnsi"/>
          <w:sz w:val="16"/>
          <w:szCs w:val="16"/>
        </w:rPr>
        <w:t>, 6th Dist. Lucas No. L-12-1183, 2013-Ohio-3094, ¶ 10 (release of a gang territory map created by police department would not reveal any specific confidential investigatory technique, procedure, source of information, or location being surveilled).</w:t>
      </w:r>
    </w:p>
  </w:endnote>
  <w:endnote w:id="520">
    <w:p w14:paraId="1BAB2F1B" w14:textId="0AAA439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bookmarkStart w:id="454" w:name="_Hlk158905382"/>
      <w:r w:rsidRPr="00A03E56">
        <w:fldChar w:fldCharType="begin"/>
      </w:r>
      <w:r w:rsidRPr="00A03E56">
        <w:rPr>
          <w:rFonts w:asciiTheme="minorHAnsi" w:hAnsiTheme="minorHAnsi" w:cstheme="minorHAnsi"/>
          <w:i/>
          <w:iCs/>
          <w:sz w:val="16"/>
          <w:szCs w:val="16"/>
        </w:rPr>
        <w:instrText>HYPERLINK "https://www.supremecourt.ohio.gov/rod/docs/pdf/0/2020/2020-ohio-5585.pdf"</w:instrText>
      </w:r>
      <w:r w:rsidRPr="00A03E56">
        <w:fldChar w:fldCharType="separate"/>
      </w:r>
      <w:r w:rsidRPr="00A03E56">
        <w:rPr>
          <w:rStyle w:val="Hyperlink"/>
          <w:rFonts w:asciiTheme="minorHAnsi" w:hAnsiTheme="minorHAnsi" w:cstheme="minorHAnsi"/>
          <w:i/>
          <w:iCs/>
          <w:sz w:val="16"/>
          <w:szCs w:val="16"/>
        </w:rPr>
        <w:t>State ex rel. Summers v. Fox</w:t>
      </w:r>
      <w:r w:rsidRPr="00A03E56">
        <w:rPr>
          <w:rStyle w:val="Hyperlink"/>
          <w:rFonts w:asciiTheme="minorHAnsi" w:hAnsiTheme="minorHAnsi" w:cstheme="minorHAnsi"/>
          <w:i/>
          <w:iCs/>
          <w:sz w:val="16"/>
          <w:szCs w:val="16"/>
        </w:rPr>
        <w:fldChar w:fldCharType="end"/>
      </w:r>
      <w:bookmarkEnd w:id="454"/>
      <w:r w:rsidRPr="00A03E56">
        <w:rPr>
          <w:rFonts w:asciiTheme="minorHAnsi" w:hAnsiTheme="minorHAnsi" w:cstheme="minorHAnsi"/>
          <w:sz w:val="16"/>
          <w:szCs w:val="16"/>
        </w:rPr>
        <w:t>, 163 Ohio St.3d 217, 2020-Ohio-5585, ¶ 44 (law enforcement interviews of assault victims not exempt under CLEIRs as specific investigatory techniques or procedures)</w:t>
      </w:r>
      <w:r w:rsidR="00783093">
        <w:rPr>
          <w:rFonts w:asciiTheme="minorHAnsi" w:hAnsiTheme="minorHAnsi" w:cstheme="minorHAnsi"/>
          <w:sz w:val="16"/>
          <w:szCs w:val="16"/>
        </w:rPr>
        <w:t>.</w:t>
      </w:r>
    </w:p>
  </w:endnote>
  <w:endnote w:id="521">
    <w:p w14:paraId="113AEA6A"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7" w:history="1">
        <w:r w:rsidRPr="00A03E56">
          <w:rPr>
            <w:rStyle w:val="Hyperlink"/>
            <w:rFonts w:asciiTheme="minorHAnsi" w:hAnsiTheme="minorHAnsi" w:cstheme="minorHAnsi"/>
            <w:i/>
            <w:iCs/>
            <w:sz w:val="16"/>
            <w:szCs w:val="16"/>
          </w:rPr>
          <w:t>State ex rel. Toledo Blade Co. v. Toledo</w:t>
        </w:r>
      </w:hyperlink>
      <w:r w:rsidRPr="00A03E56">
        <w:rPr>
          <w:rFonts w:asciiTheme="minorHAnsi" w:hAnsiTheme="minorHAnsi" w:cstheme="minorHAnsi"/>
          <w:sz w:val="16"/>
          <w:szCs w:val="16"/>
        </w:rPr>
        <w:t>, 6th Dist. Lucas No. L-12-1183, 2013-Ohio-3094, ¶ 10 (release of a gang territory map created by police department would not reveal any specific confidential investigatory technique, procedure, source of information, or location being surveilled).</w:t>
      </w:r>
    </w:p>
  </w:endnote>
  <w:endnote w:id="522">
    <w:p w14:paraId="1C3FA28D"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8" w:history="1">
        <w:r w:rsidRPr="00A03E56">
          <w:rPr>
            <w:rStyle w:val="Hyperlink"/>
            <w:rFonts w:asciiTheme="minorHAnsi" w:hAnsiTheme="minorHAnsi" w:cstheme="minorHAnsi"/>
            <w:sz w:val="16"/>
            <w:szCs w:val="16"/>
          </w:rPr>
          <w:t>R.C. 149.43(A)(2)(c)</w:t>
        </w:r>
      </w:hyperlink>
      <w:r w:rsidRPr="00A03E56">
        <w:rPr>
          <w:rFonts w:asciiTheme="minorHAnsi" w:hAnsiTheme="minorHAnsi" w:cstheme="minorHAnsi"/>
          <w:sz w:val="16"/>
          <w:szCs w:val="16"/>
        </w:rPr>
        <w:t>.</w:t>
      </w:r>
    </w:p>
  </w:endnote>
  <w:endnote w:id="523">
    <w:p w14:paraId="504BBDFC" w14:textId="1034B42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09"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32.</w:t>
      </w:r>
    </w:p>
  </w:endnote>
  <w:endnote w:id="524">
    <w:p w14:paraId="04C44052" w14:textId="066D444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0" w:history="1">
        <w:r w:rsidRPr="00A03E56">
          <w:rPr>
            <w:rStyle w:val="Hyperlink"/>
            <w:rFonts w:asciiTheme="minorHAnsi" w:hAnsiTheme="minorHAnsi" w:cstheme="minorHAnsi"/>
            <w:i/>
            <w:iCs/>
            <w:sz w:val="16"/>
            <w:szCs w:val="16"/>
          </w:rPr>
          <w:t>State ex rel. Cincinnati Enquirer v. Ohio Dept. of Public Safety</w:t>
        </w:r>
      </w:hyperlink>
      <w:r w:rsidRPr="00A03E56">
        <w:rPr>
          <w:rFonts w:asciiTheme="minorHAnsi" w:hAnsiTheme="minorHAnsi" w:cstheme="minorHAnsi"/>
          <w:sz w:val="16"/>
          <w:szCs w:val="16"/>
        </w:rPr>
        <w:t>, 148 Ohio St.3d 433, 2016-Ohio-7987, ¶ 45-50.</w:t>
      </w:r>
    </w:p>
  </w:endnote>
  <w:endnote w:id="525">
    <w:p w14:paraId="77E4401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1" w:history="1">
        <w:r w:rsidRPr="00A03E56">
          <w:rPr>
            <w:rStyle w:val="Hyperlink"/>
            <w:rFonts w:asciiTheme="minorHAnsi" w:hAnsiTheme="minorHAnsi" w:cstheme="minorHAnsi"/>
            <w:i/>
            <w:iCs/>
            <w:sz w:val="16"/>
            <w:szCs w:val="16"/>
          </w:rPr>
          <w:t>State ex rel. Community Journal v. Reed</w:t>
        </w:r>
      </w:hyperlink>
      <w:r w:rsidRPr="00A03E56">
        <w:rPr>
          <w:rFonts w:asciiTheme="minorHAnsi" w:hAnsiTheme="minorHAnsi" w:cstheme="minorHAnsi"/>
          <w:sz w:val="16"/>
          <w:szCs w:val="16"/>
        </w:rPr>
        <w:t>, 12th Dist. Clermont No. CA2014-01-010, 2014-Ohio-5745, ¶ 35-42 (copies of public records documenting the activities of a victim agency, when compiled and assembled by a separate investigating agency, were “specific investigative work product” in the hands of the investigating agency).</w:t>
      </w:r>
    </w:p>
  </w:endnote>
  <w:endnote w:id="526">
    <w:p w14:paraId="0A7C6677" w14:textId="071F21A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2" w:history="1">
        <w:r w:rsidRPr="00A03E56">
          <w:rPr>
            <w:rStyle w:val="Hyperlink"/>
            <w:rFonts w:asciiTheme="minorHAnsi" w:hAnsiTheme="minorHAnsi" w:cstheme="minorHAnsi"/>
            <w:i/>
            <w:iCs/>
            <w:sz w:val="16"/>
            <w:szCs w:val="16"/>
          </w:rPr>
          <w:t>State ex rel. Mahajan v. State Med. Bd. of Ohio</w:t>
        </w:r>
      </w:hyperlink>
      <w:r w:rsidRPr="00A03E56">
        <w:rPr>
          <w:rFonts w:asciiTheme="minorHAnsi" w:hAnsiTheme="minorHAnsi" w:cstheme="minorHAnsi"/>
          <w:sz w:val="16"/>
          <w:szCs w:val="16"/>
        </w:rPr>
        <w:t>, 127 Ohio St.3d 497, 2010-Ohio-5995, ¶ 51-52 (regarding investigatory work product incidentally contained in chief enforcement attorney’s general personnel file).</w:t>
      </w:r>
    </w:p>
  </w:endnote>
  <w:endnote w:id="527">
    <w:p w14:paraId="6173931C" w14:textId="6736159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13" w:history="1">
        <w:r w:rsidRPr="00A03E56">
          <w:rPr>
            <w:rStyle w:val="Hyperlink"/>
            <w:rFonts w:asciiTheme="minorHAnsi" w:hAnsiTheme="minorHAnsi" w:cstheme="minorHAnsi"/>
            <w:i/>
            <w:iCs/>
            <w:sz w:val="16"/>
            <w:szCs w:val="16"/>
          </w:rPr>
          <w:t xml:space="preserve">State ex rel. </w:t>
        </w:r>
        <w:r w:rsidRPr="00A03E56">
          <w:rPr>
            <w:rStyle w:val="Hyperlink"/>
            <w:rFonts w:asciiTheme="minorHAnsi" w:hAnsiTheme="minorHAnsi" w:cstheme="minorHAnsi"/>
            <w:i/>
            <w:iCs/>
            <w:sz w:val="16"/>
            <w:szCs w:val="16"/>
          </w:rPr>
          <w:t>Summers v. Fox</w:t>
        </w:r>
      </w:hyperlink>
      <w:r w:rsidRPr="00A03E56">
        <w:rPr>
          <w:rFonts w:asciiTheme="minorHAnsi" w:hAnsiTheme="minorHAnsi" w:cstheme="minorHAnsi"/>
          <w:sz w:val="16"/>
          <w:szCs w:val="16"/>
        </w:rPr>
        <w:t>, 163 Ohio St.3d 217, 2020-Ohio-5585, ¶ 55.</w:t>
      </w:r>
    </w:p>
  </w:endnote>
  <w:endnote w:id="528">
    <w:p w14:paraId="29DF75A3" w14:textId="7262B19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4" w:history="1">
        <w:r w:rsidRPr="00A03E56">
          <w:rPr>
            <w:rStyle w:val="Hyperlink"/>
            <w:rFonts w:asciiTheme="minorHAnsi" w:hAnsiTheme="minorHAnsi" w:cstheme="minorHAnsi"/>
            <w:i/>
            <w:iCs/>
            <w:sz w:val="16"/>
            <w:szCs w:val="16"/>
          </w:rPr>
          <w:t>State ex rel. WHIO-TV-7 v. Lowe</w:t>
        </w:r>
      </w:hyperlink>
      <w:r w:rsidRPr="00A03E56">
        <w:rPr>
          <w:rFonts w:asciiTheme="minorHAnsi" w:hAnsiTheme="minorHAnsi" w:cstheme="minorHAnsi"/>
          <w:sz w:val="16"/>
          <w:szCs w:val="16"/>
        </w:rPr>
        <w:t>, 77 Ohio St.3d 350, 355, (1997).</w:t>
      </w:r>
    </w:p>
  </w:endnote>
  <w:endnote w:id="529">
    <w:p w14:paraId="7CB0A73B" w14:textId="3E2B1532"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5" w:history="1">
        <w:r w:rsidRPr="00A03E56">
          <w:rPr>
            <w:rStyle w:val="Hyperlink"/>
            <w:rFonts w:asciiTheme="minorHAnsi" w:hAnsiTheme="minorHAnsi" w:cstheme="minorHAnsi"/>
            <w:i/>
            <w:iCs/>
            <w:sz w:val="16"/>
            <w:szCs w:val="16"/>
          </w:rPr>
          <w:t>State ex rel. Ohio Patrolmen’s Benevolent Assn. v. Mentor</w:t>
        </w:r>
      </w:hyperlink>
      <w:r w:rsidRPr="00A03E56">
        <w:rPr>
          <w:rFonts w:asciiTheme="minorHAnsi" w:hAnsiTheme="minorHAnsi" w:cstheme="minorHAnsi"/>
          <w:sz w:val="16"/>
          <w:szCs w:val="16"/>
        </w:rPr>
        <w:t>, 89 Ohio St.3d 440, 448 (2000).</w:t>
      </w:r>
    </w:p>
  </w:endnote>
  <w:endnote w:id="530">
    <w:p w14:paraId="200C8B68" w14:textId="43FD2B16" w:rsidR="00E2327A" w:rsidRPr="00A03E56" w:rsidRDefault="00E2327A" w:rsidP="00A03E56">
      <w:pPr>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6" w:history="1">
        <w:r w:rsidRPr="00A03E56">
          <w:rPr>
            <w:rStyle w:val="Hyperlink"/>
            <w:rFonts w:asciiTheme="minorHAnsi" w:hAnsiTheme="minorHAnsi" w:cstheme="minorHAnsi"/>
            <w:i/>
            <w:iCs/>
            <w:sz w:val="16"/>
            <w:szCs w:val="16"/>
          </w:rPr>
          <w:t>State ex rel. WLWT-TV5 v. Leis</w:t>
        </w:r>
      </w:hyperlink>
      <w:r w:rsidRPr="00A03E56">
        <w:rPr>
          <w:rFonts w:asciiTheme="minorHAnsi" w:hAnsiTheme="minorHAnsi" w:cstheme="minorHAnsi"/>
          <w:sz w:val="16"/>
          <w:szCs w:val="16"/>
        </w:rPr>
        <w:t xml:space="preserve">, 77 Ohio St.3d 357, 361 (1997), </w:t>
      </w:r>
      <w:r w:rsidRPr="00A03E56">
        <w:rPr>
          <w:rFonts w:asciiTheme="minorHAnsi" w:hAnsiTheme="minorHAnsi" w:cstheme="minorHAnsi"/>
          <w:i/>
          <w:iCs/>
          <w:sz w:val="16"/>
          <w:szCs w:val="16"/>
        </w:rPr>
        <w:t>overruled on other grounds</w:t>
      </w:r>
      <w:r w:rsidRPr="00A03E56">
        <w:rPr>
          <w:rFonts w:asciiTheme="minorHAnsi" w:hAnsiTheme="minorHAnsi" w:cstheme="minorHAnsi"/>
          <w:sz w:val="16"/>
          <w:szCs w:val="16"/>
        </w:rPr>
        <w:t xml:space="preserve">, </w:t>
      </w:r>
      <w:hyperlink r:id="rId717" w:history="1">
        <w:r w:rsidRPr="00A03E56">
          <w:rPr>
            <w:rStyle w:val="Hyperlink"/>
            <w:rFonts w:asciiTheme="minorHAnsi" w:hAnsiTheme="minorHAnsi" w:cstheme="minorHAnsi"/>
            <w:i/>
            <w:iCs/>
            <w:sz w:val="16"/>
            <w:szCs w:val="16"/>
          </w:rPr>
          <w:t>State ex rel. Caster v. Columbus</w:t>
        </w:r>
      </w:hyperlink>
      <w:r w:rsidRPr="00A03E56">
        <w:rPr>
          <w:rFonts w:asciiTheme="minorHAnsi" w:hAnsiTheme="minorHAnsi" w:cstheme="minorHAnsi"/>
          <w:sz w:val="16"/>
          <w:szCs w:val="16"/>
        </w:rPr>
        <w:t>, 151 Ohio St.3d 425, 2016-Ohio-8394, ¶ 47.</w:t>
      </w:r>
    </w:p>
  </w:endnote>
  <w:endnote w:id="531">
    <w:p w14:paraId="1C4CC9C2" w14:textId="40D674D9"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18" w:history="1">
        <w:r w:rsidRPr="00A03E56">
          <w:rPr>
            <w:rStyle w:val="Hyperlink"/>
            <w:rFonts w:asciiTheme="minorHAnsi" w:hAnsiTheme="minorHAnsi" w:cstheme="minorHAnsi"/>
            <w:i/>
            <w:iCs/>
            <w:sz w:val="16"/>
            <w:szCs w:val="16"/>
          </w:rPr>
          <w:t>State ex rel. Lanham v. Smith</w:t>
        </w:r>
      </w:hyperlink>
      <w:r w:rsidRPr="00A03E56">
        <w:rPr>
          <w:rFonts w:asciiTheme="minorHAnsi" w:hAnsiTheme="minorHAnsi" w:cstheme="minorHAnsi"/>
          <w:sz w:val="16"/>
          <w:szCs w:val="16"/>
        </w:rPr>
        <w:t>, 112 Ohio St.3d 527, 2007-Ohio-609, ¶ 13, citing</w:t>
      </w:r>
      <w:r w:rsidRPr="00A03E56">
        <w:rPr>
          <w:rFonts w:asciiTheme="minorHAnsi" w:hAnsiTheme="minorHAnsi" w:cstheme="minorHAnsi"/>
          <w:i/>
          <w:iCs/>
          <w:sz w:val="16"/>
          <w:szCs w:val="16"/>
        </w:rPr>
        <w:t xml:space="preserve"> </w:t>
      </w:r>
      <w:hyperlink r:id="rId719" w:history="1">
        <w:r w:rsidRPr="00A03E56">
          <w:rPr>
            <w:rStyle w:val="Hyperlink"/>
            <w:rFonts w:asciiTheme="minorHAnsi" w:hAnsiTheme="minorHAnsi" w:cstheme="minorHAnsi"/>
            <w:i/>
            <w:iCs/>
            <w:sz w:val="16"/>
            <w:szCs w:val="16"/>
          </w:rPr>
          <w:t>State ex rel. Beacon Journal Publishing Co. v. Maurer</w:t>
        </w:r>
      </w:hyperlink>
      <w:r w:rsidRPr="00A03E56">
        <w:rPr>
          <w:rFonts w:asciiTheme="minorHAnsi" w:hAnsiTheme="minorHAnsi" w:cstheme="minorHAnsi"/>
          <w:i/>
          <w:sz w:val="16"/>
          <w:szCs w:val="16"/>
        </w:rPr>
        <w:t>,</w:t>
      </w:r>
      <w:r w:rsidRPr="00A03E56">
        <w:rPr>
          <w:rFonts w:asciiTheme="minorHAnsi" w:hAnsiTheme="minorHAnsi" w:cstheme="minorHAnsi"/>
          <w:sz w:val="16"/>
          <w:szCs w:val="16"/>
        </w:rPr>
        <w:t xml:space="preserve"> 91 Ohio St.3d 54 (2001) (referring to an “Ohio Uniform Incident Form”).</w:t>
      </w:r>
    </w:p>
  </w:endnote>
  <w:endnote w:id="532">
    <w:p w14:paraId="48E4DB10" w14:textId="4F42104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0"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40.</w:t>
      </w:r>
    </w:p>
  </w:endnote>
  <w:endnote w:id="533">
    <w:p w14:paraId="0EB4C883" w14:textId="59F417C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1"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44.</w:t>
      </w:r>
    </w:p>
  </w:endnote>
  <w:endnote w:id="534">
    <w:p w14:paraId="487CF8F2" w14:textId="318BF65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2"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St.3d 536, 2022-Ohio-1915, ¶ 44-45.</w:t>
      </w:r>
    </w:p>
  </w:endnote>
  <w:endnote w:id="535">
    <w:p w14:paraId="7D672DF5" w14:textId="03182FD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3" w:history="1">
        <w:r w:rsidRPr="00A03E56">
          <w:rPr>
            <w:rStyle w:val="Hyperlink"/>
            <w:rFonts w:asciiTheme="minorHAnsi" w:hAnsiTheme="minorHAnsi" w:cstheme="minorHAnsi"/>
            <w:i/>
            <w:iCs/>
            <w:sz w:val="16"/>
            <w:szCs w:val="16"/>
          </w:rPr>
          <w:t>State ex rel. Caster v. Columbus</w:t>
        </w:r>
      </w:hyperlink>
      <w:r w:rsidRPr="00A03E56">
        <w:rPr>
          <w:rFonts w:asciiTheme="minorHAnsi" w:hAnsiTheme="minorHAnsi" w:cstheme="minorHAnsi"/>
          <w:sz w:val="16"/>
          <w:szCs w:val="16"/>
        </w:rPr>
        <w:t>, 151 Ohio St.3d 425, 2016-Ohio-8394, ¶ 47.</w:t>
      </w:r>
    </w:p>
  </w:endnote>
  <w:endnote w:id="536">
    <w:p w14:paraId="7A5B0C3B" w14:textId="466206D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4" w:history="1">
        <w:r w:rsidRPr="00A03E56">
          <w:rPr>
            <w:rStyle w:val="Hyperlink"/>
            <w:rFonts w:asciiTheme="minorHAnsi" w:hAnsiTheme="minorHAnsi" w:cstheme="minorHAnsi"/>
            <w:i/>
            <w:iCs/>
            <w:sz w:val="16"/>
            <w:szCs w:val="16"/>
          </w:rPr>
          <w:t>State ex rel. Musial v. City of N. Olmsted</w:t>
        </w:r>
      </w:hyperlink>
      <w:r w:rsidRPr="00A03E56">
        <w:rPr>
          <w:rFonts w:asciiTheme="minorHAnsi" w:hAnsiTheme="minorHAnsi" w:cstheme="minorHAnsi"/>
          <w:sz w:val="16"/>
          <w:szCs w:val="16"/>
        </w:rPr>
        <w:t>, 106 Ohio St.3d 459, 2005-Ohio-5521, ¶ 26-28.</w:t>
      </w:r>
    </w:p>
  </w:endnote>
  <w:endnote w:id="537">
    <w:p w14:paraId="11F139EF" w14:textId="375C08EF"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w:t>
      </w:r>
      <w:r w:rsidRPr="00A03E56">
        <w:rPr>
          <w:rFonts w:asciiTheme="minorHAnsi" w:hAnsiTheme="minorHAnsi" w:cstheme="minorHAnsi"/>
          <w:i/>
          <w:sz w:val="16"/>
          <w:szCs w:val="16"/>
        </w:rPr>
        <w:t>Polovischak v. Mayfield</w:t>
      </w:r>
      <w:r w:rsidRPr="00A03E56">
        <w:rPr>
          <w:rFonts w:asciiTheme="minorHAnsi" w:hAnsiTheme="minorHAnsi" w:cstheme="minorHAnsi"/>
          <w:sz w:val="16"/>
          <w:szCs w:val="16"/>
        </w:rPr>
        <w:t>, 50 Ohio St.3d 51, 54 (1990) (the purpose of the exemption is to protect a confidential informant, which would be subverted “simply because a period of time had elapsed with no enforcement action”).</w:t>
      </w:r>
    </w:p>
  </w:endnote>
  <w:endnote w:id="538">
    <w:p w14:paraId="6E483B1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Broom v. Cleveland</w:t>
      </w:r>
      <w:r w:rsidRPr="00A03E56">
        <w:rPr>
          <w:rFonts w:asciiTheme="minorHAnsi" w:hAnsiTheme="minorHAnsi" w:cstheme="minorHAnsi"/>
          <w:sz w:val="16"/>
          <w:szCs w:val="16"/>
        </w:rPr>
        <w:t>, 8th Dist. Cuyahoga No. 59571, 1992 Ohio App. LEXIS 4548, at *39 (Aug. 27, 1992).</w:t>
      </w:r>
    </w:p>
  </w:endnote>
  <w:endnote w:id="539">
    <w:p w14:paraId="64100D8A" w14:textId="4752AA44"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5" w:history="1">
        <w:r w:rsidRPr="00A03E56">
          <w:rPr>
            <w:rStyle w:val="Hyperlink"/>
            <w:rFonts w:asciiTheme="minorHAnsi" w:hAnsiTheme="minorHAnsi" w:cstheme="minorHAnsi"/>
            <w:i/>
            <w:iCs/>
            <w:sz w:val="16"/>
            <w:szCs w:val="16"/>
          </w:rPr>
          <w:t>State ex rel. Martin v. Cleveland</w:t>
        </w:r>
      </w:hyperlink>
      <w:r w:rsidRPr="00A03E56">
        <w:rPr>
          <w:rFonts w:asciiTheme="minorHAnsi" w:hAnsiTheme="minorHAnsi" w:cstheme="minorHAnsi"/>
          <w:sz w:val="16"/>
          <w:szCs w:val="16"/>
        </w:rPr>
        <w:t>, 67 Ohio St.3d 155 (1993).</w:t>
      </w:r>
    </w:p>
  </w:endnote>
  <w:endnote w:id="540">
    <w:p w14:paraId="56E450D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6" w:history="1">
        <w:r w:rsidRPr="00A03E56">
          <w:rPr>
            <w:rStyle w:val="Hyperlink"/>
            <w:rFonts w:asciiTheme="minorHAnsi" w:hAnsiTheme="minorHAnsi" w:cstheme="minorHAnsi"/>
            <w:sz w:val="16"/>
            <w:szCs w:val="16"/>
          </w:rPr>
          <w:t>R.C. 149.43(A)(2)(d)</w:t>
        </w:r>
      </w:hyperlink>
      <w:r w:rsidRPr="00A03E56">
        <w:rPr>
          <w:rFonts w:asciiTheme="minorHAnsi" w:hAnsiTheme="minorHAnsi" w:cstheme="minorHAnsi"/>
          <w:sz w:val="16"/>
          <w:szCs w:val="16"/>
        </w:rPr>
        <w:t>; S</w:t>
      </w:r>
      <w:r w:rsidRPr="00A03E56">
        <w:rPr>
          <w:rFonts w:asciiTheme="minorHAnsi" w:hAnsiTheme="minorHAnsi" w:cstheme="minorHAnsi"/>
          <w:i/>
          <w:sz w:val="16"/>
          <w:szCs w:val="16"/>
        </w:rPr>
        <w:t>tate ex rel. Cleveland Police Patrolmen’s Assn. v. Cleveland</w:t>
      </w:r>
      <w:r w:rsidRPr="00A03E56">
        <w:rPr>
          <w:rFonts w:asciiTheme="minorHAnsi" w:hAnsiTheme="minorHAnsi" w:cstheme="minorHAnsi"/>
          <w:sz w:val="16"/>
          <w:szCs w:val="16"/>
        </w:rPr>
        <w:t>, 122 Ohio App.3d 696, 701 (8th Dist. 1997) (a “strike plan” and related records prepared in connection with possible teachers’ strike were exempt because release could endanger lives of police personnel).</w:t>
      </w:r>
    </w:p>
  </w:endnote>
  <w:endnote w:id="541">
    <w:p w14:paraId="0FFEC6B7" w14:textId="256C450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7" w:history="1">
        <w:r w:rsidRPr="00A03E56">
          <w:rPr>
            <w:rStyle w:val="Hyperlink"/>
            <w:rFonts w:asciiTheme="minorHAnsi" w:hAnsiTheme="minorHAnsi" w:cstheme="minorHAnsi"/>
            <w:i/>
            <w:iCs/>
            <w:sz w:val="16"/>
            <w:szCs w:val="16"/>
          </w:rPr>
          <w:t>State ex rel. Martin v. Cleveland</w:t>
        </w:r>
      </w:hyperlink>
      <w:r w:rsidRPr="00A03E56">
        <w:rPr>
          <w:rFonts w:asciiTheme="minorHAnsi" w:hAnsiTheme="minorHAnsi" w:cstheme="minorHAnsi"/>
          <w:sz w:val="16"/>
          <w:szCs w:val="16"/>
        </w:rPr>
        <w:t>, 67 Ohio St.3d 155, 156 (1993) (a document does not need to specify within its four corners the promise of confidentiality or threat to physical safety).</w:t>
      </w:r>
    </w:p>
  </w:endnote>
  <w:endnote w:id="542">
    <w:p w14:paraId="3C1A1633" w14:textId="2DA9FF1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 State ex rel. Johnson v. Cleveland</w:t>
      </w:r>
      <w:r w:rsidRPr="00A03E56">
        <w:rPr>
          <w:rFonts w:asciiTheme="minorHAnsi" w:hAnsiTheme="minorHAnsi" w:cstheme="minorHAnsi"/>
          <w:sz w:val="16"/>
          <w:szCs w:val="16"/>
        </w:rPr>
        <w:t xml:space="preserve">, 65 Ohio St.3d 331, 333-34 (1992), </w:t>
      </w:r>
      <w:r w:rsidRPr="00A03E56">
        <w:rPr>
          <w:rFonts w:asciiTheme="minorHAnsi" w:hAnsiTheme="minorHAnsi" w:cstheme="minorHAnsi"/>
          <w:i/>
          <w:sz w:val="16"/>
          <w:szCs w:val="16"/>
        </w:rPr>
        <w:t xml:space="preserve">overruled on other grounds, State ex rel. </w:t>
      </w:r>
      <w:r w:rsidRPr="00A03E56">
        <w:rPr>
          <w:rFonts w:asciiTheme="minorHAnsi" w:hAnsiTheme="minorHAnsi" w:cstheme="minorHAnsi"/>
          <w:i/>
          <w:sz w:val="16"/>
          <w:szCs w:val="16"/>
        </w:rPr>
        <w:t xml:space="preserve">Steckman v. Jackson, </w:t>
      </w:r>
      <w:r w:rsidRPr="00A03E56">
        <w:rPr>
          <w:rFonts w:asciiTheme="minorHAnsi" w:hAnsiTheme="minorHAnsi" w:cstheme="minorHAnsi"/>
          <w:sz w:val="16"/>
          <w:szCs w:val="16"/>
        </w:rPr>
        <w:t>70 Ohio St.3d 420 (1994).</w:t>
      </w:r>
    </w:p>
  </w:endnote>
  <w:endnote w:id="543">
    <w:p w14:paraId="4FD27373" w14:textId="23FCD710"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8" w:history="1">
        <w:r w:rsidRPr="00A03E56">
          <w:rPr>
            <w:rStyle w:val="Hyperlink"/>
            <w:rFonts w:asciiTheme="minorHAnsi" w:hAnsiTheme="minorHAnsi" w:cstheme="minorHAnsi"/>
            <w:i/>
            <w:iCs/>
            <w:sz w:val="16"/>
            <w:szCs w:val="16"/>
          </w:rPr>
          <w:t>State ex rel. Myers v. Meyers</w:t>
        </w:r>
      </w:hyperlink>
      <w:r w:rsidRPr="00A03E56">
        <w:rPr>
          <w:rFonts w:asciiTheme="minorHAnsi" w:hAnsiTheme="minorHAnsi" w:cstheme="minorHAnsi"/>
          <w:sz w:val="16"/>
          <w:szCs w:val="16"/>
        </w:rPr>
        <w:t>, 169 Ohio St. 3d 536, 2022-Ohio-1915, ¶ 45.</w:t>
      </w:r>
    </w:p>
  </w:endnote>
  <w:endnote w:id="544">
    <w:p w14:paraId="57A3E335" w14:textId="077424DD"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29" w:history="1">
        <w:r w:rsidRPr="00A03E56">
          <w:rPr>
            <w:rStyle w:val="Hyperlink"/>
            <w:rFonts w:asciiTheme="minorHAnsi" w:hAnsiTheme="minorHAnsi" w:cstheme="minorHAnsi"/>
            <w:i/>
            <w:sz w:val="16"/>
            <w:szCs w:val="16"/>
          </w:rPr>
          <w:t>State ex rel. Standifer v. City of Cleveland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170 Ohio St.3d 367, 2022-Ohio-3711, ¶ 21 (in some cases a use-of-force report could be exempt from disclosure to protect the identity of the subject officer as an uncharged suspect).</w:t>
      </w:r>
    </w:p>
  </w:endnote>
  <w:endnote w:id="545">
    <w:p w14:paraId="45505FB1" w14:textId="712D7D9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30" w:history="1">
        <w:r w:rsidRPr="00A03E56">
          <w:rPr>
            <w:rStyle w:val="Hyperlink"/>
            <w:rFonts w:asciiTheme="minorHAnsi" w:hAnsiTheme="minorHAnsi" w:cstheme="minorHAnsi"/>
            <w:i/>
            <w:iCs/>
            <w:sz w:val="16"/>
            <w:szCs w:val="16"/>
          </w:rPr>
          <w:t>State ex rel. Beacon Journal Publishing Co. v. Akron</w:t>
        </w:r>
      </w:hyperlink>
      <w:r w:rsidRPr="00A03E56">
        <w:rPr>
          <w:rFonts w:asciiTheme="minorHAnsi" w:hAnsiTheme="minorHAnsi" w:cstheme="minorHAnsi"/>
          <w:sz w:val="16"/>
          <w:szCs w:val="16"/>
        </w:rPr>
        <w:t xml:space="preserve">, 104 Ohio St.3d 399, 2004-Ohio-6557, ¶ 55 (declining to “adopt a per se rule that all police offense-and-incident reports are subject to disclosure notwithstanding the applicability of any exemption”); </w:t>
      </w:r>
      <w:hyperlink r:id="rId731" w:history="1">
        <w:r w:rsidRPr="00A03E56">
          <w:rPr>
            <w:rStyle w:val="Hyperlink"/>
            <w:rFonts w:asciiTheme="minorHAnsi" w:hAnsiTheme="minorHAnsi" w:cstheme="minorHAnsi"/>
            <w:i/>
            <w:sz w:val="16"/>
            <w:szCs w:val="16"/>
          </w:rPr>
          <w:t>State ex rel. Cincinnati Enquirer v. Ohio DOC, Div. of State Fire Marshall</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10th Dist. Franklin No. 17AP-63, 2019-Ohio-4009, ¶ 27 (formatted fill-in-the-blank pages of fire incident report were subject to disclosure but narrative “Cause Determination” that contained investigator’s conclusions on cause of the fire qualified as investigatory work product).</w:t>
      </w:r>
    </w:p>
  </w:endnote>
  <w:endnote w:id="546">
    <w:p w14:paraId="3773D14F" w14:textId="0E74C71A"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2" w:history="1">
        <w:r w:rsidRPr="00A03E56">
          <w:rPr>
            <w:rStyle w:val="Hyperlink"/>
            <w:rFonts w:asciiTheme="minorHAnsi" w:hAnsiTheme="minorHAnsi" w:cstheme="minorHAnsi"/>
            <w:i/>
            <w:iCs/>
            <w:sz w:val="16"/>
            <w:szCs w:val="16"/>
          </w:rPr>
          <w:t>State ex rel. Beacon Journal Publishing Co. v. Akron</w:t>
        </w:r>
      </w:hyperlink>
      <w:r w:rsidRPr="00A03E56">
        <w:rPr>
          <w:rFonts w:asciiTheme="minorHAnsi" w:hAnsiTheme="minorHAnsi" w:cstheme="minorHAnsi"/>
          <w:sz w:val="16"/>
          <w:szCs w:val="16"/>
        </w:rPr>
        <w:t>, 104 Ohio St.3d 399, 2004-Ohio-6557, ¶ 44-45 (information referred from a children services agency as potentially criminal may be redacted from police files, including the incident report, pursuant to R.C. 2151.421(H)).</w:t>
      </w:r>
    </w:p>
  </w:endnote>
  <w:endnote w:id="547">
    <w:p w14:paraId="71318C87" w14:textId="679D87D9"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3" w:history="1">
        <w:r w:rsidRPr="00A03E56">
          <w:rPr>
            <w:rStyle w:val="Hyperlink"/>
            <w:rFonts w:asciiTheme="minorHAnsi" w:hAnsiTheme="minorHAnsi" w:cstheme="minorHAnsi"/>
            <w:i/>
            <w:iCs/>
            <w:sz w:val="16"/>
            <w:szCs w:val="16"/>
          </w:rPr>
          <w:t xml:space="preserve">State ex rel. Dispatch Printing Co. v. Morrow </w:t>
        </w:r>
        <w:r w:rsidRPr="00A03E56">
          <w:rPr>
            <w:rStyle w:val="Hyperlink"/>
            <w:rFonts w:asciiTheme="minorHAnsi" w:hAnsiTheme="minorHAnsi" w:cstheme="minorHAnsi"/>
            <w:i/>
            <w:iCs/>
            <w:sz w:val="16"/>
            <w:szCs w:val="16"/>
          </w:rPr>
          <w:t>Cty. Prosecutor’s Office</w:t>
        </w:r>
      </w:hyperlink>
      <w:r w:rsidRPr="00A03E56">
        <w:rPr>
          <w:rFonts w:asciiTheme="minorHAnsi" w:hAnsiTheme="minorHAnsi" w:cstheme="minorHAnsi"/>
          <w:sz w:val="16"/>
          <w:szCs w:val="16"/>
        </w:rPr>
        <w:t>, 105 Ohio St.3d 172, 2005-Ohio-685, ¶ 7-8.</w:t>
      </w:r>
    </w:p>
  </w:endnote>
  <w:endnote w:id="548">
    <w:p w14:paraId="14E9062A" w14:textId="2A5DBE2E"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4" w:history="1">
        <w:r w:rsidRPr="00A03E56">
          <w:rPr>
            <w:rStyle w:val="Hyperlink"/>
            <w:rFonts w:asciiTheme="minorHAnsi" w:hAnsiTheme="minorHAnsi" w:cstheme="minorHAnsi"/>
            <w:i/>
            <w:iCs/>
            <w:sz w:val="16"/>
            <w:szCs w:val="16"/>
          </w:rPr>
          <w:t xml:space="preserve">State ex rel. Cincinnati Enquirer v. Hamilton </w:t>
        </w:r>
        <w:r w:rsidRPr="00A03E56">
          <w:rPr>
            <w:rStyle w:val="Hyperlink"/>
            <w:rFonts w:asciiTheme="minorHAnsi" w:hAnsiTheme="minorHAnsi" w:cstheme="minorHAnsi"/>
            <w:i/>
            <w:iCs/>
            <w:sz w:val="16"/>
            <w:szCs w:val="16"/>
          </w:rPr>
          <w:t>Cty.</w:t>
        </w:r>
      </w:hyperlink>
      <w:r w:rsidRPr="00A03E56">
        <w:rPr>
          <w:rFonts w:asciiTheme="minorHAnsi" w:hAnsiTheme="minorHAnsi" w:cstheme="minorHAnsi"/>
          <w:sz w:val="16"/>
          <w:szCs w:val="16"/>
        </w:rPr>
        <w:t>, 75 Ohio St.3d 374, 378 (1996) (“There is no expectation of privacy when a person makes a 911 call. Instead, there is an expectation that the information provided will be recorded and disclosed to the public.”).</w:t>
      </w:r>
    </w:p>
  </w:endnote>
  <w:endnote w:id="549">
    <w:p w14:paraId="4A9E3B1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5" w:history="1">
        <w:r w:rsidRPr="00A03E56">
          <w:rPr>
            <w:rStyle w:val="Hyperlink"/>
            <w:rFonts w:asciiTheme="minorHAnsi" w:hAnsiTheme="minorHAnsi" w:cstheme="minorHAnsi"/>
            <w:sz w:val="16"/>
            <w:szCs w:val="16"/>
          </w:rPr>
          <w:t>R.C. 128.99</w:t>
        </w:r>
      </w:hyperlink>
      <w:r w:rsidRPr="00A03E56">
        <w:rPr>
          <w:rFonts w:asciiTheme="minorHAnsi" w:hAnsiTheme="minorHAnsi" w:cstheme="minorHAnsi"/>
          <w:sz w:val="16"/>
          <w:szCs w:val="16"/>
        </w:rPr>
        <w:t xml:space="preserve"> establishes criminal penalties for violation of </w:t>
      </w:r>
      <w:hyperlink r:id="rId736" w:history="1">
        <w:r w:rsidRPr="00A03E56">
          <w:rPr>
            <w:rStyle w:val="Hyperlink"/>
            <w:rFonts w:asciiTheme="minorHAnsi" w:hAnsiTheme="minorHAnsi" w:cstheme="minorHAnsi"/>
            <w:sz w:val="16"/>
            <w:szCs w:val="16"/>
          </w:rPr>
          <w:t>R.C. 128.96(H)</w:t>
        </w:r>
      </w:hyperlink>
      <w:r w:rsidRPr="00A03E56">
        <w:rPr>
          <w:rFonts w:asciiTheme="minorHAnsi" w:hAnsiTheme="minorHAnsi" w:cstheme="minorHAnsi"/>
          <w:sz w:val="16"/>
          <w:szCs w:val="16"/>
        </w:rPr>
        <w:t>.</w:t>
      </w:r>
    </w:p>
  </w:endnote>
  <w:endnote w:id="550">
    <w:p w14:paraId="334EE124" w14:textId="5C7BC23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737" w:history="1">
        <w:r w:rsidRPr="00A03E56">
          <w:rPr>
            <w:rStyle w:val="Hyperlink"/>
            <w:rFonts w:asciiTheme="minorHAnsi" w:hAnsiTheme="minorHAnsi" w:cstheme="minorHAnsi"/>
            <w:i/>
            <w:iCs/>
            <w:sz w:val="16"/>
            <w:szCs w:val="16"/>
          </w:rPr>
          <w:t>State ex rel. Cincinnati Enquirer v. Ohio Dept. of Public Safety</w:t>
        </w:r>
      </w:hyperlink>
      <w:r w:rsidRPr="00A03E56">
        <w:rPr>
          <w:rFonts w:asciiTheme="minorHAnsi" w:hAnsiTheme="minorHAnsi" w:cstheme="minorHAnsi"/>
          <w:sz w:val="16"/>
          <w:szCs w:val="16"/>
        </w:rPr>
        <w:t>, 148 Ohio St.3d 433, 2016-Ohio-7987, ¶ 45-50.</w:t>
      </w:r>
    </w:p>
  </w:endnote>
  <w:endnote w:id="551">
    <w:p w14:paraId="741FE37D"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8" w:history="1">
        <w:r w:rsidRPr="00A03E56">
          <w:rPr>
            <w:rStyle w:val="Hyperlink"/>
            <w:rFonts w:asciiTheme="minorHAnsi" w:hAnsiTheme="minorHAnsi" w:cstheme="minorHAnsi"/>
            <w:sz w:val="16"/>
            <w:szCs w:val="16"/>
          </w:rPr>
          <w:t>R.C. 149.43(A)(</w:t>
        </w:r>
        <w:r w:rsidRPr="00A03E56">
          <w:rPr>
            <w:rStyle w:val="Hyperlink"/>
            <w:rFonts w:asciiTheme="minorHAnsi" w:hAnsiTheme="minorHAnsi" w:cstheme="minorHAnsi"/>
            <w:sz w:val="16"/>
            <w:szCs w:val="16"/>
          </w:rPr>
          <w:t>1)(</w:t>
        </w:r>
        <w:r w:rsidRPr="00A03E56">
          <w:rPr>
            <w:rStyle w:val="Hyperlink"/>
            <w:rFonts w:asciiTheme="minorHAnsi" w:hAnsiTheme="minorHAnsi" w:cstheme="minorHAnsi"/>
            <w:sz w:val="16"/>
            <w:szCs w:val="16"/>
          </w:rPr>
          <w:t>jj)</w:t>
        </w:r>
      </w:hyperlink>
      <w:r w:rsidRPr="00A03E56">
        <w:rPr>
          <w:rFonts w:asciiTheme="minorHAnsi" w:hAnsiTheme="minorHAnsi" w:cstheme="minorHAnsi"/>
          <w:sz w:val="16"/>
          <w:szCs w:val="16"/>
        </w:rPr>
        <w:t>.</w:t>
      </w:r>
    </w:p>
  </w:endnote>
  <w:endnote w:id="552">
    <w:p w14:paraId="0667223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39" w:history="1">
        <w:r w:rsidRPr="00A03E56">
          <w:rPr>
            <w:rStyle w:val="Hyperlink"/>
            <w:rFonts w:asciiTheme="minorHAnsi" w:hAnsiTheme="minorHAnsi" w:cstheme="minorHAnsi"/>
            <w:sz w:val="16"/>
            <w:szCs w:val="16"/>
          </w:rPr>
          <w:t>R.C. 149.43(A)(17)(a)-(q)</w:t>
        </w:r>
      </w:hyperlink>
      <w:r w:rsidRPr="00A03E56">
        <w:rPr>
          <w:rFonts w:asciiTheme="minorHAnsi" w:hAnsiTheme="minorHAnsi" w:cstheme="minorHAnsi"/>
          <w:sz w:val="16"/>
          <w:szCs w:val="16"/>
        </w:rPr>
        <w:t>.</w:t>
      </w:r>
    </w:p>
  </w:endnote>
  <w:endnote w:id="553">
    <w:p w14:paraId="3D97FF08"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0" w:history="1">
        <w:r w:rsidRPr="00A03E56">
          <w:rPr>
            <w:rStyle w:val="Hyperlink"/>
            <w:rFonts w:asciiTheme="minorHAnsi" w:hAnsiTheme="minorHAnsi" w:cstheme="minorHAnsi"/>
            <w:sz w:val="16"/>
            <w:szCs w:val="16"/>
          </w:rPr>
          <w:t>R.C. 149.43(H)(1)(a)-(b)</w:t>
        </w:r>
      </w:hyperlink>
      <w:r w:rsidRPr="00A03E56">
        <w:rPr>
          <w:rFonts w:asciiTheme="minorHAnsi" w:hAnsiTheme="minorHAnsi" w:cstheme="minorHAnsi"/>
          <w:sz w:val="16"/>
          <w:szCs w:val="16"/>
        </w:rPr>
        <w:t>.</w:t>
      </w:r>
    </w:p>
  </w:endnote>
  <w:endnote w:id="554">
    <w:p w14:paraId="0B1F9D1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1" w:history="1">
        <w:r w:rsidRPr="00A03E56">
          <w:rPr>
            <w:rStyle w:val="Hyperlink"/>
            <w:rFonts w:asciiTheme="minorHAnsi" w:hAnsiTheme="minorHAnsi" w:cstheme="minorHAnsi"/>
            <w:sz w:val="16"/>
            <w:szCs w:val="16"/>
          </w:rPr>
          <w:t>R.C. 149.43(H)(2)</w:t>
        </w:r>
      </w:hyperlink>
      <w:r w:rsidRPr="00A03E56">
        <w:rPr>
          <w:rFonts w:asciiTheme="minorHAnsi" w:hAnsiTheme="minorHAnsi" w:cstheme="minorHAnsi"/>
          <w:sz w:val="16"/>
          <w:szCs w:val="16"/>
        </w:rPr>
        <w:t>.</w:t>
      </w:r>
    </w:p>
  </w:endnote>
  <w:endnote w:id="555">
    <w:p w14:paraId="56DA444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2" w:history="1">
        <w:r w:rsidRPr="00A03E56">
          <w:rPr>
            <w:rStyle w:val="Hyperlink"/>
            <w:rFonts w:asciiTheme="minorHAnsi" w:hAnsiTheme="minorHAnsi" w:cstheme="minorHAnsi"/>
            <w:sz w:val="16"/>
            <w:szCs w:val="16"/>
          </w:rPr>
          <w:t xml:space="preserve">2001 Ohio </w:t>
        </w:r>
        <w:r w:rsidRPr="00A03E56">
          <w:rPr>
            <w:rStyle w:val="Hyperlink"/>
            <w:rFonts w:asciiTheme="minorHAnsi" w:hAnsiTheme="minorHAnsi" w:cstheme="minorHAnsi"/>
            <w:sz w:val="16"/>
            <w:szCs w:val="16"/>
          </w:rPr>
          <w:t>Atty.Gen.Ops. No. 041</w:t>
        </w:r>
      </w:hyperlink>
      <w:r w:rsidRPr="00A03E56">
        <w:rPr>
          <w:rFonts w:asciiTheme="minorHAnsi" w:hAnsiTheme="minorHAnsi" w:cstheme="minorHAnsi"/>
          <w:sz w:val="16"/>
          <w:szCs w:val="16"/>
        </w:rPr>
        <w:t xml:space="preserve">; </w:t>
      </w:r>
      <w:hyperlink r:id="rId743" w:history="1">
        <w:r w:rsidRPr="00A03E56">
          <w:rPr>
            <w:rStyle w:val="Hyperlink"/>
            <w:rFonts w:asciiTheme="minorHAnsi" w:hAnsiTheme="minorHAnsi" w:cstheme="minorHAnsi"/>
            <w:sz w:val="16"/>
            <w:szCs w:val="16"/>
          </w:rPr>
          <w:t>1999 Ohio Atty.Gen.Ops. No. 006</w:t>
        </w:r>
      </w:hyperlink>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State ex rel. Natl. Broadcasting Co., Inc. v. Cleveland</w:t>
      </w:r>
      <w:r w:rsidRPr="00A03E56">
        <w:rPr>
          <w:rFonts w:asciiTheme="minorHAnsi" w:hAnsiTheme="minorHAnsi" w:cstheme="minorHAnsi"/>
          <w:sz w:val="16"/>
          <w:szCs w:val="16"/>
        </w:rPr>
        <w:t>, 82 Ohio App.3d 202, 214 (8th Dist. 1992).</w:t>
      </w:r>
    </w:p>
  </w:endnote>
  <w:endnote w:id="556">
    <w:p w14:paraId="0E798E1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4" w:history="1">
        <w:r w:rsidRPr="00A03E56">
          <w:rPr>
            <w:rStyle w:val="Hyperlink"/>
            <w:rFonts w:asciiTheme="minorHAnsi" w:hAnsiTheme="minorHAnsi" w:cstheme="minorHAnsi"/>
            <w:sz w:val="16"/>
            <w:szCs w:val="16"/>
          </w:rPr>
          <w:t xml:space="preserve">2001 Ohio </w:t>
        </w:r>
        <w:r w:rsidRPr="00A03E56">
          <w:rPr>
            <w:rStyle w:val="Hyperlink"/>
            <w:rFonts w:asciiTheme="minorHAnsi" w:hAnsiTheme="minorHAnsi" w:cstheme="minorHAnsi"/>
            <w:sz w:val="16"/>
            <w:szCs w:val="16"/>
          </w:rPr>
          <w:t>Atty.Gen.Ops. No. 041</w:t>
        </w:r>
      </w:hyperlink>
      <w:r w:rsidRPr="00A03E56">
        <w:rPr>
          <w:rFonts w:asciiTheme="minorHAnsi" w:hAnsiTheme="minorHAnsi" w:cstheme="minorHAnsi"/>
          <w:sz w:val="16"/>
          <w:szCs w:val="16"/>
        </w:rPr>
        <w:t xml:space="preserve">; </w:t>
      </w:r>
      <w:hyperlink r:id="rId745" w:history="1">
        <w:r w:rsidRPr="00A03E56">
          <w:rPr>
            <w:rStyle w:val="Hyperlink"/>
            <w:rFonts w:asciiTheme="minorHAnsi" w:hAnsiTheme="minorHAnsi" w:cstheme="minorHAnsi"/>
            <w:sz w:val="16"/>
            <w:szCs w:val="16"/>
          </w:rPr>
          <w:t>1999 Ohio Atty.Gen.Ops. No. 006</w:t>
        </w:r>
      </w:hyperlink>
      <w:r w:rsidRPr="00A03E56">
        <w:rPr>
          <w:rFonts w:asciiTheme="minorHAnsi" w:hAnsiTheme="minorHAnsi" w:cstheme="minorHAnsi"/>
          <w:sz w:val="16"/>
          <w:szCs w:val="16"/>
        </w:rPr>
        <w:t>.</w:t>
      </w:r>
    </w:p>
  </w:endnote>
  <w:endnote w:id="557">
    <w:p w14:paraId="684BDFD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6" w:history="1">
        <w:r w:rsidRPr="00A03E56">
          <w:rPr>
            <w:rStyle w:val="Hyperlink"/>
            <w:rFonts w:asciiTheme="minorHAnsi" w:hAnsiTheme="minorHAnsi" w:cstheme="minorHAnsi"/>
            <w:sz w:val="16"/>
            <w:szCs w:val="16"/>
          </w:rPr>
          <w:t xml:space="preserve">2001 Ohio </w:t>
        </w:r>
        <w:r w:rsidRPr="00A03E56">
          <w:rPr>
            <w:rStyle w:val="Hyperlink"/>
            <w:rFonts w:asciiTheme="minorHAnsi" w:hAnsiTheme="minorHAnsi" w:cstheme="minorHAnsi"/>
            <w:sz w:val="16"/>
            <w:szCs w:val="16"/>
          </w:rPr>
          <w:t>Atty.Gen.Ops. No. 041</w:t>
        </w:r>
      </w:hyperlink>
      <w:r w:rsidRPr="00A03E56">
        <w:rPr>
          <w:rFonts w:asciiTheme="minorHAnsi" w:hAnsiTheme="minorHAnsi" w:cstheme="minorHAnsi"/>
          <w:sz w:val="16"/>
          <w:szCs w:val="16"/>
        </w:rPr>
        <w:t>.</w:t>
      </w:r>
    </w:p>
  </w:endnote>
  <w:endnote w:id="558">
    <w:p w14:paraId="41D727C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7" w:history="1">
        <w:r w:rsidRPr="00A03E56">
          <w:rPr>
            <w:rStyle w:val="Hyperlink"/>
            <w:rFonts w:asciiTheme="minorHAnsi" w:hAnsiTheme="minorHAnsi" w:cstheme="minorHAnsi"/>
            <w:sz w:val="16"/>
            <w:szCs w:val="16"/>
          </w:rPr>
          <w:t xml:space="preserve">1990 Ohio </w:t>
        </w:r>
        <w:r w:rsidRPr="00A03E56">
          <w:rPr>
            <w:rStyle w:val="Hyperlink"/>
            <w:rFonts w:asciiTheme="minorHAnsi" w:hAnsiTheme="minorHAnsi" w:cstheme="minorHAnsi"/>
            <w:sz w:val="16"/>
            <w:szCs w:val="16"/>
          </w:rPr>
          <w:t>Atty.Gen.Ops. No. 101</w:t>
        </w:r>
      </w:hyperlink>
      <w:r w:rsidRPr="00A03E56">
        <w:rPr>
          <w:rFonts w:asciiTheme="minorHAnsi" w:hAnsiTheme="minorHAnsi" w:cstheme="minorHAnsi"/>
          <w:sz w:val="16"/>
          <w:szCs w:val="16"/>
        </w:rPr>
        <w:t>.</w:t>
      </w:r>
    </w:p>
  </w:endnote>
  <w:endnote w:id="559">
    <w:p w14:paraId="761CD91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48" w:history="1">
        <w:r w:rsidRPr="00A03E56">
          <w:rPr>
            <w:rStyle w:val="Hyperlink"/>
            <w:rFonts w:asciiTheme="minorHAnsi" w:hAnsiTheme="minorHAnsi" w:cstheme="minorHAnsi"/>
            <w:sz w:val="16"/>
            <w:szCs w:val="16"/>
          </w:rPr>
          <w:t>R.C. 2151.313</w:t>
        </w:r>
      </w:hyperlink>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State ex rel. Carpenter v. Chief of Police</w:t>
      </w:r>
      <w:r w:rsidRPr="00A03E56">
        <w:rPr>
          <w:rFonts w:asciiTheme="minorHAnsi" w:hAnsiTheme="minorHAnsi" w:cstheme="minorHAnsi"/>
          <w:sz w:val="16"/>
          <w:szCs w:val="16"/>
        </w:rPr>
        <w:t xml:space="preserve">, 8th Dist. Cuyahoga No. 62482, 1992 Ohio App. LEXIS 5055 (1992) (noting that “other records” relating to a juvenile’s arrest or custody under R.C. 2151.313 may include the juvenile’s statement or an investigator’s report if they would identify the juvenile); </w:t>
      </w:r>
      <w:r w:rsidRPr="00A03E56">
        <w:rPr>
          <w:rFonts w:asciiTheme="minorHAnsi" w:hAnsiTheme="minorHAnsi" w:cstheme="minorHAnsi"/>
          <w:i/>
          <w:iCs/>
          <w:sz w:val="16"/>
          <w:szCs w:val="16"/>
        </w:rPr>
        <w:t>but see</w:t>
      </w:r>
      <w:r w:rsidRPr="00A03E56">
        <w:rPr>
          <w:rFonts w:asciiTheme="minorHAnsi" w:hAnsiTheme="minorHAnsi" w:cstheme="minorHAnsi"/>
          <w:sz w:val="16"/>
          <w:szCs w:val="16"/>
        </w:rPr>
        <w:t xml:space="preserve"> </w:t>
      </w:r>
      <w:hyperlink r:id="rId749" w:history="1">
        <w:r w:rsidRPr="00A03E56">
          <w:rPr>
            <w:rStyle w:val="Hyperlink"/>
            <w:rFonts w:asciiTheme="minorHAnsi" w:hAnsiTheme="minorHAnsi" w:cstheme="minorHAnsi"/>
            <w:sz w:val="16"/>
            <w:szCs w:val="16"/>
          </w:rPr>
          <w:t>R.C. 2151.313(A)(3)</w:t>
        </w:r>
      </w:hyperlink>
      <w:r w:rsidRPr="00A03E56">
        <w:rPr>
          <w:rFonts w:asciiTheme="minorHAnsi" w:hAnsiTheme="minorHAnsi" w:cstheme="minorHAnsi"/>
          <w:sz w:val="16"/>
          <w:szCs w:val="16"/>
        </w:rPr>
        <w:t xml:space="preserve"> (“This section does not apply to a child to whom either of the following applies: (a) The child has been arrested or otherwise taken into custody for committing, or has been adjudicated a delinquent child for committing, an act that would be a felony if committed by an adult or has been convicted of or pleaded guilty to committing a felony. (b) There is probable cause to believe that the child may have committed an act that would be a felony if committed by an adult.”). NOTE: this statute does not apply to records of a juvenile arrest or custody that were not the reason for taking fingerprints and photographs. </w:t>
      </w:r>
    </w:p>
  </w:endnote>
  <w:endnote w:id="560">
    <w:p w14:paraId="4BC27B7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0" w:history="1">
        <w:r w:rsidRPr="00A03E56">
          <w:rPr>
            <w:rStyle w:val="Hyperlink"/>
            <w:rFonts w:asciiTheme="minorHAnsi" w:hAnsiTheme="minorHAnsi" w:cstheme="minorHAnsi"/>
            <w:sz w:val="16"/>
            <w:szCs w:val="16"/>
          </w:rPr>
          <w:t>R.C. 2151.421(H)</w:t>
        </w:r>
      </w:hyperlink>
      <w:r w:rsidRPr="00A03E56">
        <w:rPr>
          <w:rFonts w:asciiTheme="minorHAnsi" w:hAnsiTheme="minorHAnsi" w:cstheme="minorHAnsi"/>
          <w:sz w:val="16"/>
          <w:szCs w:val="16"/>
        </w:rPr>
        <w:t>.</w:t>
      </w:r>
    </w:p>
  </w:endnote>
  <w:endnote w:id="561">
    <w:p w14:paraId="7F065738" w14:textId="63D440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1" w:history="1">
        <w:r w:rsidRPr="00A03E56">
          <w:rPr>
            <w:rStyle w:val="Hyperlink"/>
            <w:rFonts w:asciiTheme="minorHAnsi" w:hAnsiTheme="minorHAnsi" w:cstheme="minorHAnsi"/>
            <w:sz w:val="16"/>
            <w:szCs w:val="16"/>
          </w:rPr>
          <w:t>R.C. 2151.355</w:t>
        </w:r>
      </w:hyperlink>
      <w:r w:rsidRPr="00A03E56">
        <w:rPr>
          <w:rFonts w:asciiTheme="minorHAnsi" w:hAnsiTheme="minorHAnsi" w:cstheme="minorHAnsi"/>
          <w:sz w:val="16"/>
          <w:szCs w:val="16"/>
        </w:rPr>
        <w:t>-</w:t>
      </w:r>
      <w:hyperlink r:id="rId752" w:history="1">
        <w:r w:rsidRPr="00A03E56">
          <w:rPr>
            <w:rStyle w:val="Hyperlink"/>
            <w:rFonts w:asciiTheme="minorHAnsi" w:hAnsiTheme="minorHAnsi" w:cstheme="minorHAnsi"/>
            <w:sz w:val="16"/>
            <w:szCs w:val="16"/>
          </w:rPr>
          <w:t>.358</w:t>
        </w:r>
      </w:hyperlink>
      <w:r w:rsidRPr="00A03E56">
        <w:rPr>
          <w:rFonts w:asciiTheme="minorHAnsi" w:hAnsiTheme="minorHAnsi" w:cstheme="minorHAnsi"/>
          <w:sz w:val="16"/>
          <w:szCs w:val="16"/>
        </w:rPr>
        <w:t>.</w:t>
      </w:r>
    </w:p>
  </w:endnote>
  <w:endnote w:id="562">
    <w:p w14:paraId="314CEFE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3" w:history="1">
        <w:r w:rsidRPr="00A03E56">
          <w:rPr>
            <w:rStyle w:val="Hyperlink"/>
            <w:rFonts w:asciiTheme="minorHAnsi" w:hAnsiTheme="minorHAnsi" w:cstheme="minorHAnsi"/>
            <w:sz w:val="16"/>
            <w:szCs w:val="16"/>
          </w:rPr>
          <w:t>R.C. 2151.14(D)(1)(e)</w:t>
        </w:r>
      </w:hyperlink>
      <w:r w:rsidRPr="00A03E56">
        <w:rPr>
          <w:rFonts w:asciiTheme="minorHAnsi" w:hAnsiTheme="minorHAnsi" w:cstheme="minorHAnsi"/>
          <w:sz w:val="16"/>
          <w:szCs w:val="16"/>
        </w:rPr>
        <w:t xml:space="preserve">. </w:t>
      </w:r>
    </w:p>
  </w:endnote>
  <w:endnote w:id="563">
    <w:p w14:paraId="6F9BAAB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18 U.S.C. § 5038(a), 5038(e) of the Federal Juvenile Delinquency Act (18 U.S.C. 5031-5042) (providing that these records can be accessed by authorized persons and law enforcement agencies).</w:t>
      </w:r>
    </w:p>
  </w:endnote>
  <w:endnote w:id="564">
    <w:p w14:paraId="41F0DA6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18 U.S.C. § 5038(d).</w:t>
      </w:r>
    </w:p>
  </w:endnote>
  <w:endnote w:id="565">
    <w:p w14:paraId="4FF6F2E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4" w:history="1">
        <w:r w:rsidRPr="00A03E56">
          <w:rPr>
            <w:rStyle w:val="Hyperlink"/>
            <w:rFonts w:asciiTheme="minorHAnsi" w:hAnsiTheme="minorHAnsi" w:cstheme="minorHAnsi"/>
            <w:sz w:val="16"/>
            <w:szCs w:val="16"/>
          </w:rPr>
          <w:t>R.C. 149.43(A)(11)</w:t>
        </w:r>
      </w:hyperlink>
      <w:r w:rsidRPr="00A03E56">
        <w:rPr>
          <w:rFonts w:asciiTheme="minorHAnsi" w:hAnsiTheme="minorHAnsi" w:cstheme="minorHAnsi"/>
          <w:sz w:val="16"/>
          <w:szCs w:val="16"/>
        </w:rPr>
        <w:t xml:space="preserve"> (“Community control sanction” has the same meaning as in </w:t>
      </w:r>
      <w:hyperlink r:id="rId755" w:history="1">
        <w:r w:rsidRPr="00A03E56">
          <w:rPr>
            <w:rStyle w:val="Hyperlink"/>
            <w:rFonts w:asciiTheme="minorHAnsi" w:hAnsiTheme="minorHAnsi" w:cstheme="minorHAnsi"/>
            <w:sz w:val="16"/>
            <w:szCs w:val="16"/>
          </w:rPr>
          <w:t>R.C. 2929.01</w:t>
        </w:r>
      </w:hyperlink>
      <w:r w:rsidRPr="00A03E56">
        <w:rPr>
          <w:rFonts w:asciiTheme="minorHAnsi" w:hAnsiTheme="minorHAnsi" w:cstheme="minorHAnsi"/>
          <w:sz w:val="16"/>
          <w:szCs w:val="16"/>
        </w:rPr>
        <w:t>).</w:t>
      </w:r>
    </w:p>
  </w:endnote>
  <w:endnote w:id="566">
    <w:p w14:paraId="4FD0D00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56" w:history="1">
        <w:r w:rsidRPr="00A03E56">
          <w:rPr>
            <w:rStyle w:val="Hyperlink"/>
            <w:rFonts w:asciiTheme="minorHAnsi" w:hAnsiTheme="minorHAnsi" w:cstheme="minorHAnsi"/>
            <w:sz w:val="16"/>
            <w:szCs w:val="16"/>
          </w:rPr>
          <w:t>R.C. 149.43(A)(12)</w:t>
        </w:r>
      </w:hyperlink>
      <w:r w:rsidRPr="00A03E56">
        <w:rPr>
          <w:rFonts w:asciiTheme="minorHAnsi" w:hAnsiTheme="minorHAnsi" w:cstheme="minorHAnsi"/>
          <w:sz w:val="16"/>
          <w:szCs w:val="16"/>
        </w:rPr>
        <w:t xml:space="preserve"> (“</w:t>
      </w:r>
      <w:r w:rsidRPr="00A03E56">
        <w:rPr>
          <w:rFonts w:asciiTheme="minorHAnsi" w:hAnsiTheme="minorHAnsi" w:cstheme="minorHAnsi"/>
          <w:sz w:val="16"/>
          <w:szCs w:val="16"/>
        </w:rPr>
        <w:t xml:space="preserve">Post-release control sanction” has the same meaning as in </w:t>
      </w:r>
      <w:hyperlink r:id="rId757" w:history="1">
        <w:r w:rsidRPr="00A03E56">
          <w:rPr>
            <w:rStyle w:val="Hyperlink"/>
            <w:rFonts w:asciiTheme="minorHAnsi" w:hAnsiTheme="minorHAnsi" w:cstheme="minorHAnsi"/>
            <w:sz w:val="16"/>
            <w:szCs w:val="16"/>
          </w:rPr>
          <w:t>R.C. 2967.01</w:t>
        </w:r>
      </w:hyperlink>
      <w:r w:rsidRPr="00A03E56">
        <w:rPr>
          <w:rFonts w:asciiTheme="minorHAnsi" w:hAnsiTheme="minorHAnsi" w:cstheme="minorHAnsi"/>
          <w:sz w:val="16"/>
          <w:szCs w:val="16"/>
        </w:rPr>
        <w:t>).</w:t>
      </w:r>
    </w:p>
  </w:endnote>
  <w:endnote w:id="567">
    <w:p w14:paraId="18C93CB1" w14:textId="0CF8F543"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Mothers Against Drunk Drivers v. </w:t>
      </w:r>
      <w:r w:rsidRPr="00A03E56">
        <w:rPr>
          <w:rFonts w:asciiTheme="minorHAnsi" w:hAnsiTheme="minorHAnsi" w:cstheme="minorHAnsi"/>
          <w:i/>
          <w:sz w:val="16"/>
          <w:szCs w:val="16"/>
        </w:rPr>
        <w:t>Gosser</w:t>
      </w:r>
      <w:r w:rsidRPr="00A03E56">
        <w:rPr>
          <w:rFonts w:asciiTheme="minorHAnsi" w:hAnsiTheme="minorHAnsi" w:cstheme="minorHAnsi"/>
          <w:sz w:val="16"/>
          <w:szCs w:val="16"/>
        </w:rPr>
        <w:t>, 20 Ohio St.3d 30, 32 (1985)</w:t>
      </w:r>
      <w:r w:rsidR="00897471">
        <w:rPr>
          <w:rFonts w:asciiTheme="minorHAnsi" w:hAnsiTheme="minorHAnsi" w:cstheme="minorHAnsi"/>
          <w:sz w:val="16"/>
          <w:szCs w:val="16"/>
        </w:rPr>
        <w:t>, fn. 2</w:t>
      </w:r>
      <w:r w:rsidRPr="00A03E56">
        <w:rPr>
          <w:rFonts w:asciiTheme="minorHAnsi" w:hAnsiTheme="minorHAnsi" w:cstheme="minorHAnsi"/>
          <w:sz w:val="16"/>
          <w:szCs w:val="16"/>
        </w:rPr>
        <w:t>.</w:t>
      </w:r>
    </w:p>
  </w:endnote>
  <w:endnote w:id="568">
    <w:p w14:paraId="7B2A02DA"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Hadlock v. </w:t>
      </w:r>
      <w:r w:rsidRPr="00A03E56">
        <w:rPr>
          <w:rFonts w:asciiTheme="minorHAnsi" w:hAnsiTheme="minorHAnsi" w:cstheme="minorHAnsi"/>
          <w:i/>
          <w:sz w:val="16"/>
          <w:szCs w:val="16"/>
        </w:rPr>
        <w:t>Polito</w:t>
      </w:r>
      <w:r w:rsidRPr="00A03E56">
        <w:rPr>
          <w:rFonts w:asciiTheme="minorHAnsi" w:hAnsiTheme="minorHAnsi" w:cstheme="minorHAnsi"/>
          <w:sz w:val="16"/>
          <w:szCs w:val="16"/>
        </w:rPr>
        <w:t>, 74 Ohio App.3d 764, 766 (8th Dist. 1991).</w:t>
      </w:r>
    </w:p>
  </w:endnote>
  <w:endnote w:id="569">
    <w:p w14:paraId="15BC5A03" w14:textId="59A63672"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State ex rel. </w:t>
      </w:r>
      <w:r w:rsidRPr="00A03E56">
        <w:rPr>
          <w:rFonts w:asciiTheme="minorHAnsi" w:hAnsiTheme="minorHAnsi" w:cstheme="minorHAnsi"/>
          <w:i/>
          <w:sz w:val="16"/>
          <w:szCs w:val="16"/>
        </w:rPr>
        <w:t>Lipschutz v. Shoemaker</w:t>
      </w:r>
      <w:r w:rsidRPr="00A03E56">
        <w:rPr>
          <w:rFonts w:asciiTheme="minorHAnsi" w:hAnsiTheme="minorHAnsi" w:cstheme="minorHAnsi"/>
          <w:sz w:val="16"/>
          <w:szCs w:val="16"/>
        </w:rPr>
        <w:t>, 49 Ohio St.3d 88, 90 (1990).</w:t>
      </w:r>
    </w:p>
  </w:endnote>
  <w:endnote w:id="570">
    <w:p w14:paraId="75D5DF75" w14:textId="0B1622E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Gaines v. Adult Parole Auth.</w:t>
      </w:r>
      <w:r w:rsidRPr="00A03E56">
        <w:rPr>
          <w:rFonts w:asciiTheme="minorHAnsi" w:hAnsiTheme="minorHAnsi" w:cstheme="minorHAnsi"/>
          <w:sz w:val="16"/>
          <w:szCs w:val="16"/>
        </w:rPr>
        <w:t>, 5 Ohio St.3d 104 (1983).</w:t>
      </w:r>
    </w:p>
  </w:endnote>
  <w:endnote w:id="571">
    <w:p w14:paraId="28EA787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758" w:history="1">
        <w:r w:rsidRPr="00A03E56">
          <w:rPr>
            <w:rStyle w:val="Hyperlink"/>
            <w:rFonts w:asciiTheme="minorHAnsi" w:hAnsiTheme="minorHAnsi" w:cstheme="minorHAnsi"/>
            <w:sz w:val="16"/>
            <w:szCs w:val="16"/>
          </w:rPr>
          <w:t>R.C. 113.041(E)</w:t>
        </w:r>
      </w:hyperlink>
      <w:r w:rsidRPr="00A03E56">
        <w:rPr>
          <w:rFonts w:asciiTheme="minorHAnsi" w:hAnsiTheme="minorHAnsi" w:cstheme="minorHAnsi"/>
          <w:sz w:val="16"/>
          <w:szCs w:val="16"/>
        </w:rPr>
        <w:t xml:space="preserve"> (criminal history checks of employees of the state treasurer); </w:t>
      </w:r>
      <w:hyperlink r:id="rId759" w:history="1">
        <w:r w:rsidRPr="00A03E56">
          <w:rPr>
            <w:rStyle w:val="Hyperlink"/>
            <w:rFonts w:asciiTheme="minorHAnsi" w:hAnsiTheme="minorHAnsi" w:cstheme="minorHAnsi"/>
            <w:sz w:val="16"/>
            <w:szCs w:val="16"/>
          </w:rPr>
          <w:t>R.C. 109.5721(E)</w:t>
        </w:r>
      </w:hyperlink>
      <w:r w:rsidRPr="00A03E56">
        <w:rPr>
          <w:rFonts w:asciiTheme="minorHAnsi" w:hAnsiTheme="minorHAnsi" w:cstheme="minorHAnsi"/>
          <w:sz w:val="16"/>
          <w:szCs w:val="16"/>
        </w:rPr>
        <w:t xml:space="preserve"> (information of arrest or conviction received by a public office from BCI that is retained in the applicant fingerprint database); </w:t>
      </w:r>
      <w:hyperlink r:id="rId760" w:history="1">
        <w:r w:rsidRPr="00A03E56">
          <w:rPr>
            <w:rStyle w:val="Hyperlink"/>
            <w:rFonts w:asciiTheme="minorHAnsi" w:hAnsiTheme="minorHAnsi" w:cstheme="minorHAnsi"/>
            <w:sz w:val="16"/>
            <w:szCs w:val="16"/>
          </w:rPr>
          <w:t>R.C. 2151.86(E)</w:t>
        </w:r>
      </w:hyperlink>
      <w:r w:rsidRPr="00A03E56">
        <w:rPr>
          <w:rFonts w:asciiTheme="minorHAnsi" w:hAnsiTheme="minorHAnsi" w:cstheme="minorHAnsi"/>
          <w:sz w:val="16"/>
          <w:szCs w:val="16"/>
        </w:rPr>
        <w:t xml:space="preserve"> (criminal history checks of children’s day care employees); </w:t>
      </w:r>
      <w:hyperlink r:id="rId761" w:history="1">
        <w:r w:rsidRPr="00A03E56">
          <w:rPr>
            <w:rStyle w:val="Hyperlink"/>
            <w:rFonts w:asciiTheme="minorHAnsi" w:hAnsiTheme="minorHAnsi" w:cstheme="minorHAnsi"/>
            <w:sz w:val="16"/>
            <w:szCs w:val="16"/>
          </w:rPr>
          <w:t>R.C. 3319.39(D)</w:t>
        </w:r>
      </w:hyperlink>
      <w:r w:rsidRPr="00A03E56">
        <w:rPr>
          <w:rFonts w:asciiTheme="minorHAnsi" w:hAnsiTheme="minorHAnsi" w:cstheme="minorHAnsi"/>
          <w:sz w:val="16"/>
          <w:szCs w:val="16"/>
        </w:rPr>
        <w:t xml:space="preserve"> (criminal history check of teachers). Some statutes may also require dissemination of notice of an employee’s or volunteer’s conviction.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762" w:history="1">
        <w:r w:rsidRPr="00A03E56">
          <w:rPr>
            <w:rStyle w:val="Hyperlink"/>
            <w:rFonts w:asciiTheme="minorHAnsi" w:hAnsiTheme="minorHAnsi" w:cstheme="minorHAnsi"/>
            <w:sz w:val="16"/>
            <w:szCs w:val="16"/>
          </w:rPr>
          <w:t>R.C. 109.576</w:t>
        </w:r>
      </w:hyperlink>
      <w:r w:rsidRPr="00A03E56">
        <w:rPr>
          <w:rFonts w:asciiTheme="minorHAnsi" w:hAnsiTheme="minorHAnsi" w:cstheme="minorHAnsi"/>
          <w:sz w:val="16"/>
          <w:szCs w:val="16"/>
        </w:rPr>
        <w:t xml:space="preserve"> (providing for notice of a volunteer’s conviction when the volunteer has unsupervised access to a child).</w:t>
      </w:r>
    </w:p>
  </w:endnote>
  <w:endnote w:id="572">
    <w:p w14:paraId="461BB1D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3" w:history="1">
        <w:r w:rsidRPr="00A03E56">
          <w:rPr>
            <w:rStyle w:val="Hyperlink"/>
            <w:rFonts w:asciiTheme="minorHAnsi" w:hAnsiTheme="minorHAnsi" w:cstheme="minorHAnsi"/>
            <w:sz w:val="16"/>
            <w:szCs w:val="16"/>
          </w:rPr>
          <w:t>R.C. 109.57(D)</w:t>
        </w:r>
      </w:hyperlink>
      <w:r w:rsidRPr="00A03E56">
        <w:rPr>
          <w:rFonts w:asciiTheme="minorHAnsi" w:hAnsiTheme="minorHAnsi" w:cstheme="minorHAnsi"/>
          <w:sz w:val="16"/>
          <w:szCs w:val="16"/>
        </w:rPr>
        <w:t xml:space="preserve">, </w:t>
      </w:r>
      <w:hyperlink r:id="rId764" w:history="1">
        <w:r w:rsidRPr="00A03E56">
          <w:rPr>
            <w:rStyle w:val="Hyperlink"/>
            <w:rFonts w:asciiTheme="minorHAnsi" w:hAnsiTheme="minorHAnsi" w:cstheme="minorHAnsi"/>
            <w:sz w:val="16"/>
            <w:szCs w:val="16"/>
          </w:rPr>
          <w:t>(H)</w:t>
        </w:r>
      </w:hyperlink>
      <w:r w:rsidRPr="00A03E56">
        <w:rPr>
          <w:rFonts w:asciiTheme="minorHAnsi" w:hAnsiTheme="minorHAnsi" w:cstheme="minorHAnsi"/>
          <w:sz w:val="16"/>
          <w:szCs w:val="16"/>
        </w:rPr>
        <w:t xml:space="preserve">; </w:t>
      </w:r>
      <w:hyperlink r:id="rId765" w:history="1">
        <w:r w:rsidRPr="00A03E56">
          <w:rPr>
            <w:rStyle w:val="Hyperlink"/>
            <w:rFonts w:asciiTheme="minorHAnsi" w:hAnsiTheme="minorHAnsi" w:cstheme="minorHAnsi"/>
            <w:sz w:val="16"/>
            <w:szCs w:val="16"/>
          </w:rPr>
          <w:t>O.A.C. 4501:2-10-06(C)</w:t>
        </w:r>
      </w:hyperlink>
      <w:r w:rsidRPr="00A03E56">
        <w:rPr>
          <w:rFonts w:asciiTheme="minorHAnsi" w:hAnsiTheme="minorHAnsi" w:cstheme="minorHAnsi"/>
          <w:sz w:val="16"/>
          <w:szCs w:val="16"/>
        </w:rPr>
        <w:t>; 34 U.S.C. 10231; 28 C.F.R. 20.33.</w:t>
      </w:r>
    </w:p>
  </w:endnote>
  <w:endnote w:id="573">
    <w:p w14:paraId="2F8150D4" w14:textId="5C5E80C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6"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xml:space="preserve">, 72 Ohio St.3d 141, 142 (1995) (records of police officer’s disciplinary action are not “law enforcement matters” for purposes of CLEIRs); </w:t>
      </w:r>
      <w:r w:rsidRPr="00A03E56">
        <w:rPr>
          <w:rFonts w:asciiTheme="minorHAnsi" w:hAnsiTheme="minorHAnsi" w:cstheme="minorHAnsi"/>
          <w:i/>
          <w:iCs/>
          <w:sz w:val="16"/>
          <w:szCs w:val="16"/>
        </w:rPr>
        <w:t>State ex rel. Natl. Broadcasting Co., Inc. v. Cleveland,</w:t>
      </w:r>
      <w:r w:rsidRPr="00A03E56">
        <w:rPr>
          <w:rFonts w:asciiTheme="minorHAnsi" w:hAnsiTheme="minorHAnsi" w:cstheme="minorHAnsi"/>
          <w:sz w:val="16"/>
          <w:szCs w:val="16"/>
        </w:rPr>
        <w:t xml:space="preserve"> 38 Ohio St.3d 79, 84 (1988) (CLEIRs exemption does not cover law enforcement investigations routinely conducted in every use of force incident, absent evidence of “specific suspicion of criminal wrongdoing”).</w:t>
      </w:r>
    </w:p>
  </w:endnote>
  <w:endnote w:id="574">
    <w:p w14:paraId="0F06ADC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7" w:history="1">
        <w:r w:rsidRPr="00A03E56">
          <w:rPr>
            <w:rStyle w:val="Hyperlink"/>
            <w:rFonts w:asciiTheme="minorHAnsi" w:hAnsiTheme="minorHAnsi" w:cstheme="minorHAnsi"/>
            <w:sz w:val="16"/>
            <w:szCs w:val="16"/>
          </w:rPr>
          <w:t>R.C. 149.43(A)(1)(a)</w:t>
        </w:r>
      </w:hyperlink>
      <w:r w:rsidRPr="00A03E56">
        <w:rPr>
          <w:rFonts w:asciiTheme="minorHAnsi" w:hAnsiTheme="minorHAnsi" w:cstheme="minorHAnsi"/>
          <w:sz w:val="16"/>
          <w:szCs w:val="16"/>
        </w:rPr>
        <w:t xml:space="preserve">. “‘Medical record’ means any document or combination of documents, except births, deaths, and the fact of admission to or discharge from a hospital, that pertains to the medical history, diagnosis, prognosis, or medical condition of a patient and that is generated and maintained in the process of medical treatment.” </w:t>
      </w:r>
      <w:hyperlink r:id="rId768" w:history="1">
        <w:r w:rsidRPr="00A03E56">
          <w:rPr>
            <w:rStyle w:val="Hyperlink"/>
            <w:rFonts w:asciiTheme="minorHAnsi" w:hAnsiTheme="minorHAnsi" w:cstheme="minorHAnsi"/>
            <w:sz w:val="16"/>
            <w:szCs w:val="16"/>
          </w:rPr>
          <w:t>R.C. 149.43(A)(3)</w:t>
        </w:r>
      </w:hyperlink>
      <w:r w:rsidRPr="00A03E56">
        <w:rPr>
          <w:rFonts w:asciiTheme="minorHAnsi" w:hAnsiTheme="minorHAnsi" w:cstheme="minorHAnsi"/>
          <w:sz w:val="16"/>
          <w:szCs w:val="16"/>
        </w:rPr>
        <w:t>.</w:t>
      </w:r>
    </w:p>
  </w:endnote>
  <w:endnote w:id="575">
    <w:p w14:paraId="0E469B0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69" w:history="1">
        <w:r w:rsidRPr="00A03E56">
          <w:rPr>
            <w:rStyle w:val="Hyperlink"/>
            <w:rFonts w:asciiTheme="minorHAnsi" w:hAnsiTheme="minorHAnsi" w:cstheme="minorHAnsi"/>
            <w:sz w:val="16"/>
            <w:szCs w:val="16"/>
          </w:rPr>
          <w:t>R.C. 149.43(A)(8)(c)</w:t>
        </w:r>
      </w:hyperlink>
      <w:r w:rsidRPr="00A03E56">
        <w:rPr>
          <w:rFonts w:asciiTheme="minorHAnsi" w:hAnsiTheme="minorHAnsi" w:cstheme="minorHAnsi"/>
          <w:sz w:val="16"/>
          <w:szCs w:val="16"/>
        </w:rPr>
        <w:t>.</w:t>
      </w:r>
    </w:p>
  </w:endnote>
  <w:endnote w:id="576">
    <w:p w14:paraId="45B6BB5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0" w:history="1">
        <w:r w:rsidRPr="00A03E56">
          <w:rPr>
            <w:rStyle w:val="Hyperlink"/>
            <w:rFonts w:asciiTheme="minorHAnsi" w:hAnsiTheme="minorHAnsi" w:cstheme="minorHAnsi"/>
            <w:i/>
            <w:iCs/>
            <w:sz w:val="16"/>
            <w:szCs w:val="16"/>
          </w:rPr>
          <w:t>State v. Hall</w:t>
        </w:r>
      </w:hyperlink>
      <w:r w:rsidRPr="00A03E56">
        <w:rPr>
          <w:rFonts w:asciiTheme="minorHAnsi" w:hAnsiTheme="minorHAnsi" w:cstheme="minorHAnsi"/>
          <w:sz w:val="16"/>
          <w:szCs w:val="16"/>
        </w:rPr>
        <w:t xml:space="preserve">, 141 Ohio App.3d 561, 568 (4th Dist. 2001) (psychiatric reports compiled solely to assist the court with “competency to stand trial determination” were not medical records); </w:t>
      </w:r>
      <w:hyperlink r:id="rId771" w:history="1">
        <w:r w:rsidRPr="00A03E56">
          <w:rPr>
            <w:rStyle w:val="Hyperlink"/>
            <w:rFonts w:asciiTheme="minorHAnsi" w:hAnsiTheme="minorHAnsi" w:cstheme="minorHAnsi"/>
            <w:i/>
            <w:iCs/>
            <w:sz w:val="16"/>
            <w:szCs w:val="16"/>
          </w:rPr>
          <w:t>State v. Rohrer</w:t>
        </w:r>
      </w:hyperlink>
      <w:r w:rsidRPr="00A03E56">
        <w:rPr>
          <w:rFonts w:asciiTheme="minorHAnsi" w:hAnsiTheme="minorHAnsi" w:cstheme="minorHAnsi"/>
          <w:sz w:val="16"/>
          <w:szCs w:val="16"/>
        </w:rPr>
        <w:t>, 4th Dist. Ross No. 14CA3471, 2015-Ohio-5333, ¶ 52-57 (psychiatric reports generated “for purposes of the continued commitment proceedings” were not medical records).</w:t>
      </w:r>
    </w:p>
  </w:endnote>
  <w:endnote w:id="577">
    <w:p w14:paraId="0E3E5B0B" w14:textId="734FAC4C"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2"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72 Ohio St.3d 141, 144-145 (1995) (police psychologist report obtained to assist the police hiring process is not a medical record).</w:t>
      </w:r>
    </w:p>
  </w:endnote>
  <w:endnote w:id="578">
    <w:p w14:paraId="09376554" w14:textId="1E95134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3" w:history="1">
        <w:r w:rsidRPr="00A03E56">
          <w:rPr>
            <w:rStyle w:val="Hyperlink"/>
            <w:rFonts w:asciiTheme="minorHAnsi" w:hAnsiTheme="minorHAnsi" w:cstheme="minorHAnsi"/>
            <w:i/>
            <w:iCs/>
            <w:sz w:val="16"/>
            <w:szCs w:val="16"/>
          </w:rPr>
          <w:t>State ex rel. Multimedia, Inc. v. Snowden</w:t>
        </w:r>
      </w:hyperlink>
      <w:r w:rsidRPr="00A03E56">
        <w:rPr>
          <w:rFonts w:asciiTheme="minorHAnsi" w:hAnsiTheme="minorHAnsi" w:cstheme="minorHAnsi"/>
          <w:sz w:val="16"/>
          <w:szCs w:val="16"/>
        </w:rPr>
        <w:t>, 72 Ohio St.3d 141, 143 (1995).</w:t>
      </w:r>
    </w:p>
  </w:endnote>
  <w:endnote w:id="579">
    <w:p w14:paraId="2D370110"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42 U.S.C. § 12112; 29 C.F.R. § 1630.14(b)(1), (c)(1).</w:t>
      </w:r>
    </w:p>
  </w:endnote>
  <w:endnote w:id="580">
    <w:p w14:paraId="32308979" w14:textId="0C62FA6E"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29 C.F.R. 1630.14(c); </w:t>
      </w:r>
      <w:r w:rsidRPr="00A03E56">
        <w:rPr>
          <w:rFonts w:asciiTheme="minorHAnsi" w:hAnsiTheme="minorHAnsi" w:cstheme="minorHAnsi"/>
          <w:i/>
          <w:sz w:val="16"/>
          <w:szCs w:val="16"/>
        </w:rPr>
        <w:t xml:space="preserve">see also </w:t>
      </w:r>
      <w:hyperlink r:id="rId774" w:history="1">
        <w:r w:rsidRPr="00A03E56">
          <w:rPr>
            <w:rStyle w:val="Hyperlink"/>
            <w:rFonts w:asciiTheme="minorHAnsi" w:hAnsiTheme="minorHAnsi" w:cstheme="minorHAnsi"/>
            <w:i/>
            <w:iCs/>
            <w:sz w:val="16"/>
            <w:szCs w:val="16"/>
          </w:rPr>
          <w:t>State ex rel. Mahajan v. State Med. Bd. of Ohio</w:t>
        </w:r>
      </w:hyperlink>
      <w:r w:rsidRPr="00A03E56">
        <w:rPr>
          <w:rFonts w:asciiTheme="minorHAnsi" w:hAnsiTheme="minorHAnsi" w:cstheme="minorHAnsi"/>
          <w:sz w:val="16"/>
          <w:szCs w:val="16"/>
        </w:rPr>
        <w:t>, 127 Ohio St.3d 497, 2010-Ohio-5995</w:t>
      </w:r>
      <w:r w:rsidR="009B44A4">
        <w:rPr>
          <w:rFonts w:asciiTheme="minorHAnsi" w:hAnsiTheme="minorHAnsi" w:cstheme="minorHAnsi"/>
          <w:sz w:val="16"/>
          <w:szCs w:val="16"/>
        </w:rPr>
        <w:t>,</w:t>
      </w:r>
      <w:r w:rsidRPr="00A03E56">
        <w:rPr>
          <w:rFonts w:asciiTheme="minorHAnsi" w:hAnsiTheme="minorHAnsi" w:cstheme="minorHAnsi"/>
          <w:sz w:val="16"/>
          <w:szCs w:val="16"/>
        </w:rPr>
        <w:t xml:space="preserve"> ¶ 44, 47 (employer’s question</w:t>
      </w:r>
      <w:r w:rsidR="009B44A4">
        <w:rPr>
          <w:rFonts w:asciiTheme="minorHAnsi" w:hAnsiTheme="minorHAnsi" w:cstheme="minorHAnsi"/>
          <w:sz w:val="16"/>
          <w:szCs w:val="16"/>
        </w:rPr>
        <w:t>s</w:t>
      </w:r>
      <w:r w:rsidRPr="00A03E56">
        <w:rPr>
          <w:rFonts w:asciiTheme="minorHAnsi" w:hAnsiTheme="minorHAnsi" w:cstheme="minorHAnsi"/>
          <w:sz w:val="16"/>
          <w:szCs w:val="16"/>
        </w:rPr>
        <w:t xml:space="preserve"> of court reporter and opposing counsel properly redacted as inquiry into whether employee was able to perform job-related functions; pertinent ADA provision does not limit the confidential nature of such inquiries to questions directed to employees or medical personnel).</w:t>
      </w:r>
    </w:p>
  </w:endnote>
  <w:endnote w:id="581">
    <w:p w14:paraId="0B16A57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29 C.F.R. § 1630.14(b)(1), (c)(1).</w:t>
      </w:r>
    </w:p>
  </w:endnote>
  <w:endnote w:id="582">
    <w:p w14:paraId="7ED5F2F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5" w:history="1">
        <w:r w:rsidRPr="00A03E56">
          <w:rPr>
            <w:rStyle w:val="Hyperlink"/>
            <w:rFonts w:asciiTheme="minorHAnsi" w:hAnsiTheme="minorHAnsi" w:cstheme="minorHAnsi"/>
            <w:sz w:val="16"/>
            <w:szCs w:val="16"/>
          </w:rPr>
          <w:t>R.C. 149.43(A)(1)(v)</w:t>
        </w:r>
      </w:hyperlink>
      <w:r w:rsidRPr="00A03E56">
        <w:rPr>
          <w:rFonts w:asciiTheme="minorHAnsi" w:hAnsiTheme="minorHAnsi" w:cstheme="minorHAnsi"/>
          <w:sz w:val="16"/>
          <w:szCs w:val="16"/>
        </w:rPr>
        <w:t>.</w:t>
      </w:r>
    </w:p>
  </w:endnote>
  <w:endnote w:id="583">
    <w:p w14:paraId="70D78EF3"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6" w:history="1">
        <w:r w:rsidRPr="00A03E56">
          <w:rPr>
            <w:rStyle w:val="Hyperlink"/>
            <w:rFonts w:asciiTheme="minorHAnsi" w:hAnsiTheme="minorHAnsi" w:cstheme="minorHAnsi"/>
            <w:sz w:val="16"/>
            <w:szCs w:val="16"/>
          </w:rPr>
          <w:t>R.C. 1347.15(A)(1)</w:t>
        </w:r>
      </w:hyperlink>
      <w:r w:rsidRPr="00A03E56">
        <w:rPr>
          <w:rFonts w:asciiTheme="minorHAnsi" w:hAnsiTheme="minorHAnsi" w:cstheme="minorHAnsi"/>
          <w:sz w:val="16"/>
          <w:szCs w:val="16"/>
        </w:rPr>
        <w:t>.</w:t>
      </w:r>
    </w:p>
  </w:endnote>
  <w:endnote w:id="584">
    <w:p w14:paraId="18940594" w14:textId="7F100BE0"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State ex rel. Dispatch Printing Co. v. Wells</w:t>
      </w:r>
      <w:r w:rsidRPr="00A03E56">
        <w:rPr>
          <w:rFonts w:asciiTheme="minorHAnsi" w:hAnsiTheme="minorHAnsi" w:cstheme="minorHAnsi"/>
          <w:sz w:val="16"/>
          <w:szCs w:val="16"/>
        </w:rPr>
        <w:t xml:space="preserve">, 18 Ohio St.3d 382, 384 (1985) (invalidating provision in collective bargaining agreement requiring city to ensure confidentiality of officers’ personnel records); </w:t>
      </w:r>
      <w:hyperlink r:id="rId777" w:history="1">
        <w:r w:rsidRPr="00A03E56">
          <w:rPr>
            <w:rStyle w:val="Hyperlink"/>
            <w:rFonts w:asciiTheme="minorHAnsi" w:hAnsiTheme="minorHAnsi" w:cstheme="minorHAnsi"/>
            <w:i/>
            <w:iCs/>
            <w:sz w:val="16"/>
            <w:szCs w:val="16"/>
          </w:rPr>
          <w:t>State ex rel. Dispatch Printing Co. v. Columbus</w:t>
        </w:r>
      </w:hyperlink>
      <w:r w:rsidRPr="00A03E56">
        <w:rPr>
          <w:rFonts w:asciiTheme="minorHAnsi" w:hAnsiTheme="minorHAnsi" w:cstheme="minorHAnsi"/>
          <w:sz w:val="16"/>
          <w:szCs w:val="16"/>
        </w:rPr>
        <w:t>, 90 Ohio St.3d 39, 40-43 (2000) (Fraternal Order of Police could not legally bar the production of available public records through a records disposition provision in a collective bargaining agreement).</w:t>
      </w:r>
    </w:p>
  </w:endnote>
  <w:endnote w:id="585">
    <w:p w14:paraId="01A6B7A4" w14:textId="42792E60"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State ex rel. Dispatch Printing Co. v. Wells</w:t>
      </w:r>
      <w:r w:rsidRPr="00A03E56">
        <w:rPr>
          <w:rFonts w:asciiTheme="minorHAnsi" w:hAnsiTheme="minorHAnsi" w:cstheme="minorHAnsi"/>
          <w:sz w:val="16"/>
          <w:szCs w:val="16"/>
        </w:rPr>
        <w:t>, 18 Ohio St.3d 382, 384 (1985).</w:t>
      </w:r>
    </w:p>
  </w:endnote>
  <w:endnote w:id="586">
    <w:p w14:paraId="73DFBCE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78" w:history="1">
        <w:r w:rsidRPr="00A03E56">
          <w:rPr>
            <w:rStyle w:val="Hyperlink"/>
            <w:rFonts w:asciiTheme="minorHAnsi" w:hAnsiTheme="minorHAnsi" w:cstheme="minorHAnsi"/>
            <w:sz w:val="16"/>
            <w:szCs w:val="16"/>
          </w:rPr>
          <w:t>R.C. 149.43(A)(1)(p)</w:t>
        </w:r>
      </w:hyperlink>
      <w:r w:rsidRPr="00A03E56">
        <w:rPr>
          <w:rFonts w:asciiTheme="minorHAnsi" w:hAnsiTheme="minorHAnsi" w:cstheme="minorHAnsi"/>
          <w:sz w:val="16"/>
          <w:szCs w:val="16"/>
        </w:rPr>
        <w:t xml:space="preserve">, </w:t>
      </w:r>
      <w:hyperlink r:id="rId779" w:history="1">
        <w:r w:rsidRPr="00A03E56">
          <w:rPr>
            <w:rStyle w:val="Hyperlink"/>
            <w:rFonts w:asciiTheme="minorHAnsi" w:hAnsiTheme="minorHAnsi" w:cstheme="minorHAnsi"/>
            <w:sz w:val="16"/>
            <w:szCs w:val="16"/>
          </w:rPr>
          <w:t>(A)(7)-(8)</w:t>
        </w:r>
      </w:hyperlink>
      <w:r w:rsidRPr="00A03E56">
        <w:rPr>
          <w:rFonts w:asciiTheme="minorHAnsi" w:hAnsiTheme="minorHAnsi" w:cstheme="minorHAnsi"/>
          <w:sz w:val="16"/>
          <w:szCs w:val="16"/>
        </w:rPr>
        <w:t>.</w:t>
      </w:r>
    </w:p>
  </w:endnote>
  <w:endnote w:id="587">
    <w:p w14:paraId="710563E1"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0"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(“Peace officer” has the meaning defined in </w:t>
      </w:r>
      <w:hyperlink r:id="rId781" w:history="1">
        <w:r w:rsidRPr="00A03E56">
          <w:rPr>
            <w:rStyle w:val="Hyperlink"/>
            <w:rFonts w:asciiTheme="minorHAnsi" w:hAnsiTheme="minorHAnsi" w:cstheme="minorHAnsi"/>
            <w:sz w:val="16"/>
            <w:szCs w:val="16"/>
          </w:rPr>
          <w:t>R.C. 109.71</w:t>
        </w:r>
      </w:hyperlink>
      <w:r w:rsidRPr="00A03E56">
        <w:rPr>
          <w:rFonts w:asciiTheme="minorHAnsi" w:hAnsiTheme="minorHAnsi" w:cstheme="minorHAnsi"/>
          <w:sz w:val="16"/>
          <w:szCs w:val="16"/>
        </w:rPr>
        <w:t xml:space="preserve"> and includes the “superintendent and troopers of the state highway patrol; it does not include the sheriff of a county or a supervisory employee who, in the absence of the sheriff, is authorized to stand in for, exercise the authority of, and perform the duties of the sheriff.”) </w:t>
      </w:r>
    </w:p>
  </w:endnote>
  <w:endnote w:id="588">
    <w:p w14:paraId="766365A0"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2"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(“‘Correctional employee’ means any employee of the department of rehabilitation and correction who </w:t>
      </w:r>
      <w:r w:rsidRPr="00A03E56">
        <w:rPr>
          <w:rFonts w:asciiTheme="minorHAnsi" w:hAnsiTheme="minorHAnsi" w:cstheme="minorHAnsi"/>
          <w:sz w:val="16"/>
          <w:szCs w:val="16"/>
        </w:rPr>
        <w:t>in the course of performing the employee’s job duties has or has had contact with inmates and persons under supervision.”).</w:t>
      </w:r>
    </w:p>
  </w:endnote>
  <w:endnote w:id="589">
    <w:p w14:paraId="3DB4352A"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3"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(“‘Firefighter’ means any regular, paid or volunteer, member of a lawfully constituted fire department of a municipal corporation, township, fire district, or village.”).</w:t>
      </w:r>
    </w:p>
  </w:endnote>
  <w:endnote w:id="590">
    <w:p w14:paraId="18D59265"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4"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(“Emergency service telecommunicator” has the meaning defined </w:t>
      </w:r>
      <w:hyperlink r:id="rId785" w:history="1">
        <w:r w:rsidRPr="00A03E56">
          <w:rPr>
            <w:rStyle w:val="Hyperlink"/>
            <w:rFonts w:asciiTheme="minorHAnsi" w:hAnsiTheme="minorHAnsi" w:cstheme="minorHAnsi"/>
            <w:sz w:val="16"/>
            <w:szCs w:val="16"/>
          </w:rPr>
          <w:t>R.C. 128.01</w:t>
        </w:r>
      </w:hyperlink>
      <w:r w:rsidRPr="00A03E56">
        <w:rPr>
          <w:rFonts w:asciiTheme="minorHAnsi" w:hAnsiTheme="minorHAnsi" w:cstheme="minorHAnsi"/>
          <w:sz w:val="16"/>
          <w:szCs w:val="16"/>
        </w:rPr>
        <w:t>).</w:t>
      </w:r>
    </w:p>
  </w:endnote>
  <w:endnote w:id="591">
    <w:p w14:paraId="06265AAC"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86"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(“‘Regional psychiatric hospital employee’ means any employee of the department of mental health and addiction services who, in the course of performing the employee’s duties, has contact with patients committed to the department of mental health and addiction services by a court order pursuant to” </w:t>
      </w:r>
      <w:hyperlink r:id="rId787" w:history="1">
        <w:r w:rsidRPr="00A03E56">
          <w:rPr>
            <w:rStyle w:val="Hyperlink"/>
            <w:rFonts w:asciiTheme="minorHAnsi" w:hAnsiTheme="minorHAnsi" w:cstheme="minorHAnsi"/>
            <w:sz w:val="16"/>
            <w:szCs w:val="16"/>
          </w:rPr>
          <w:t>R.C. 2945.38</w:t>
        </w:r>
      </w:hyperlink>
      <w:r w:rsidRPr="00A03E56">
        <w:rPr>
          <w:rFonts w:asciiTheme="minorHAnsi" w:hAnsiTheme="minorHAnsi" w:cstheme="minorHAnsi"/>
          <w:sz w:val="16"/>
          <w:szCs w:val="16"/>
        </w:rPr>
        <w:t xml:space="preserve">, </w:t>
      </w:r>
      <w:hyperlink r:id="rId788" w:history="1">
        <w:r w:rsidRPr="00A03E56">
          <w:rPr>
            <w:rStyle w:val="Hyperlink"/>
            <w:rFonts w:asciiTheme="minorHAnsi" w:hAnsiTheme="minorHAnsi" w:cstheme="minorHAnsi"/>
            <w:sz w:val="16"/>
            <w:szCs w:val="16"/>
          </w:rPr>
          <w:t>2945.39</w:t>
        </w:r>
      </w:hyperlink>
      <w:r w:rsidRPr="00A03E56">
        <w:rPr>
          <w:rFonts w:asciiTheme="minorHAnsi" w:hAnsiTheme="minorHAnsi" w:cstheme="minorHAnsi"/>
          <w:sz w:val="16"/>
          <w:szCs w:val="16"/>
        </w:rPr>
        <w:t xml:space="preserve">, </w:t>
      </w:r>
      <w:hyperlink r:id="rId789" w:history="1">
        <w:r w:rsidRPr="00A03E56">
          <w:rPr>
            <w:rStyle w:val="Hyperlink"/>
            <w:rFonts w:asciiTheme="minorHAnsi" w:hAnsiTheme="minorHAnsi" w:cstheme="minorHAnsi"/>
            <w:sz w:val="16"/>
            <w:szCs w:val="16"/>
          </w:rPr>
          <w:t>2945.40</w:t>
        </w:r>
      </w:hyperlink>
      <w:r w:rsidRPr="00A03E56">
        <w:rPr>
          <w:rFonts w:asciiTheme="minorHAnsi" w:hAnsiTheme="minorHAnsi" w:cstheme="minorHAnsi"/>
          <w:sz w:val="16"/>
          <w:szCs w:val="16"/>
        </w:rPr>
        <w:t xml:space="preserve">, or </w:t>
      </w:r>
      <w:hyperlink r:id="rId790" w:history="1">
        <w:r w:rsidRPr="00A03E56">
          <w:rPr>
            <w:rStyle w:val="Hyperlink"/>
            <w:rFonts w:asciiTheme="minorHAnsi" w:hAnsiTheme="minorHAnsi" w:cstheme="minorHAnsi"/>
            <w:sz w:val="16"/>
            <w:szCs w:val="16"/>
          </w:rPr>
          <w:t>2945.402</w:t>
        </w:r>
      </w:hyperlink>
      <w:r w:rsidRPr="00A03E56">
        <w:rPr>
          <w:rFonts w:asciiTheme="minorHAnsi" w:hAnsiTheme="minorHAnsi" w:cstheme="minorHAnsi"/>
          <w:sz w:val="16"/>
          <w:szCs w:val="16"/>
        </w:rPr>
        <w:t>.).</w:t>
      </w:r>
    </w:p>
  </w:endnote>
  <w:endnote w:id="592">
    <w:p w14:paraId="47EDFF56"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1"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(“‘County or multicounty corrections officer’ means any corrections officer employed by any county or multicounty </w:t>
      </w:r>
      <w:r w:rsidRPr="00A03E56">
        <w:rPr>
          <w:rFonts w:asciiTheme="minorHAnsi" w:hAnsiTheme="minorHAnsi" w:cstheme="minorHAnsi"/>
          <w:sz w:val="16"/>
          <w:szCs w:val="16"/>
        </w:rPr>
        <w:t>correctional facility.”).</w:t>
      </w:r>
    </w:p>
  </w:endnote>
  <w:endnote w:id="593">
    <w:p w14:paraId="27C41397" w14:textId="77777777" w:rsidR="00236FD5" w:rsidRPr="00A03E56" w:rsidRDefault="00236FD5"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2" w:history="1">
        <w:r w:rsidRPr="00A03E56">
          <w:rPr>
            <w:rStyle w:val="Hyperlink"/>
            <w:rFonts w:asciiTheme="minorHAnsi" w:hAnsiTheme="minorHAnsi" w:cstheme="minorHAnsi"/>
            <w:sz w:val="16"/>
            <w:szCs w:val="16"/>
          </w:rPr>
          <w:t>R.C. 149.43 (A)(9)</w:t>
        </w:r>
      </w:hyperlink>
      <w:r w:rsidRPr="00A03E56">
        <w:rPr>
          <w:rFonts w:asciiTheme="minorHAnsi" w:hAnsiTheme="minorHAnsi" w:cstheme="minorHAnsi"/>
          <w:sz w:val="16"/>
          <w:szCs w:val="16"/>
        </w:rPr>
        <w:t xml:space="preserve"> (“‘Designated Ohio national guard member’ means a member of the Ohio national guard who is participating in duties related to remotely piloted aircraft, including, but not limited to, pilots, sensor operators, and mission intelligence personnel, duties related to special forces operations, or duties related to cybersecurity, and is designated by the adjutant general as a designated public service worker for those purposes.”).</w:t>
      </w:r>
    </w:p>
  </w:endnote>
  <w:endnote w:id="594">
    <w:p w14:paraId="5FE0FCA5"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3"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(“‘Forensic mental health provider’ means any employee of a community mental health service provider or local alcohol, drug addiction, and mental health services board who, in the course of the employee’s duties, has contact with persons committed to local alcohol, drug addiction, and mental health services board by a court order pursuant to” </w:t>
      </w:r>
      <w:hyperlink r:id="rId794" w:history="1">
        <w:r w:rsidRPr="00A03E56">
          <w:rPr>
            <w:rStyle w:val="Hyperlink"/>
            <w:rFonts w:asciiTheme="minorHAnsi" w:hAnsiTheme="minorHAnsi" w:cstheme="minorHAnsi"/>
            <w:sz w:val="16"/>
            <w:szCs w:val="16"/>
          </w:rPr>
          <w:t>R.C. 2945.38</w:t>
        </w:r>
      </w:hyperlink>
      <w:r w:rsidRPr="00A03E56">
        <w:rPr>
          <w:rFonts w:asciiTheme="minorHAnsi" w:hAnsiTheme="minorHAnsi" w:cstheme="minorHAnsi"/>
          <w:sz w:val="16"/>
          <w:szCs w:val="16"/>
        </w:rPr>
        <w:t xml:space="preserve">, </w:t>
      </w:r>
      <w:hyperlink r:id="rId795" w:history="1">
        <w:r w:rsidRPr="00A03E56">
          <w:rPr>
            <w:rStyle w:val="Hyperlink"/>
            <w:rFonts w:asciiTheme="minorHAnsi" w:hAnsiTheme="minorHAnsi" w:cstheme="minorHAnsi"/>
            <w:sz w:val="16"/>
            <w:szCs w:val="16"/>
          </w:rPr>
          <w:t>2945.39</w:t>
        </w:r>
      </w:hyperlink>
      <w:r w:rsidRPr="00A03E56">
        <w:rPr>
          <w:rFonts w:asciiTheme="minorHAnsi" w:hAnsiTheme="minorHAnsi" w:cstheme="minorHAnsi"/>
          <w:sz w:val="16"/>
          <w:szCs w:val="16"/>
        </w:rPr>
        <w:t xml:space="preserve">, </w:t>
      </w:r>
      <w:hyperlink r:id="rId796" w:history="1">
        <w:r w:rsidRPr="00A03E56">
          <w:rPr>
            <w:rStyle w:val="Hyperlink"/>
            <w:rFonts w:asciiTheme="minorHAnsi" w:hAnsiTheme="minorHAnsi" w:cstheme="minorHAnsi"/>
            <w:sz w:val="16"/>
            <w:szCs w:val="16"/>
          </w:rPr>
          <w:t>2945.40</w:t>
        </w:r>
      </w:hyperlink>
      <w:r w:rsidRPr="00A03E56">
        <w:rPr>
          <w:rFonts w:asciiTheme="minorHAnsi" w:hAnsiTheme="minorHAnsi" w:cstheme="minorHAnsi"/>
          <w:sz w:val="16"/>
          <w:szCs w:val="16"/>
        </w:rPr>
        <w:t xml:space="preserve">, or </w:t>
      </w:r>
      <w:hyperlink r:id="rId797" w:history="1">
        <w:r w:rsidRPr="00A03E56">
          <w:rPr>
            <w:rStyle w:val="Hyperlink"/>
            <w:rFonts w:asciiTheme="minorHAnsi" w:hAnsiTheme="minorHAnsi" w:cstheme="minorHAnsi"/>
            <w:sz w:val="16"/>
            <w:szCs w:val="16"/>
          </w:rPr>
          <w:t>2945.402</w:t>
        </w:r>
      </w:hyperlink>
      <w:r w:rsidRPr="00A03E56">
        <w:rPr>
          <w:rFonts w:asciiTheme="minorHAnsi" w:hAnsiTheme="minorHAnsi" w:cstheme="minorHAnsi"/>
          <w:sz w:val="16"/>
          <w:szCs w:val="16"/>
        </w:rPr>
        <w:t>.).</w:t>
      </w:r>
    </w:p>
  </w:endnote>
  <w:endnote w:id="595">
    <w:p w14:paraId="3CB7312B" w14:textId="6CDF1BB0"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798"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(“‘Mental health evaluation provider’ means an individual who, under Chapter 5122 of the Revised Code, examines a respondent who is alleged to be a mentally ill person subject to court order, as defined in section </w:t>
      </w:r>
      <w:hyperlink r:id="rId799" w:history="1">
        <w:r w:rsidRPr="00A03E56">
          <w:rPr>
            <w:rStyle w:val="Hyperlink"/>
            <w:rFonts w:asciiTheme="minorHAnsi" w:hAnsiTheme="minorHAnsi" w:cstheme="minorHAnsi"/>
            <w:sz w:val="16"/>
            <w:szCs w:val="16"/>
          </w:rPr>
          <w:t>5122.01</w:t>
        </w:r>
      </w:hyperlink>
      <w:r w:rsidRPr="00A03E56">
        <w:rPr>
          <w:rFonts w:asciiTheme="minorHAnsi" w:hAnsiTheme="minorHAnsi" w:cstheme="minorHAnsi"/>
          <w:sz w:val="16"/>
          <w:szCs w:val="16"/>
        </w:rPr>
        <w:t xml:space="preserve"> of the Revised Code, and reports to the probate court the respondent’s mental condition.”).</w:t>
      </w:r>
    </w:p>
  </w:endnote>
  <w:endnote w:id="596">
    <w:p w14:paraId="154B030E"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0"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(“‘Protective services worker’ means any employee of a county agency who is responsible for child protective services, child support services, or adult protective services.”).</w:t>
      </w:r>
    </w:p>
  </w:endnote>
  <w:endnote w:id="597">
    <w:p w14:paraId="362E8926"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1"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(“Federal law enforcement officer” has the meaning defined in </w:t>
      </w:r>
      <w:hyperlink r:id="rId802" w:history="1">
        <w:r w:rsidRPr="00A03E56">
          <w:rPr>
            <w:rStyle w:val="Hyperlink"/>
            <w:rFonts w:asciiTheme="minorHAnsi" w:hAnsiTheme="minorHAnsi" w:cstheme="minorHAnsi"/>
            <w:sz w:val="16"/>
            <w:szCs w:val="16"/>
          </w:rPr>
          <w:t>R.C. 9.88</w:t>
        </w:r>
      </w:hyperlink>
      <w:r w:rsidRPr="00A03E56">
        <w:rPr>
          <w:rFonts w:asciiTheme="minorHAnsi" w:hAnsiTheme="minorHAnsi" w:cstheme="minorHAnsi"/>
          <w:sz w:val="16"/>
          <w:szCs w:val="16"/>
        </w:rPr>
        <w:t>).</w:t>
      </w:r>
    </w:p>
  </w:endnote>
  <w:endnote w:id="598">
    <w:p w14:paraId="56C671DD"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3"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(“Investigator of the Bureau of Criminal Identification and Investigation” has the meaning defined in </w:t>
      </w:r>
      <w:hyperlink r:id="rId804" w:history="1">
        <w:r w:rsidRPr="00A03E56">
          <w:rPr>
            <w:rStyle w:val="Hyperlink"/>
            <w:rFonts w:asciiTheme="minorHAnsi" w:hAnsiTheme="minorHAnsi" w:cstheme="minorHAnsi"/>
            <w:sz w:val="16"/>
            <w:szCs w:val="16"/>
          </w:rPr>
          <w:t>R.C. 2903.11</w:t>
        </w:r>
      </w:hyperlink>
      <w:r w:rsidRPr="00A03E56">
        <w:rPr>
          <w:rFonts w:asciiTheme="minorHAnsi" w:hAnsiTheme="minorHAnsi" w:cstheme="minorHAnsi"/>
          <w:sz w:val="16"/>
          <w:szCs w:val="16"/>
        </w:rPr>
        <w:t>).</w:t>
      </w:r>
    </w:p>
  </w:endnote>
  <w:endnote w:id="599">
    <w:p w14:paraId="21AF6B87"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5"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(“‘Youth services employee’ means any employee of the department of youth services who </w:t>
      </w:r>
      <w:r w:rsidRPr="00A03E56">
        <w:rPr>
          <w:rFonts w:asciiTheme="minorHAnsi" w:hAnsiTheme="minorHAnsi" w:cstheme="minorHAnsi"/>
          <w:sz w:val="16"/>
          <w:szCs w:val="16"/>
        </w:rPr>
        <w:t>in the course of performing the employee’s job duties has or has had contact with children committed to the custody of the department of youth services.”).</w:t>
      </w:r>
    </w:p>
  </w:endnote>
  <w:endnote w:id="600">
    <w:p w14:paraId="31389361" w14:textId="77777777" w:rsidR="00B504A3" w:rsidRPr="00A03E56" w:rsidRDefault="00B504A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06" w:history="1">
        <w:r w:rsidRPr="00A03E56">
          <w:rPr>
            <w:rStyle w:val="Hyperlink"/>
            <w:rFonts w:asciiTheme="minorHAnsi" w:hAnsiTheme="minorHAnsi" w:cstheme="minorHAnsi"/>
            <w:sz w:val="16"/>
            <w:szCs w:val="16"/>
          </w:rPr>
          <w:t>R.C. 149.43(A)(9)</w:t>
        </w:r>
      </w:hyperlink>
      <w:r w:rsidRPr="00A03E56">
        <w:rPr>
          <w:rFonts w:asciiTheme="minorHAnsi" w:hAnsiTheme="minorHAnsi" w:cstheme="minorHAnsi"/>
          <w:sz w:val="16"/>
          <w:szCs w:val="16"/>
        </w:rPr>
        <w:t xml:space="preserve"> (“‘EMT’ means EMTs-basic, EMTs-I, and paramedics that provide emergency medical services for a public emergency medical service organization;” “‘Emergency medical service organization,’ ‘EMT-basic,’ ‘EMT-I,’ and ‘paramedic’ have the meanings” defined in </w:t>
      </w:r>
      <w:hyperlink r:id="rId807" w:history="1">
        <w:r w:rsidRPr="00A03E56">
          <w:rPr>
            <w:rStyle w:val="Hyperlink"/>
            <w:rFonts w:asciiTheme="minorHAnsi" w:hAnsiTheme="minorHAnsi" w:cstheme="minorHAnsi"/>
            <w:sz w:val="16"/>
            <w:szCs w:val="16"/>
          </w:rPr>
          <w:t>R.C. 4765.01</w:t>
        </w:r>
      </w:hyperlink>
      <w:r w:rsidRPr="00A03E56">
        <w:rPr>
          <w:rFonts w:asciiTheme="minorHAnsi" w:hAnsiTheme="minorHAnsi" w:cstheme="minorHAnsi"/>
          <w:sz w:val="16"/>
          <w:szCs w:val="16"/>
        </w:rPr>
        <w:t>).</w:t>
      </w:r>
    </w:p>
  </w:endnote>
  <w:endnote w:id="601">
    <w:p w14:paraId="00B9CCD6" w14:textId="758A4824"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08" w:history="1">
        <w:r w:rsidR="007916D6" w:rsidRPr="00A03E56">
          <w:rPr>
            <w:rStyle w:val="Hyperlink"/>
            <w:rFonts w:asciiTheme="minorHAnsi" w:hAnsiTheme="minorHAnsi" w:cstheme="minorHAnsi"/>
            <w:sz w:val="16"/>
            <w:szCs w:val="16"/>
          </w:rPr>
          <w:t>R.C. 149.43(A)(8)(a)</w:t>
        </w:r>
      </w:hyperlink>
      <w:r w:rsidR="007916D6" w:rsidRPr="00A03E56">
        <w:rPr>
          <w:rFonts w:asciiTheme="minorHAnsi" w:hAnsiTheme="minorHAnsi" w:cstheme="minorHAnsi"/>
          <w:sz w:val="16"/>
          <w:szCs w:val="16"/>
        </w:rPr>
        <w:t>.</w:t>
      </w:r>
    </w:p>
  </w:endnote>
  <w:endnote w:id="602">
    <w:p w14:paraId="65CD97CF" w14:textId="77777777"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For purposes of this exemption, a child of a peace officer includes a natural or adopted child, a stepchild, and a minor or adult child. </w:t>
      </w:r>
      <w:r w:rsidRPr="00A03E56">
        <w:rPr>
          <w:rFonts w:asciiTheme="minorHAnsi" w:hAnsiTheme="minorHAnsi" w:cstheme="minorHAnsi"/>
          <w:i/>
          <w:iCs/>
          <w:sz w:val="16"/>
          <w:szCs w:val="16"/>
        </w:rPr>
        <w:t>See</w:t>
      </w:r>
      <w:r w:rsidRPr="00A03E56">
        <w:rPr>
          <w:rFonts w:asciiTheme="minorHAnsi" w:hAnsiTheme="minorHAnsi" w:cstheme="minorHAnsi"/>
          <w:sz w:val="16"/>
          <w:szCs w:val="16"/>
        </w:rPr>
        <w:t xml:space="preserve"> </w:t>
      </w:r>
      <w:hyperlink r:id="rId809" w:history="1">
        <w:r w:rsidRPr="00A03E56">
          <w:rPr>
            <w:rStyle w:val="Hyperlink"/>
            <w:rFonts w:asciiTheme="minorHAnsi" w:hAnsiTheme="minorHAnsi" w:cstheme="minorHAnsi"/>
            <w:sz w:val="16"/>
            <w:szCs w:val="16"/>
          </w:rPr>
          <w:t xml:space="preserve">2000 Ohio </w:t>
        </w:r>
        <w:r w:rsidRPr="00A03E56">
          <w:rPr>
            <w:rStyle w:val="Hyperlink"/>
            <w:rFonts w:asciiTheme="minorHAnsi" w:hAnsiTheme="minorHAnsi" w:cstheme="minorHAnsi"/>
            <w:sz w:val="16"/>
            <w:szCs w:val="16"/>
          </w:rPr>
          <w:t>Atty.Gen.Ops. No. 021</w:t>
        </w:r>
      </w:hyperlink>
      <w:r w:rsidRPr="00A03E56">
        <w:rPr>
          <w:rFonts w:asciiTheme="minorHAnsi" w:hAnsiTheme="minorHAnsi" w:cstheme="minorHAnsi"/>
          <w:sz w:val="16"/>
          <w:szCs w:val="16"/>
        </w:rPr>
        <w:t>.</w:t>
      </w:r>
    </w:p>
  </w:endnote>
  <w:endnote w:id="603">
    <w:p w14:paraId="623F8544" w14:textId="29E617C1"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10" w:history="1">
        <w:r w:rsidR="007916D6" w:rsidRPr="00A03E56">
          <w:rPr>
            <w:rStyle w:val="Hyperlink"/>
            <w:rFonts w:asciiTheme="minorHAnsi" w:hAnsiTheme="minorHAnsi" w:cstheme="minorHAnsi"/>
            <w:sz w:val="16"/>
            <w:szCs w:val="16"/>
          </w:rPr>
          <w:t>R.C. 149.43(A)(8)(f)</w:t>
        </w:r>
      </w:hyperlink>
      <w:r w:rsidR="007916D6" w:rsidRPr="00A03E56">
        <w:rPr>
          <w:rFonts w:asciiTheme="minorHAnsi" w:hAnsiTheme="minorHAnsi" w:cstheme="minorHAnsi"/>
          <w:sz w:val="16"/>
          <w:szCs w:val="16"/>
        </w:rPr>
        <w:t>.</w:t>
      </w:r>
    </w:p>
  </w:endnote>
  <w:endnote w:id="604">
    <w:p w14:paraId="5E05DEEE" w14:textId="03CAC083"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1" w:history="1">
        <w:r w:rsidR="007916D6" w:rsidRPr="00A03E56">
          <w:rPr>
            <w:rStyle w:val="Hyperlink"/>
            <w:rFonts w:asciiTheme="minorHAnsi" w:hAnsiTheme="minorHAnsi" w:cstheme="minorHAnsi"/>
            <w:sz w:val="16"/>
            <w:szCs w:val="16"/>
          </w:rPr>
          <w:t>R.C. 149.43(A)(8)(b)</w:t>
        </w:r>
      </w:hyperlink>
      <w:r w:rsidR="007916D6" w:rsidRPr="00A03E56">
        <w:rPr>
          <w:rFonts w:asciiTheme="minorHAnsi" w:hAnsiTheme="minorHAnsi" w:cstheme="minorHAnsi"/>
          <w:sz w:val="16"/>
          <w:szCs w:val="16"/>
        </w:rPr>
        <w:t>.</w:t>
      </w:r>
    </w:p>
  </w:endnote>
  <w:endnote w:id="605">
    <w:p w14:paraId="2C226CD8" w14:textId="158B04A0"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2" w:history="1">
        <w:r w:rsidR="007916D6" w:rsidRPr="00A03E56">
          <w:rPr>
            <w:rStyle w:val="Hyperlink"/>
            <w:rFonts w:asciiTheme="minorHAnsi" w:hAnsiTheme="minorHAnsi" w:cstheme="minorHAnsi"/>
            <w:sz w:val="16"/>
            <w:szCs w:val="16"/>
          </w:rPr>
          <w:t>R.C. 149.43(A)(8)(c)</w:t>
        </w:r>
      </w:hyperlink>
      <w:r w:rsidR="007916D6" w:rsidRPr="00A03E56">
        <w:rPr>
          <w:rFonts w:asciiTheme="minorHAnsi" w:hAnsiTheme="minorHAnsi" w:cstheme="minorHAnsi"/>
          <w:sz w:val="16"/>
          <w:szCs w:val="16"/>
        </w:rPr>
        <w:t>.</w:t>
      </w:r>
    </w:p>
  </w:endnote>
  <w:endnote w:id="606">
    <w:p w14:paraId="3F5F9F3D" w14:textId="40E809F5"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3" w:history="1">
        <w:r w:rsidR="007916D6" w:rsidRPr="00A03E56">
          <w:rPr>
            <w:rStyle w:val="Hyperlink"/>
            <w:rFonts w:asciiTheme="minorHAnsi" w:hAnsiTheme="minorHAnsi" w:cstheme="minorHAnsi"/>
            <w:sz w:val="16"/>
            <w:szCs w:val="16"/>
          </w:rPr>
          <w:t>R.C. 149.43(A)(8)(d)</w:t>
        </w:r>
      </w:hyperlink>
      <w:r w:rsidR="007916D6" w:rsidRPr="00A03E56">
        <w:rPr>
          <w:rFonts w:asciiTheme="minorHAnsi" w:hAnsiTheme="minorHAnsi" w:cstheme="minorHAnsi"/>
          <w:sz w:val="16"/>
          <w:szCs w:val="16"/>
        </w:rPr>
        <w:t>.</w:t>
      </w:r>
    </w:p>
  </w:endnote>
  <w:endnote w:id="607">
    <w:p w14:paraId="364097F9" w14:textId="589180E7"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4" w:history="1">
        <w:r w:rsidR="007916D6" w:rsidRPr="00A03E56">
          <w:rPr>
            <w:rStyle w:val="Hyperlink"/>
            <w:rFonts w:asciiTheme="minorHAnsi" w:hAnsiTheme="minorHAnsi" w:cstheme="minorHAnsi"/>
            <w:sz w:val="16"/>
            <w:szCs w:val="16"/>
          </w:rPr>
          <w:t>R.C. 149.43(A)(8)(e)</w:t>
        </w:r>
      </w:hyperlink>
      <w:r w:rsidR="007916D6" w:rsidRPr="00A03E56">
        <w:rPr>
          <w:rFonts w:asciiTheme="minorHAnsi" w:hAnsiTheme="minorHAnsi" w:cstheme="minorHAnsi"/>
          <w:sz w:val="16"/>
          <w:szCs w:val="16"/>
        </w:rPr>
        <w:t>.</w:t>
      </w:r>
    </w:p>
  </w:endnote>
  <w:endnote w:id="608">
    <w:p w14:paraId="24E86877" w14:textId="406493EC"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5" w:history="1">
        <w:r w:rsidR="007916D6" w:rsidRPr="00A03E56">
          <w:rPr>
            <w:rStyle w:val="Hyperlink"/>
            <w:rFonts w:asciiTheme="minorHAnsi" w:hAnsiTheme="minorHAnsi" w:cstheme="minorHAnsi"/>
            <w:sz w:val="16"/>
            <w:szCs w:val="16"/>
          </w:rPr>
          <w:t>R.C. 149.43(A)(8)(g)</w:t>
        </w:r>
      </w:hyperlink>
      <w:r w:rsidR="007916D6" w:rsidRPr="00A03E56">
        <w:rPr>
          <w:rFonts w:asciiTheme="minorHAnsi" w:hAnsiTheme="minorHAnsi" w:cstheme="minorHAnsi"/>
          <w:sz w:val="16"/>
          <w:szCs w:val="16"/>
        </w:rPr>
        <w:t>.</w:t>
      </w:r>
    </w:p>
  </w:endnote>
  <w:endnote w:id="609">
    <w:p w14:paraId="6845641C" w14:textId="572373CA"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6" w:history="1">
        <w:r w:rsidR="007916D6" w:rsidRPr="00A03E56">
          <w:rPr>
            <w:rStyle w:val="Hyperlink"/>
            <w:rFonts w:asciiTheme="minorHAnsi" w:hAnsiTheme="minorHAnsi" w:cstheme="minorHAnsi"/>
            <w:sz w:val="16"/>
            <w:szCs w:val="16"/>
          </w:rPr>
          <w:t>R.C. 149.43(A)(8)(c) and (f)</w:t>
        </w:r>
      </w:hyperlink>
      <w:r w:rsidR="007916D6" w:rsidRPr="00A03E56">
        <w:rPr>
          <w:rFonts w:asciiTheme="minorHAnsi" w:hAnsiTheme="minorHAnsi" w:cstheme="minorHAnsi"/>
          <w:sz w:val="16"/>
          <w:szCs w:val="16"/>
        </w:rPr>
        <w:t>.</w:t>
      </w:r>
    </w:p>
  </w:endnote>
  <w:endnote w:id="610">
    <w:p w14:paraId="52C527EE" w14:textId="6CCAEB49" w:rsidR="00614FD3" w:rsidRPr="00A03E56" w:rsidRDefault="00614FD3"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007916D6" w:rsidRPr="00A03E56">
        <w:rPr>
          <w:rFonts w:asciiTheme="minorHAnsi" w:hAnsiTheme="minorHAnsi" w:cstheme="minorHAnsi"/>
          <w:sz w:val="16"/>
          <w:szCs w:val="16"/>
        </w:rPr>
        <w:t xml:space="preserve"> </w:t>
      </w:r>
      <w:hyperlink r:id="rId817" w:history="1">
        <w:r w:rsidR="007916D6" w:rsidRPr="00A03E56">
          <w:rPr>
            <w:rStyle w:val="Hyperlink"/>
            <w:rFonts w:asciiTheme="minorHAnsi" w:hAnsiTheme="minorHAnsi" w:cstheme="minorHAnsi"/>
            <w:sz w:val="16"/>
            <w:szCs w:val="16"/>
          </w:rPr>
          <w:t>R.C. 149.43(A)(8)(f)</w:t>
        </w:r>
      </w:hyperlink>
      <w:r w:rsidR="007916D6" w:rsidRPr="00A03E56">
        <w:rPr>
          <w:rFonts w:asciiTheme="minorHAnsi" w:hAnsiTheme="minorHAnsi" w:cstheme="minorHAnsi"/>
          <w:sz w:val="16"/>
          <w:szCs w:val="16"/>
        </w:rPr>
        <w:t>.</w:t>
      </w:r>
    </w:p>
  </w:endnote>
  <w:endnote w:id="611">
    <w:p w14:paraId="0937033B"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18" w:history="1">
        <w:r w:rsidRPr="00A03E56">
          <w:rPr>
            <w:rStyle w:val="Hyperlink"/>
            <w:rFonts w:asciiTheme="minorHAnsi" w:hAnsiTheme="minorHAnsi" w:cstheme="minorHAnsi"/>
            <w:sz w:val="16"/>
            <w:szCs w:val="16"/>
          </w:rPr>
          <w:t xml:space="preserve">2000 Ohio </w:t>
        </w:r>
        <w:r w:rsidRPr="00A03E56">
          <w:rPr>
            <w:rStyle w:val="Hyperlink"/>
            <w:rFonts w:asciiTheme="minorHAnsi" w:hAnsiTheme="minorHAnsi" w:cstheme="minorHAnsi"/>
            <w:sz w:val="16"/>
            <w:szCs w:val="16"/>
          </w:rPr>
          <w:t>Atty.Gen.Ops. No. 021</w:t>
        </w:r>
      </w:hyperlink>
      <w:r w:rsidRPr="00A03E56">
        <w:rPr>
          <w:rFonts w:asciiTheme="minorHAnsi" w:hAnsiTheme="minorHAnsi" w:cstheme="minorHAnsi"/>
          <w:sz w:val="16"/>
          <w:szCs w:val="16"/>
        </w:rPr>
        <w:t>.</w:t>
      </w:r>
    </w:p>
  </w:endnote>
  <w:endnote w:id="612">
    <w:p w14:paraId="1E839B6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19" w:history="1">
        <w:r w:rsidRPr="00A03E56">
          <w:rPr>
            <w:rStyle w:val="Hyperlink"/>
            <w:rFonts w:asciiTheme="minorHAnsi" w:hAnsiTheme="minorHAnsi" w:cstheme="minorHAnsi"/>
            <w:sz w:val="16"/>
            <w:szCs w:val="16"/>
          </w:rPr>
          <w:t>R.C. 149.45(D)(1)</w:t>
        </w:r>
      </w:hyperlink>
      <w:r w:rsidRPr="00A03E56">
        <w:rPr>
          <w:rFonts w:asciiTheme="minorHAnsi" w:hAnsiTheme="minorHAnsi" w:cstheme="minorHAnsi"/>
          <w:sz w:val="16"/>
          <w:szCs w:val="16"/>
        </w:rPr>
        <w:t xml:space="preserve">. The form to make this request is available at </w:t>
      </w:r>
      <w:hyperlink r:id="rId820" w:history="1">
        <w:r w:rsidRPr="00A03E56">
          <w:rPr>
            <w:rStyle w:val="Hyperlink"/>
            <w:rFonts w:asciiTheme="minorHAnsi" w:hAnsiTheme="minorHAnsi" w:cstheme="minorHAnsi"/>
            <w:sz w:val="16"/>
            <w:szCs w:val="16"/>
          </w:rPr>
          <w:t>http://www.OhioAttorneyGeneral.gov/Sunshine</w:t>
        </w:r>
      </w:hyperlink>
      <w:r w:rsidRPr="00A03E56">
        <w:rPr>
          <w:rFonts w:asciiTheme="minorHAnsi" w:hAnsiTheme="minorHAnsi" w:cstheme="minorHAnsi"/>
          <w:sz w:val="16"/>
          <w:szCs w:val="16"/>
        </w:rPr>
        <w:t>.</w:t>
      </w:r>
    </w:p>
  </w:endnote>
  <w:endnote w:id="613">
    <w:p w14:paraId="39ED249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iCs/>
          <w:sz w:val="16"/>
          <w:szCs w:val="16"/>
        </w:rPr>
        <w:t>Kallstrom v. City of Columbus</w:t>
      </w:r>
      <w:r w:rsidRPr="00A03E56">
        <w:rPr>
          <w:rFonts w:asciiTheme="minorHAnsi" w:hAnsiTheme="minorHAnsi" w:cstheme="minorHAnsi"/>
          <w:sz w:val="16"/>
          <w:szCs w:val="16"/>
        </w:rPr>
        <w:t>, 136 F.3d 1055, 1062-63 (6th Cir. 1998).</w:t>
      </w:r>
    </w:p>
  </w:endnote>
  <w:endnote w:id="614">
    <w:p w14:paraId="59A0B554" w14:textId="595704E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1" w:history="1">
        <w:r w:rsidRPr="00A03E56">
          <w:rPr>
            <w:rStyle w:val="Hyperlink"/>
            <w:rFonts w:asciiTheme="minorHAnsi" w:hAnsiTheme="minorHAnsi" w:cstheme="minorHAnsi"/>
            <w:i/>
            <w:iCs/>
            <w:sz w:val="16"/>
            <w:szCs w:val="16"/>
          </w:rPr>
          <w:t>State ex rel. Keller v. Cox</w:t>
        </w:r>
      </w:hyperlink>
      <w:r w:rsidRPr="00A03E56">
        <w:rPr>
          <w:rFonts w:asciiTheme="minorHAnsi" w:hAnsiTheme="minorHAnsi" w:cstheme="minorHAnsi"/>
          <w:sz w:val="16"/>
          <w:szCs w:val="16"/>
        </w:rPr>
        <w:t>, 85 Ohio St. 3d 279, 282, 1999-Ohio-264</w:t>
      </w:r>
      <w:r w:rsidR="001F2F0E">
        <w:rPr>
          <w:rFonts w:asciiTheme="minorHAnsi" w:hAnsiTheme="minorHAnsi" w:cstheme="minorHAnsi"/>
          <w:sz w:val="16"/>
          <w:szCs w:val="16"/>
        </w:rPr>
        <w:t>;</w:t>
      </w:r>
      <w:r w:rsidRPr="00A03E56">
        <w:rPr>
          <w:rFonts w:asciiTheme="minorHAnsi" w:hAnsiTheme="minorHAnsi" w:cstheme="minorHAnsi"/>
          <w:sz w:val="16"/>
          <w:szCs w:val="16"/>
        </w:rPr>
        <w:t xml:space="preserve"> </w:t>
      </w:r>
      <w:r w:rsidR="001F2F0E">
        <w:rPr>
          <w:rFonts w:asciiTheme="minorHAnsi" w:hAnsiTheme="minorHAnsi" w:cstheme="minorHAnsi"/>
          <w:i/>
          <w:iCs/>
          <w:sz w:val="16"/>
          <w:szCs w:val="16"/>
        </w:rPr>
        <w:t>s</w:t>
      </w:r>
      <w:r w:rsidRPr="00A03E56">
        <w:rPr>
          <w:rFonts w:asciiTheme="minorHAnsi" w:hAnsiTheme="minorHAnsi" w:cstheme="minorHAnsi"/>
          <w:i/>
          <w:iCs/>
          <w:sz w:val="16"/>
          <w:szCs w:val="16"/>
        </w:rPr>
        <w:t>ee also</w:t>
      </w:r>
      <w:r w:rsidRPr="00A03E56">
        <w:rPr>
          <w:rFonts w:asciiTheme="minorHAnsi" w:hAnsiTheme="minorHAnsi" w:cstheme="minorHAnsi"/>
          <w:sz w:val="16"/>
          <w:szCs w:val="16"/>
        </w:rPr>
        <w:t xml:space="preserve"> </w:t>
      </w:r>
      <w:hyperlink r:id="rId822" w:history="1">
        <w:r w:rsidRPr="00A03E56">
          <w:rPr>
            <w:rStyle w:val="Hyperlink"/>
            <w:rFonts w:asciiTheme="minorHAnsi" w:hAnsiTheme="minorHAnsi" w:cstheme="minorHAnsi"/>
            <w:i/>
            <w:iCs/>
            <w:sz w:val="16"/>
            <w:szCs w:val="16"/>
          </w:rPr>
          <w:t>State ex rel. Cincinnati Enquirer v. Craig</w:t>
        </w:r>
      </w:hyperlink>
      <w:r w:rsidRPr="00A03E56">
        <w:rPr>
          <w:rFonts w:asciiTheme="minorHAnsi" w:hAnsiTheme="minorHAnsi" w:cstheme="minorHAnsi"/>
          <w:sz w:val="16"/>
          <w:szCs w:val="16"/>
        </w:rPr>
        <w:t>, 132 Ohio St.3d 68, 2012-Ohio-1999 (city properly denied a public records request for the identities of two police officers based on constitutionally protected privacy concerns).</w:t>
      </w:r>
    </w:p>
  </w:endnote>
  <w:endnote w:id="615">
    <w:p w14:paraId="05592B8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3" w:history="1">
        <w:r w:rsidRPr="00A03E56">
          <w:rPr>
            <w:rStyle w:val="Hyperlink"/>
            <w:rFonts w:asciiTheme="minorHAnsi" w:hAnsiTheme="minorHAnsi" w:cstheme="minorHAnsi"/>
            <w:sz w:val="16"/>
            <w:szCs w:val="16"/>
          </w:rPr>
          <w:t>Ohio Constitution, Article I, Section 10a(A)(1)</w:t>
        </w:r>
      </w:hyperlink>
      <w:r w:rsidRPr="00A03E56">
        <w:rPr>
          <w:rFonts w:asciiTheme="minorHAnsi" w:hAnsiTheme="minorHAnsi" w:cstheme="minorHAnsi"/>
          <w:sz w:val="16"/>
          <w:szCs w:val="16"/>
        </w:rPr>
        <w:t>.</w:t>
      </w:r>
    </w:p>
  </w:endnote>
  <w:endnote w:id="616">
    <w:p w14:paraId="48E70BD1" w14:textId="3CFEA028"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Prior to 2023, the Supreme Court of Ohio found that there was no victim right to privacy in the constitution. </w:t>
      </w:r>
      <w:r w:rsidRPr="00A03E56">
        <w:rPr>
          <w:rFonts w:asciiTheme="minorHAnsi" w:hAnsiTheme="minorHAnsi" w:cstheme="minorHAnsi"/>
          <w:i/>
          <w:iCs/>
          <w:sz w:val="16"/>
          <w:szCs w:val="16"/>
        </w:rPr>
        <w:t>See</w:t>
      </w:r>
      <w:r w:rsidRPr="00A03E56">
        <w:rPr>
          <w:rFonts w:asciiTheme="minorHAnsi" w:hAnsiTheme="minorHAnsi" w:cstheme="minorHAnsi"/>
          <w:sz w:val="16"/>
          <w:szCs w:val="16"/>
        </w:rPr>
        <w:t xml:space="preserve"> </w:t>
      </w:r>
      <w:hyperlink r:id="rId824" w:history="1">
        <w:r w:rsidRPr="00A03E56">
          <w:rPr>
            <w:rStyle w:val="Hyperlink"/>
            <w:rFonts w:asciiTheme="minorHAnsi" w:hAnsiTheme="minorHAnsi" w:cstheme="minorHAnsi"/>
            <w:i/>
            <w:iCs/>
            <w:sz w:val="16"/>
            <w:szCs w:val="16"/>
          </w:rPr>
          <w:t>State ex rel. Summers v. Fox</w:t>
        </w:r>
      </w:hyperlink>
      <w:r w:rsidRPr="00A03E56">
        <w:rPr>
          <w:rFonts w:asciiTheme="minorHAnsi" w:hAnsiTheme="minorHAnsi" w:cstheme="minorHAnsi"/>
          <w:sz w:val="16"/>
          <w:szCs w:val="16"/>
        </w:rPr>
        <w:t>, 163 Ohio St.3d 217, 2020-Ohio-5585, ¶ 41 (although a federal court recognized a sexual assault victim’s constitutional right to privacy (</w:t>
      </w:r>
      <w:r w:rsidRPr="00A03E56">
        <w:rPr>
          <w:rFonts w:asciiTheme="minorHAnsi" w:hAnsiTheme="minorHAnsi" w:cstheme="minorHAnsi"/>
          <w:i/>
          <w:iCs/>
          <w:sz w:val="16"/>
          <w:szCs w:val="16"/>
        </w:rPr>
        <w:t xml:space="preserve">Bloch v. </w:t>
      </w:r>
      <w:r w:rsidRPr="00A03E56">
        <w:rPr>
          <w:rFonts w:asciiTheme="minorHAnsi" w:hAnsiTheme="minorHAnsi" w:cstheme="minorHAnsi"/>
          <w:i/>
          <w:iCs/>
          <w:sz w:val="16"/>
          <w:szCs w:val="16"/>
        </w:rPr>
        <w:t>Ribar</w:t>
      </w:r>
      <w:r w:rsidRPr="00A03E56">
        <w:rPr>
          <w:rFonts w:asciiTheme="minorHAnsi" w:hAnsiTheme="minorHAnsi" w:cstheme="minorHAnsi"/>
          <w:sz w:val="16"/>
          <w:szCs w:val="16"/>
        </w:rPr>
        <w:t xml:space="preserve">, 156 F.3d 673 (6th Cir. 1998)) there is no “categorical exception” to disclosure of information about a sexual assault victim). But the provisions enacted through Marsy’s Law now control. </w:t>
      </w:r>
    </w:p>
  </w:endnote>
  <w:endnote w:id="617">
    <w:p w14:paraId="62BD38D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5" w:history="1">
        <w:r w:rsidRPr="00A03E56">
          <w:rPr>
            <w:rStyle w:val="Hyperlink"/>
            <w:rFonts w:asciiTheme="minorHAnsi" w:hAnsiTheme="minorHAnsi" w:cstheme="minorHAnsi"/>
            <w:sz w:val="16"/>
            <w:szCs w:val="16"/>
          </w:rPr>
          <w:t>Ohio Constitution, Article I, Section 10a(D)</w:t>
        </w:r>
      </w:hyperlink>
      <w:r w:rsidRPr="00A03E56">
        <w:rPr>
          <w:rFonts w:asciiTheme="minorHAnsi" w:hAnsiTheme="minorHAnsi" w:cstheme="minorHAnsi"/>
          <w:sz w:val="16"/>
          <w:szCs w:val="16"/>
        </w:rPr>
        <w:t xml:space="preserve">; </w:t>
      </w:r>
      <w:hyperlink r:id="rId826" w:history="1">
        <w:r w:rsidRPr="00A03E56">
          <w:rPr>
            <w:rStyle w:val="Hyperlink"/>
            <w:rFonts w:asciiTheme="minorHAnsi" w:hAnsiTheme="minorHAnsi" w:cstheme="minorHAnsi"/>
            <w:sz w:val="16"/>
            <w:szCs w:val="16"/>
          </w:rPr>
          <w:t>R.C. 2930.01(H)</w:t>
        </w:r>
      </w:hyperlink>
      <w:r w:rsidRPr="00A03E56">
        <w:rPr>
          <w:rFonts w:asciiTheme="minorHAnsi" w:hAnsiTheme="minorHAnsi" w:cstheme="minorHAnsi"/>
          <w:sz w:val="16"/>
          <w:szCs w:val="16"/>
        </w:rPr>
        <w:t>.</w:t>
      </w:r>
    </w:p>
  </w:endnote>
  <w:endnote w:id="618">
    <w:p w14:paraId="103ADA9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7" w:history="1">
        <w:r w:rsidRPr="00A03E56">
          <w:rPr>
            <w:rStyle w:val="Hyperlink"/>
            <w:rFonts w:asciiTheme="minorHAnsi" w:hAnsiTheme="minorHAnsi" w:cstheme="minorHAnsi"/>
            <w:sz w:val="16"/>
            <w:szCs w:val="16"/>
          </w:rPr>
          <w:t>R.C. 2930.02(A)(1)(a)</w:t>
        </w:r>
      </w:hyperlink>
      <w:r w:rsidRPr="00A03E56">
        <w:rPr>
          <w:rFonts w:asciiTheme="minorHAnsi" w:hAnsiTheme="minorHAnsi" w:cstheme="minorHAnsi"/>
          <w:sz w:val="16"/>
          <w:szCs w:val="16"/>
        </w:rPr>
        <w:t>.</w:t>
      </w:r>
    </w:p>
  </w:endnote>
  <w:endnote w:id="619">
    <w:p w14:paraId="3CDF983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8" w:history="1">
        <w:r w:rsidRPr="00A03E56">
          <w:rPr>
            <w:rStyle w:val="Hyperlink"/>
            <w:rFonts w:asciiTheme="minorHAnsi" w:hAnsiTheme="minorHAnsi" w:cstheme="minorHAnsi"/>
            <w:sz w:val="16"/>
            <w:szCs w:val="16"/>
          </w:rPr>
          <w:t>R.C. 2930.02(A)(1)(b)</w:t>
        </w:r>
      </w:hyperlink>
      <w:r w:rsidRPr="00A03E56">
        <w:rPr>
          <w:rFonts w:asciiTheme="minorHAnsi" w:hAnsiTheme="minorHAnsi" w:cstheme="minorHAnsi"/>
          <w:sz w:val="16"/>
          <w:szCs w:val="16"/>
        </w:rPr>
        <w:t>.</w:t>
      </w:r>
    </w:p>
  </w:endnote>
  <w:endnote w:id="620">
    <w:p w14:paraId="68DF178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29" w:history="1">
        <w:r w:rsidRPr="00A03E56">
          <w:rPr>
            <w:rStyle w:val="Hyperlink"/>
            <w:rFonts w:asciiTheme="minorHAnsi" w:hAnsiTheme="minorHAnsi" w:cstheme="minorHAnsi"/>
            <w:sz w:val="16"/>
            <w:szCs w:val="16"/>
          </w:rPr>
          <w:t>R.C. 2930.02(A)(2)</w:t>
        </w:r>
      </w:hyperlink>
      <w:r w:rsidRPr="00A03E56">
        <w:rPr>
          <w:rFonts w:asciiTheme="minorHAnsi" w:hAnsiTheme="minorHAnsi" w:cstheme="minorHAnsi"/>
          <w:sz w:val="16"/>
          <w:szCs w:val="16"/>
        </w:rPr>
        <w:t>.</w:t>
      </w:r>
    </w:p>
  </w:endnote>
  <w:endnote w:id="621">
    <w:p w14:paraId="51973E1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0" w:history="1">
        <w:r w:rsidRPr="00A03E56">
          <w:rPr>
            <w:rStyle w:val="Hyperlink"/>
            <w:rFonts w:asciiTheme="minorHAnsi" w:hAnsiTheme="minorHAnsi" w:cstheme="minorHAnsi"/>
            <w:sz w:val="16"/>
            <w:szCs w:val="16"/>
          </w:rPr>
          <w:t>R.C. 2930.04(C)(1)</w:t>
        </w:r>
      </w:hyperlink>
      <w:r w:rsidRPr="00A03E56">
        <w:rPr>
          <w:rFonts w:asciiTheme="minorHAnsi" w:hAnsiTheme="minorHAnsi" w:cstheme="minorHAnsi"/>
          <w:sz w:val="16"/>
          <w:szCs w:val="16"/>
        </w:rPr>
        <w:t>.</w:t>
      </w:r>
    </w:p>
  </w:endnote>
  <w:endnote w:id="622">
    <w:p w14:paraId="32359ED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1" w:history="1">
        <w:r w:rsidRPr="00A03E56">
          <w:rPr>
            <w:rStyle w:val="Hyperlink"/>
            <w:rFonts w:asciiTheme="minorHAnsi" w:hAnsiTheme="minorHAnsi" w:cstheme="minorHAnsi"/>
            <w:sz w:val="16"/>
            <w:szCs w:val="16"/>
          </w:rPr>
          <w:t>R.C. 2930.04(B)(1)(a)-(b)</w:t>
        </w:r>
      </w:hyperlink>
      <w:r w:rsidRPr="00A03E56">
        <w:rPr>
          <w:rFonts w:asciiTheme="minorHAnsi" w:hAnsiTheme="minorHAnsi" w:cstheme="minorHAnsi"/>
          <w:sz w:val="16"/>
          <w:szCs w:val="16"/>
        </w:rPr>
        <w:t>.</w:t>
      </w:r>
    </w:p>
  </w:endnote>
  <w:endnote w:id="623">
    <w:p w14:paraId="4E1C926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2" w:history="1">
        <w:r w:rsidRPr="00A03E56">
          <w:rPr>
            <w:rStyle w:val="Hyperlink"/>
            <w:rFonts w:asciiTheme="minorHAnsi" w:hAnsiTheme="minorHAnsi" w:cstheme="minorHAnsi"/>
            <w:sz w:val="16"/>
            <w:szCs w:val="16"/>
          </w:rPr>
          <w:t>R.C. 2930.04(B)(1)(c)</w:t>
        </w:r>
      </w:hyperlink>
      <w:r w:rsidRPr="00A03E56">
        <w:rPr>
          <w:rFonts w:asciiTheme="minorHAnsi" w:hAnsiTheme="minorHAnsi" w:cstheme="minorHAnsi"/>
          <w:sz w:val="16"/>
          <w:szCs w:val="16"/>
        </w:rPr>
        <w:t>.</w:t>
      </w:r>
    </w:p>
  </w:endnote>
  <w:endnote w:id="624">
    <w:p w14:paraId="392A290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3" w:history="1">
        <w:r w:rsidRPr="00A03E56">
          <w:rPr>
            <w:rStyle w:val="Hyperlink"/>
            <w:rFonts w:asciiTheme="minorHAnsi" w:hAnsiTheme="minorHAnsi" w:cstheme="minorHAnsi"/>
            <w:sz w:val="16"/>
            <w:szCs w:val="16"/>
          </w:rPr>
          <w:t>R.C. 2930.04(B)(1)(p)</w:t>
        </w:r>
      </w:hyperlink>
      <w:r w:rsidRPr="00A03E56">
        <w:rPr>
          <w:rFonts w:asciiTheme="minorHAnsi" w:hAnsiTheme="minorHAnsi" w:cstheme="minorHAnsi"/>
          <w:sz w:val="16"/>
          <w:szCs w:val="16"/>
        </w:rPr>
        <w:t>.</w:t>
      </w:r>
    </w:p>
  </w:endnote>
  <w:endnote w:id="625">
    <w:p w14:paraId="2174CBA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4" w:history="1">
        <w:r w:rsidRPr="00A03E56">
          <w:rPr>
            <w:rStyle w:val="Hyperlink"/>
            <w:rFonts w:asciiTheme="minorHAnsi" w:hAnsiTheme="minorHAnsi" w:cstheme="minorHAnsi"/>
            <w:sz w:val="16"/>
            <w:szCs w:val="16"/>
          </w:rPr>
          <w:t>R.C. 2930.04(B)(1)(q)</w:t>
        </w:r>
      </w:hyperlink>
      <w:r w:rsidRPr="00A03E56">
        <w:rPr>
          <w:rFonts w:asciiTheme="minorHAnsi" w:hAnsiTheme="minorHAnsi" w:cstheme="minorHAnsi"/>
          <w:sz w:val="16"/>
          <w:szCs w:val="16"/>
        </w:rPr>
        <w:t>.</w:t>
      </w:r>
    </w:p>
  </w:endnote>
  <w:endnote w:id="626">
    <w:p w14:paraId="18B6BFC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5" w:history="1">
        <w:r w:rsidRPr="00A03E56">
          <w:rPr>
            <w:rStyle w:val="Hyperlink"/>
            <w:rFonts w:asciiTheme="minorHAnsi" w:hAnsiTheme="minorHAnsi" w:cstheme="minorHAnsi"/>
            <w:sz w:val="16"/>
            <w:szCs w:val="16"/>
          </w:rPr>
          <w:t>R.C. 2930.04(B)(1)(k)</w:t>
        </w:r>
      </w:hyperlink>
      <w:r w:rsidRPr="00A03E56">
        <w:rPr>
          <w:rFonts w:asciiTheme="minorHAnsi" w:hAnsiTheme="minorHAnsi" w:cstheme="minorHAnsi"/>
          <w:sz w:val="16"/>
          <w:szCs w:val="16"/>
        </w:rPr>
        <w:t>.</w:t>
      </w:r>
    </w:p>
  </w:endnote>
  <w:endnote w:id="627">
    <w:p w14:paraId="35E73E62"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6" w:history="1">
        <w:r w:rsidRPr="00A03E56">
          <w:rPr>
            <w:rStyle w:val="Hyperlink"/>
            <w:rFonts w:asciiTheme="minorHAnsi" w:hAnsiTheme="minorHAnsi" w:cstheme="minorHAnsi"/>
            <w:sz w:val="16"/>
            <w:szCs w:val="16"/>
          </w:rPr>
          <w:t>R.C. 2930.04(B)(1)(q)(ii)</w:t>
        </w:r>
      </w:hyperlink>
      <w:r w:rsidRPr="00A03E56">
        <w:rPr>
          <w:rFonts w:asciiTheme="minorHAnsi" w:hAnsiTheme="minorHAnsi" w:cstheme="minorHAnsi"/>
          <w:sz w:val="16"/>
          <w:szCs w:val="16"/>
        </w:rPr>
        <w:t>.</w:t>
      </w:r>
    </w:p>
  </w:endnote>
  <w:endnote w:id="628">
    <w:p w14:paraId="03510554"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7" w:history="1">
        <w:r w:rsidRPr="00A03E56">
          <w:rPr>
            <w:rStyle w:val="Hyperlink"/>
            <w:rFonts w:asciiTheme="minorHAnsi" w:hAnsiTheme="minorHAnsi" w:cstheme="minorHAnsi"/>
            <w:sz w:val="16"/>
            <w:szCs w:val="16"/>
          </w:rPr>
          <w:t>R.C. 2930.04(B)(1)(v)</w:t>
        </w:r>
      </w:hyperlink>
      <w:r w:rsidRPr="00A03E56">
        <w:rPr>
          <w:rFonts w:asciiTheme="minorHAnsi" w:hAnsiTheme="minorHAnsi" w:cstheme="minorHAnsi"/>
          <w:sz w:val="16"/>
          <w:szCs w:val="16"/>
        </w:rPr>
        <w:t>.</w:t>
      </w:r>
    </w:p>
  </w:endnote>
  <w:endnote w:id="629">
    <w:p w14:paraId="5646252E"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8" w:history="1">
        <w:r w:rsidRPr="00A03E56">
          <w:rPr>
            <w:rStyle w:val="Hyperlink"/>
            <w:rFonts w:asciiTheme="minorHAnsi" w:hAnsiTheme="minorHAnsi" w:cstheme="minorHAnsi"/>
            <w:sz w:val="16"/>
            <w:szCs w:val="16"/>
          </w:rPr>
          <w:t>R.C. 2930.07(D)(1)(a)(</w:t>
        </w:r>
        <w:r w:rsidRPr="00A03E56">
          <w:rPr>
            <w:rStyle w:val="Hyperlink"/>
            <w:rFonts w:asciiTheme="minorHAnsi" w:hAnsiTheme="minorHAnsi" w:cstheme="minorHAnsi"/>
            <w:sz w:val="16"/>
            <w:szCs w:val="16"/>
          </w:rPr>
          <w:t>i)</w:t>
        </w:r>
      </w:hyperlink>
      <w:r w:rsidRPr="00A03E56">
        <w:rPr>
          <w:rFonts w:asciiTheme="minorHAnsi" w:hAnsiTheme="minorHAnsi" w:cstheme="minorHAnsi"/>
          <w:sz w:val="16"/>
          <w:szCs w:val="16"/>
        </w:rPr>
        <w:t>.</w:t>
      </w:r>
    </w:p>
  </w:endnote>
  <w:endnote w:id="630">
    <w:p w14:paraId="5C0D425C"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39" w:history="1">
        <w:r w:rsidRPr="00A03E56">
          <w:rPr>
            <w:rStyle w:val="Hyperlink"/>
            <w:rFonts w:asciiTheme="minorHAnsi" w:hAnsiTheme="minorHAnsi" w:cstheme="minorHAnsi"/>
            <w:sz w:val="16"/>
            <w:szCs w:val="16"/>
          </w:rPr>
          <w:t>R.C. 2930.07(D)(1)(a)(ii)</w:t>
        </w:r>
      </w:hyperlink>
      <w:r w:rsidRPr="00A03E56">
        <w:rPr>
          <w:rFonts w:asciiTheme="minorHAnsi" w:hAnsiTheme="minorHAnsi" w:cstheme="minorHAnsi"/>
          <w:sz w:val="16"/>
          <w:szCs w:val="16"/>
        </w:rPr>
        <w:t xml:space="preserve">; </w:t>
      </w:r>
      <w:hyperlink r:id="rId840" w:history="1">
        <w:r w:rsidRPr="00A03E56">
          <w:rPr>
            <w:rStyle w:val="Hyperlink"/>
            <w:rFonts w:asciiTheme="minorHAnsi" w:hAnsiTheme="minorHAnsi" w:cstheme="minorHAnsi"/>
            <w:sz w:val="16"/>
            <w:szCs w:val="16"/>
          </w:rPr>
          <w:t>R.C. 2930.04(E)(2)(a)</w:t>
        </w:r>
      </w:hyperlink>
      <w:r w:rsidRPr="00A03E56">
        <w:rPr>
          <w:rFonts w:asciiTheme="minorHAnsi" w:hAnsiTheme="minorHAnsi" w:cstheme="minorHAnsi"/>
          <w:sz w:val="16"/>
          <w:szCs w:val="16"/>
        </w:rPr>
        <w:t>.</w:t>
      </w:r>
    </w:p>
  </w:endnote>
  <w:endnote w:id="631">
    <w:p w14:paraId="03B79C71"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1" w:history="1">
        <w:r w:rsidRPr="00A03E56">
          <w:rPr>
            <w:rStyle w:val="Hyperlink"/>
            <w:rFonts w:asciiTheme="minorHAnsi" w:hAnsiTheme="minorHAnsi" w:cstheme="minorHAnsi"/>
            <w:sz w:val="16"/>
            <w:szCs w:val="16"/>
          </w:rPr>
          <w:t>R.C. 2930.07(D)(1)(b)</w:t>
        </w:r>
      </w:hyperlink>
      <w:r w:rsidRPr="00A03E56">
        <w:rPr>
          <w:rFonts w:asciiTheme="minorHAnsi" w:hAnsiTheme="minorHAnsi" w:cstheme="minorHAnsi"/>
          <w:sz w:val="16"/>
          <w:szCs w:val="16"/>
        </w:rPr>
        <w:t>.</w:t>
      </w:r>
    </w:p>
  </w:endnote>
  <w:endnote w:id="632">
    <w:p w14:paraId="35F9466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2" w:history="1">
        <w:r w:rsidRPr="00A03E56">
          <w:rPr>
            <w:rStyle w:val="Hyperlink"/>
            <w:rFonts w:asciiTheme="minorHAnsi" w:hAnsiTheme="minorHAnsi" w:cstheme="minorHAnsi"/>
            <w:sz w:val="16"/>
            <w:szCs w:val="16"/>
          </w:rPr>
          <w:t>R.C. 2930.07(C)</w:t>
        </w:r>
      </w:hyperlink>
      <w:r w:rsidRPr="00A03E56">
        <w:rPr>
          <w:rFonts w:asciiTheme="minorHAnsi" w:hAnsiTheme="minorHAnsi" w:cstheme="minorHAnsi"/>
          <w:sz w:val="16"/>
          <w:szCs w:val="16"/>
        </w:rPr>
        <w:t xml:space="preserve">, </w:t>
      </w:r>
      <w:hyperlink r:id="rId843" w:history="1">
        <w:r w:rsidRPr="00A03E56">
          <w:rPr>
            <w:rStyle w:val="Hyperlink"/>
            <w:rFonts w:asciiTheme="minorHAnsi" w:hAnsiTheme="minorHAnsi" w:cstheme="minorHAnsi"/>
            <w:sz w:val="16"/>
            <w:szCs w:val="16"/>
          </w:rPr>
          <w:t>(D)(1)(a)(ii)</w:t>
        </w:r>
      </w:hyperlink>
      <w:r w:rsidRPr="00A03E56">
        <w:rPr>
          <w:rFonts w:asciiTheme="minorHAnsi" w:hAnsiTheme="minorHAnsi" w:cstheme="minorHAnsi"/>
          <w:sz w:val="16"/>
          <w:szCs w:val="16"/>
        </w:rPr>
        <w:t xml:space="preserve">; </w:t>
      </w:r>
      <w:hyperlink r:id="rId844" w:history="1">
        <w:r w:rsidRPr="00A03E56">
          <w:rPr>
            <w:rStyle w:val="Hyperlink"/>
            <w:rFonts w:asciiTheme="minorHAnsi" w:hAnsiTheme="minorHAnsi" w:cstheme="minorHAnsi"/>
            <w:sz w:val="16"/>
            <w:szCs w:val="16"/>
          </w:rPr>
          <w:t>R.C. 149.43(A)(1)(v)</w:t>
        </w:r>
      </w:hyperlink>
      <w:r w:rsidRPr="00A03E56">
        <w:rPr>
          <w:rFonts w:asciiTheme="minorHAnsi" w:hAnsiTheme="minorHAnsi" w:cstheme="minorHAnsi"/>
          <w:sz w:val="16"/>
          <w:szCs w:val="16"/>
        </w:rPr>
        <w:t>.</w:t>
      </w:r>
    </w:p>
  </w:endnote>
  <w:endnote w:id="633">
    <w:p w14:paraId="370FF0A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5" w:history="1">
        <w:r w:rsidRPr="00A03E56">
          <w:rPr>
            <w:rStyle w:val="Hyperlink"/>
            <w:rFonts w:asciiTheme="minorHAnsi" w:hAnsiTheme="minorHAnsi" w:cstheme="minorHAnsi"/>
            <w:sz w:val="16"/>
            <w:szCs w:val="16"/>
          </w:rPr>
          <w:t>R.C. 2930.07(F)(2)</w:t>
        </w:r>
      </w:hyperlink>
      <w:r w:rsidRPr="00A03E56">
        <w:rPr>
          <w:rFonts w:asciiTheme="minorHAnsi" w:hAnsiTheme="minorHAnsi" w:cstheme="minorHAnsi"/>
          <w:sz w:val="16"/>
          <w:szCs w:val="16"/>
        </w:rPr>
        <w:t>.</w:t>
      </w:r>
    </w:p>
  </w:endnote>
  <w:endnote w:id="634">
    <w:p w14:paraId="799133AD"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6" w:history="1">
        <w:r w:rsidRPr="00A03E56">
          <w:rPr>
            <w:rStyle w:val="Hyperlink"/>
            <w:rFonts w:asciiTheme="minorHAnsi" w:hAnsiTheme="minorHAnsi" w:cstheme="minorHAnsi"/>
            <w:sz w:val="16"/>
            <w:szCs w:val="16"/>
          </w:rPr>
          <w:t>R.C. 2930.07(A)(1)(a)</w:t>
        </w:r>
      </w:hyperlink>
      <w:r w:rsidRPr="00A03E56">
        <w:rPr>
          <w:rFonts w:asciiTheme="minorHAnsi" w:hAnsiTheme="minorHAnsi" w:cstheme="minorHAnsi"/>
          <w:sz w:val="16"/>
          <w:szCs w:val="16"/>
        </w:rPr>
        <w:t>.</w:t>
      </w:r>
    </w:p>
  </w:endnote>
  <w:endnote w:id="635">
    <w:p w14:paraId="5278665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7" w:history="1">
        <w:r w:rsidRPr="00A03E56">
          <w:rPr>
            <w:rStyle w:val="Hyperlink"/>
            <w:rFonts w:asciiTheme="minorHAnsi" w:hAnsiTheme="minorHAnsi" w:cstheme="minorHAnsi"/>
            <w:sz w:val="16"/>
            <w:szCs w:val="16"/>
          </w:rPr>
          <w:t>R.C. 2930.07(A)(1)(a)</w:t>
        </w:r>
      </w:hyperlink>
      <w:r w:rsidRPr="00A03E56">
        <w:rPr>
          <w:rFonts w:asciiTheme="minorHAnsi" w:hAnsiTheme="minorHAnsi" w:cstheme="minorHAnsi"/>
          <w:sz w:val="16"/>
          <w:szCs w:val="16"/>
        </w:rPr>
        <w:t>.</w:t>
      </w:r>
    </w:p>
  </w:endnote>
  <w:endnote w:id="636">
    <w:p w14:paraId="6FFAE00F"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8" w:history="1">
        <w:r w:rsidRPr="00A03E56">
          <w:rPr>
            <w:rStyle w:val="Hyperlink"/>
            <w:rFonts w:asciiTheme="minorHAnsi" w:hAnsiTheme="minorHAnsi" w:cstheme="minorHAnsi"/>
            <w:sz w:val="16"/>
            <w:szCs w:val="16"/>
          </w:rPr>
          <w:t>R.C. 2930.07(A)(1)(b)</w:t>
        </w:r>
      </w:hyperlink>
      <w:r w:rsidRPr="00A03E56">
        <w:rPr>
          <w:rFonts w:asciiTheme="minorHAnsi" w:hAnsiTheme="minorHAnsi" w:cstheme="minorHAnsi"/>
          <w:sz w:val="16"/>
          <w:szCs w:val="16"/>
        </w:rPr>
        <w:t>.</w:t>
      </w:r>
    </w:p>
  </w:endnote>
  <w:endnote w:id="637">
    <w:p w14:paraId="06729218"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49" w:history="1">
        <w:r w:rsidRPr="00A03E56">
          <w:rPr>
            <w:rStyle w:val="Hyperlink"/>
            <w:rFonts w:asciiTheme="minorHAnsi" w:hAnsiTheme="minorHAnsi" w:cstheme="minorHAnsi"/>
            <w:sz w:val="16"/>
            <w:szCs w:val="16"/>
          </w:rPr>
          <w:t>R.C. 2930.07(C)</w:t>
        </w:r>
      </w:hyperlink>
      <w:r w:rsidRPr="00A03E56">
        <w:rPr>
          <w:rFonts w:asciiTheme="minorHAnsi" w:hAnsiTheme="minorHAnsi" w:cstheme="minorHAnsi"/>
          <w:sz w:val="16"/>
          <w:szCs w:val="16"/>
        </w:rPr>
        <w:t>.</w:t>
      </w:r>
    </w:p>
  </w:endnote>
  <w:endnote w:id="638">
    <w:p w14:paraId="745B52E5"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0" w:history="1">
        <w:r w:rsidRPr="00A03E56">
          <w:rPr>
            <w:rStyle w:val="Hyperlink"/>
            <w:rFonts w:asciiTheme="minorHAnsi" w:hAnsiTheme="minorHAnsi" w:cstheme="minorHAnsi"/>
            <w:sz w:val="16"/>
            <w:szCs w:val="16"/>
          </w:rPr>
          <w:t>R.C. 2930.07(C)</w:t>
        </w:r>
      </w:hyperlink>
      <w:r w:rsidRPr="00A03E56">
        <w:rPr>
          <w:rFonts w:asciiTheme="minorHAnsi" w:hAnsiTheme="minorHAnsi" w:cstheme="minorHAnsi"/>
          <w:sz w:val="16"/>
          <w:szCs w:val="16"/>
        </w:rPr>
        <w:t>.</w:t>
      </w:r>
    </w:p>
  </w:endnote>
  <w:endnote w:id="639">
    <w:p w14:paraId="6E881386"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1" w:history="1">
        <w:r w:rsidRPr="00A03E56">
          <w:rPr>
            <w:rStyle w:val="Hyperlink"/>
            <w:rFonts w:asciiTheme="minorHAnsi" w:hAnsiTheme="minorHAnsi" w:cstheme="minorHAnsi"/>
            <w:sz w:val="16"/>
            <w:szCs w:val="16"/>
          </w:rPr>
          <w:t>R.C. 2930.07(F)(3)</w:t>
        </w:r>
      </w:hyperlink>
      <w:r w:rsidRPr="00A03E56">
        <w:rPr>
          <w:rFonts w:asciiTheme="minorHAnsi" w:hAnsiTheme="minorHAnsi" w:cstheme="minorHAnsi"/>
          <w:sz w:val="16"/>
          <w:szCs w:val="16"/>
        </w:rPr>
        <w:t>.</w:t>
      </w:r>
    </w:p>
  </w:endnote>
  <w:endnote w:id="640">
    <w:p w14:paraId="7561F117"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2" w:history="1">
        <w:r w:rsidRPr="00A03E56">
          <w:rPr>
            <w:rStyle w:val="Hyperlink"/>
            <w:rFonts w:asciiTheme="minorHAnsi" w:hAnsiTheme="minorHAnsi" w:cstheme="minorHAnsi"/>
            <w:sz w:val="16"/>
            <w:szCs w:val="16"/>
          </w:rPr>
          <w:t>R.C. 2930.07(F)(5)</w:t>
        </w:r>
      </w:hyperlink>
      <w:r w:rsidRPr="00A03E56">
        <w:rPr>
          <w:rFonts w:asciiTheme="minorHAnsi" w:hAnsiTheme="minorHAnsi" w:cstheme="minorHAnsi"/>
          <w:sz w:val="16"/>
          <w:szCs w:val="16"/>
        </w:rPr>
        <w:t>.</w:t>
      </w:r>
    </w:p>
  </w:endnote>
  <w:endnote w:id="641">
    <w:p w14:paraId="496AF179" w14:textId="77777777"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3" w:history="1">
        <w:r w:rsidRPr="00A03E56">
          <w:rPr>
            <w:rStyle w:val="Hyperlink"/>
            <w:rFonts w:asciiTheme="minorHAnsi" w:hAnsiTheme="minorHAnsi" w:cstheme="minorHAnsi"/>
            <w:sz w:val="16"/>
            <w:szCs w:val="16"/>
          </w:rPr>
          <w:t>R.C. 149.43(B)(8)</w:t>
        </w:r>
      </w:hyperlink>
      <w:r w:rsidRPr="00A03E56">
        <w:rPr>
          <w:rFonts w:asciiTheme="minorHAnsi" w:hAnsiTheme="minorHAnsi" w:cstheme="minorHAnsi"/>
          <w:sz w:val="16"/>
          <w:szCs w:val="16"/>
        </w:rPr>
        <w:t xml:space="preserve">; </w:t>
      </w:r>
      <w:hyperlink r:id="rId854" w:history="1">
        <w:r w:rsidRPr="00A03E56">
          <w:rPr>
            <w:rStyle w:val="Hyperlink"/>
            <w:rFonts w:asciiTheme="minorHAnsi" w:hAnsiTheme="minorHAnsi" w:cstheme="minorHAnsi"/>
            <w:i/>
            <w:iCs/>
            <w:sz w:val="16"/>
            <w:szCs w:val="16"/>
          </w:rPr>
          <w:t>State ex rel. Papa v. Starkey</w:t>
        </w:r>
      </w:hyperlink>
      <w:r w:rsidRPr="00A03E56">
        <w:rPr>
          <w:rFonts w:asciiTheme="minorHAnsi" w:hAnsiTheme="minorHAnsi" w:cstheme="minorHAnsi"/>
          <w:sz w:val="16"/>
          <w:szCs w:val="16"/>
        </w:rPr>
        <w:t xml:space="preserve">, 5th Dist. Stark No.2014CA00001, 2014-Ohio-2989, ¶ 7-9 (the statutory process applies to an incarcerated criminal offender who seeks records relating to </w:t>
      </w:r>
      <w:r w:rsidRPr="00A03E56">
        <w:rPr>
          <w:rFonts w:asciiTheme="minorHAnsi" w:hAnsiTheme="minorHAnsi" w:cstheme="minorHAnsi"/>
          <w:i/>
          <w:sz w:val="16"/>
          <w:szCs w:val="16"/>
        </w:rPr>
        <w:t>any</w:t>
      </w:r>
      <w:r w:rsidRPr="00A03E56">
        <w:rPr>
          <w:rFonts w:asciiTheme="minorHAnsi" w:hAnsiTheme="minorHAnsi" w:cstheme="minorHAnsi"/>
          <w:sz w:val="16"/>
          <w:szCs w:val="16"/>
        </w:rPr>
        <w:t xml:space="preserve"> criminal prosecution, not just of the inmate’s own criminal case).</w:t>
      </w:r>
    </w:p>
  </w:endnote>
  <w:endnote w:id="642">
    <w:p w14:paraId="26BE7B03" w14:textId="6C603385"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55" w:history="1">
        <w:r w:rsidRPr="00A03E56">
          <w:rPr>
            <w:rStyle w:val="Hyperlink"/>
            <w:rFonts w:asciiTheme="minorHAnsi" w:hAnsiTheme="minorHAnsi" w:cstheme="minorHAnsi"/>
            <w:i/>
            <w:iCs/>
            <w:sz w:val="16"/>
            <w:szCs w:val="16"/>
          </w:rPr>
          <w:t>State ex rel. Bristow v. Chief of Police, Cedar Point Police Dept</w:t>
        </w:r>
      </w:hyperlink>
      <w:r w:rsidRPr="00A03E56">
        <w:rPr>
          <w:rFonts w:asciiTheme="minorHAnsi" w:hAnsiTheme="minorHAnsi" w:cstheme="minorHAnsi"/>
          <w:i/>
          <w:sz w:val="16"/>
          <w:szCs w:val="16"/>
        </w:rPr>
        <w:t>.</w:t>
      </w:r>
      <w:r w:rsidRPr="00A03E56">
        <w:rPr>
          <w:rFonts w:asciiTheme="minorHAnsi" w:hAnsiTheme="minorHAnsi" w:cstheme="minorHAnsi"/>
          <w:sz w:val="16"/>
          <w:szCs w:val="16"/>
        </w:rPr>
        <w:t>, 6th Dist. Erie No. E-15-066, 2016-Ohio-3084, ¶ 10.</w:t>
      </w:r>
    </w:p>
  </w:endnote>
  <w:endnote w:id="643">
    <w:p w14:paraId="7481E393" w14:textId="5CDAEAB6"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56" w:history="1">
        <w:r w:rsidRPr="00A03E56">
          <w:rPr>
            <w:rStyle w:val="Hyperlink"/>
            <w:rFonts w:asciiTheme="minorHAnsi" w:hAnsiTheme="minorHAnsi" w:cstheme="minorHAnsi"/>
            <w:i/>
            <w:iCs/>
            <w:sz w:val="16"/>
            <w:szCs w:val="16"/>
          </w:rPr>
          <w:t>State ex rel. Russell v. Thornton</w:t>
        </w:r>
      </w:hyperlink>
      <w:r w:rsidRPr="00A03E56">
        <w:rPr>
          <w:rFonts w:asciiTheme="minorHAnsi" w:hAnsiTheme="minorHAnsi" w:cstheme="minorHAnsi"/>
          <w:sz w:val="16"/>
          <w:szCs w:val="16"/>
        </w:rPr>
        <w:t>, 111 Ohio St.3d 409, 2006-Ohio-5858, ¶ 14.</w:t>
      </w:r>
    </w:p>
  </w:endnote>
  <w:endnote w:id="644">
    <w:p w14:paraId="3604752A" w14:textId="20AA98AF"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57" w:history="1">
        <w:r w:rsidRPr="00A03E56">
          <w:rPr>
            <w:rStyle w:val="Hyperlink"/>
            <w:rFonts w:asciiTheme="minorHAnsi" w:hAnsiTheme="minorHAnsi" w:cstheme="minorHAnsi"/>
            <w:i/>
            <w:iCs/>
            <w:sz w:val="16"/>
            <w:szCs w:val="16"/>
          </w:rPr>
          <w:t xml:space="preserve">State ex rel. Barb v. Cuyahoga </w:t>
        </w:r>
        <w:r w:rsidRPr="00A03E56">
          <w:rPr>
            <w:rStyle w:val="Hyperlink"/>
            <w:rFonts w:asciiTheme="minorHAnsi" w:hAnsiTheme="minorHAnsi" w:cstheme="minorHAnsi"/>
            <w:i/>
            <w:iCs/>
            <w:sz w:val="16"/>
            <w:szCs w:val="16"/>
          </w:rPr>
          <w:t>Cty. Jury Commr.</w:t>
        </w:r>
      </w:hyperlink>
      <w:r w:rsidRPr="00A03E56">
        <w:rPr>
          <w:rFonts w:asciiTheme="minorHAnsi" w:hAnsiTheme="minorHAnsi" w:cstheme="minorHAnsi"/>
          <w:sz w:val="16"/>
          <w:szCs w:val="16"/>
        </w:rPr>
        <w:t>, 128 Ohio St.3d 528, 2011-Ohio-1914, ¶ 1.</w:t>
      </w:r>
    </w:p>
  </w:endnote>
  <w:endnote w:id="645">
    <w:p w14:paraId="46D42538" w14:textId="3E5ACD65" w:rsidR="00E2327A" w:rsidRPr="00A03E56" w:rsidRDefault="00E2327A"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8" w:history="1">
        <w:r w:rsidRPr="00A03E56">
          <w:rPr>
            <w:rStyle w:val="Hyperlink"/>
            <w:rFonts w:asciiTheme="minorHAnsi" w:hAnsiTheme="minorHAnsi" w:cstheme="minorHAnsi"/>
            <w:i/>
            <w:iCs/>
            <w:sz w:val="16"/>
            <w:szCs w:val="16"/>
          </w:rPr>
          <w:t xml:space="preserve">State ex rel. </w:t>
        </w:r>
        <w:r w:rsidRPr="00A03E56">
          <w:rPr>
            <w:rStyle w:val="Hyperlink"/>
            <w:rFonts w:asciiTheme="minorHAnsi" w:hAnsiTheme="minorHAnsi" w:cstheme="minorHAnsi"/>
            <w:i/>
            <w:iCs/>
            <w:sz w:val="16"/>
            <w:szCs w:val="16"/>
          </w:rPr>
          <w:t>Summers v. Fox</w:t>
        </w:r>
      </w:hyperlink>
      <w:r w:rsidRPr="00A03E56">
        <w:rPr>
          <w:rFonts w:asciiTheme="minorHAnsi" w:hAnsiTheme="minorHAnsi" w:cstheme="minorHAnsi"/>
          <w:sz w:val="16"/>
          <w:szCs w:val="16"/>
        </w:rPr>
        <w:t>, 163 Ohio St.3d 217, 2020-Ohio-5585, ¶ 35.</w:t>
      </w:r>
    </w:p>
  </w:endnote>
  <w:endnote w:id="646">
    <w:p w14:paraId="53A4BCF8" w14:textId="6B479348"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59" w:history="1">
        <w:r w:rsidRPr="00A03E56">
          <w:rPr>
            <w:rStyle w:val="Hyperlink"/>
            <w:rFonts w:asciiTheme="minorHAnsi" w:hAnsiTheme="minorHAnsi" w:cstheme="minorHAnsi"/>
            <w:i/>
            <w:iCs/>
            <w:sz w:val="16"/>
            <w:szCs w:val="16"/>
          </w:rPr>
          <w:t xml:space="preserve">State ex rel. </w:t>
        </w:r>
        <w:r w:rsidRPr="00A03E56">
          <w:rPr>
            <w:rStyle w:val="Hyperlink"/>
            <w:rFonts w:asciiTheme="minorHAnsi" w:hAnsiTheme="minorHAnsi" w:cstheme="minorHAnsi"/>
            <w:i/>
            <w:iCs/>
            <w:sz w:val="16"/>
            <w:szCs w:val="16"/>
          </w:rPr>
          <w:t>Summers v. Fox</w:t>
        </w:r>
      </w:hyperlink>
      <w:r w:rsidRPr="00A03E56">
        <w:rPr>
          <w:rFonts w:asciiTheme="minorHAnsi" w:hAnsiTheme="minorHAnsi" w:cstheme="minorHAnsi"/>
          <w:sz w:val="16"/>
          <w:szCs w:val="16"/>
        </w:rPr>
        <w:t>, 163 Ohio St.3d 217, 2020-Ohio-5585, ¶ 34-36.</w:t>
      </w:r>
    </w:p>
  </w:endnote>
  <w:endnote w:id="647">
    <w:p w14:paraId="71F257F3" w14:textId="2F463A5A"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60" w:history="1">
        <w:r w:rsidRPr="00A03E56">
          <w:rPr>
            <w:rStyle w:val="Hyperlink"/>
            <w:rFonts w:asciiTheme="minorHAnsi" w:hAnsiTheme="minorHAnsi" w:cstheme="minorHAnsi"/>
            <w:sz w:val="16"/>
            <w:szCs w:val="16"/>
          </w:rPr>
          <w:t>R.C. 149.43(B)(8)</w:t>
        </w:r>
      </w:hyperlink>
      <w:r w:rsidRPr="00A03E56">
        <w:rPr>
          <w:rFonts w:asciiTheme="minorHAnsi" w:hAnsiTheme="minorHAnsi" w:cstheme="minorHAnsi"/>
          <w:sz w:val="16"/>
          <w:szCs w:val="16"/>
        </w:rPr>
        <w:t xml:space="preserve">; </w:t>
      </w:r>
      <w:hyperlink r:id="rId861" w:history="1">
        <w:r w:rsidRPr="00A03E56">
          <w:rPr>
            <w:rStyle w:val="Hyperlink"/>
            <w:rFonts w:asciiTheme="minorHAnsi" w:hAnsiTheme="minorHAnsi" w:cstheme="minorHAnsi"/>
            <w:i/>
            <w:iCs/>
            <w:sz w:val="16"/>
            <w:szCs w:val="16"/>
          </w:rPr>
          <w:t>McCain v. Huffman</w:t>
        </w:r>
      </w:hyperlink>
      <w:r w:rsidRPr="00A03E56">
        <w:rPr>
          <w:rFonts w:asciiTheme="minorHAnsi" w:hAnsiTheme="minorHAnsi" w:cstheme="minorHAnsi"/>
          <w:sz w:val="16"/>
          <w:szCs w:val="16"/>
        </w:rPr>
        <w:t xml:space="preserve">, 151 Ohio St.3d 611, 2017-Ohio-9241, ¶ 12 (denying an inmate request when the requested records would be “of no legal consequence”); </w:t>
      </w:r>
      <w:hyperlink r:id="rId862" w:history="1">
        <w:r w:rsidRPr="00A03E56">
          <w:rPr>
            <w:rStyle w:val="Hyperlink"/>
            <w:rFonts w:asciiTheme="minorHAnsi" w:hAnsiTheme="minorHAnsi" w:cstheme="minorHAnsi"/>
            <w:i/>
            <w:iCs/>
            <w:sz w:val="16"/>
            <w:szCs w:val="16"/>
          </w:rPr>
          <w:t>State v. Dowell</w:t>
        </w:r>
      </w:hyperlink>
      <w:r w:rsidRPr="00A03E56">
        <w:rPr>
          <w:rFonts w:asciiTheme="minorHAnsi" w:hAnsiTheme="minorHAnsi" w:cstheme="minorHAnsi"/>
          <w:sz w:val="16"/>
          <w:szCs w:val="16"/>
        </w:rPr>
        <w:t xml:space="preserve">, 8th Dist. Cuyahoga No. 102408, 2015-Ohio-3237, ¶ 8 (denying inmate request for records when inmate “did not identify any pending proceeding for which the requested records would be material”); </w:t>
      </w:r>
      <w:hyperlink r:id="rId863" w:history="1">
        <w:r w:rsidRPr="00A03E56">
          <w:rPr>
            <w:rStyle w:val="Hyperlink"/>
            <w:rFonts w:asciiTheme="minorHAnsi" w:hAnsiTheme="minorHAnsi" w:cstheme="minorHAnsi"/>
            <w:i/>
            <w:iCs/>
            <w:sz w:val="16"/>
            <w:szCs w:val="16"/>
          </w:rPr>
          <w:t>State v. Wilson</w:t>
        </w:r>
      </w:hyperlink>
      <w:r w:rsidRPr="00A03E56">
        <w:rPr>
          <w:rFonts w:asciiTheme="minorHAnsi" w:hAnsiTheme="minorHAnsi" w:cstheme="minorHAnsi"/>
          <w:sz w:val="16"/>
          <w:szCs w:val="16"/>
        </w:rPr>
        <w:t>, 2d Dist. Montgomery No. 23734, 2011-Ohio-4195 (holding application for clemency is not a “justiciable claim”).</w:t>
      </w:r>
    </w:p>
  </w:endnote>
  <w:endnote w:id="648">
    <w:p w14:paraId="7924E7A8" w14:textId="77777777"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64" w:history="1">
        <w:r w:rsidRPr="00A03E56">
          <w:rPr>
            <w:rStyle w:val="Hyperlink"/>
            <w:rFonts w:asciiTheme="minorHAnsi" w:hAnsiTheme="minorHAnsi" w:cstheme="minorHAnsi"/>
            <w:i/>
            <w:iCs/>
            <w:sz w:val="16"/>
            <w:szCs w:val="16"/>
          </w:rPr>
          <w:t>State v. Lather</w:t>
        </w:r>
      </w:hyperlink>
      <w:r w:rsidRPr="00A03E56">
        <w:rPr>
          <w:rFonts w:asciiTheme="minorHAnsi" w:hAnsiTheme="minorHAnsi" w:cstheme="minorHAnsi"/>
          <w:i/>
          <w:iCs/>
          <w:sz w:val="16"/>
          <w:szCs w:val="16"/>
        </w:rPr>
        <w:t>,</w:t>
      </w:r>
      <w:r w:rsidRPr="00A03E56">
        <w:rPr>
          <w:rFonts w:asciiTheme="minorHAnsi" w:hAnsiTheme="minorHAnsi" w:cstheme="minorHAnsi"/>
          <w:sz w:val="16"/>
          <w:szCs w:val="16"/>
        </w:rPr>
        <w:t xml:space="preserve"> 6th Dist. Sandusky No. S-08-036, 2009-Ohio-3215, ¶ 13; </w:t>
      </w:r>
      <w:hyperlink r:id="rId865" w:history="1">
        <w:r w:rsidRPr="00A03E56">
          <w:rPr>
            <w:rStyle w:val="Hyperlink"/>
            <w:rFonts w:asciiTheme="minorHAnsi" w:hAnsiTheme="minorHAnsi" w:cstheme="minorHAnsi"/>
            <w:i/>
            <w:iCs/>
            <w:sz w:val="16"/>
            <w:szCs w:val="16"/>
          </w:rPr>
          <w:t>State v. Chatfield</w:t>
        </w:r>
      </w:hyperlink>
      <w:r w:rsidRPr="00A03E56">
        <w:rPr>
          <w:rFonts w:asciiTheme="minorHAnsi" w:hAnsiTheme="minorHAnsi" w:cstheme="minorHAnsi"/>
          <w:sz w:val="16"/>
          <w:szCs w:val="16"/>
        </w:rPr>
        <w:t>, 5th Dist. Perry No. 10CA12, 2010-Ohio-4261, ¶ 14 (holding that inmate may file R.C. 149.43(B)(8) motion pro se, even if currently represented by criminal counsel in the original action).</w:t>
      </w:r>
    </w:p>
  </w:endnote>
  <w:endnote w:id="649">
    <w:p w14:paraId="17D804E8" w14:textId="69D960E1"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66" w:history="1">
        <w:r w:rsidRPr="00A03E56">
          <w:rPr>
            <w:rStyle w:val="Hyperlink"/>
            <w:rFonts w:asciiTheme="minorHAnsi" w:hAnsiTheme="minorHAnsi" w:cstheme="minorHAnsi"/>
            <w:i/>
            <w:iCs/>
            <w:sz w:val="16"/>
            <w:szCs w:val="16"/>
          </w:rPr>
          <w:t>State ex rel. Russell v. Thornton</w:t>
        </w:r>
      </w:hyperlink>
      <w:r w:rsidRPr="00A03E56">
        <w:rPr>
          <w:rFonts w:asciiTheme="minorHAnsi" w:hAnsiTheme="minorHAnsi" w:cstheme="minorHAnsi"/>
          <w:sz w:val="16"/>
          <w:szCs w:val="16"/>
        </w:rPr>
        <w:t>, 111 Ohio St.3d 409, 2006-Ohio-5858, ¶ 16-17.</w:t>
      </w:r>
    </w:p>
  </w:endnote>
  <w:endnote w:id="650">
    <w:p w14:paraId="5540E8E9" w14:textId="77777777"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i/>
          <w:iCs/>
          <w:sz w:val="16"/>
          <w:szCs w:val="16"/>
        </w:rPr>
        <w:t xml:space="preserve"> </w:t>
      </w:r>
      <w:hyperlink r:id="rId867" w:history="1">
        <w:r w:rsidRPr="00A03E56">
          <w:rPr>
            <w:rStyle w:val="Hyperlink"/>
            <w:rFonts w:asciiTheme="minorHAnsi" w:hAnsiTheme="minorHAnsi" w:cstheme="minorHAnsi"/>
            <w:i/>
            <w:iCs/>
            <w:sz w:val="16"/>
            <w:szCs w:val="16"/>
          </w:rPr>
          <w:t>State v. Heid</w:t>
        </w:r>
      </w:hyperlink>
      <w:r w:rsidRPr="00A03E56">
        <w:rPr>
          <w:rFonts w:asciiTheme="minorHAnsi" w:hAnsiTheme="minorHAnsi" w:cstheme="minorHAnsi"/>
          <w:sz w:val="16"/>
          <w:szCs w:val="16"/>
        </w:rPr>
        <w:t xml:space="preserve">, 4th Dist. Scioto No. 14CA3655, 2014-Ohio-4714, ¶ 3-5 (denial of inmate’s request for order under R.C.149.43(B)(8) is a final appealable order); </w:t>
      </w:r>
      <w:hyperlink r:id="rId868" w:history="1">
        <w:r w:rsidRPr="00A03E56">
          <w:rPr>
            <w:rStyle w:val="Hyperlink"/>
            <w:rFonts w:asciiTheme="minorHAnsi" w:hAnsiTheme="minorHAnsi" w:cstheme="minorHAnsi"/>
            <w:i/>
            <w:iCs/>
            <w:sz w:val="16"/>
            <w:szCs w:val="16"/>
          </w:rPr>
          <w:t>State v. Thornton</w:t>
        </w:r>
      </w:hyperlink>
      <w:r w:rsidRPr="00A03E56">
        <w:rPr>
          <w:rFonts w:asciiTheme="minorHAnsi" w:hAnsiTheme="minorHAnsi" w:cstheme="minorHAnsi"/>
          <w:sz w:val="16"/>
          <w:szCs w:val="16"/>
        </w:rPr>
        <w:t xml:space="preserve">, 2d Dist. Montgomery No 23291, 2009-Ohio-5049, ¶ 8; </w:t>
      </w:r>
      <w:hyperlink r:id="rId869" w:history="1">
        <w:r w:rsidRPr="00A03E56">
          <w:rPr>
            <w:rStyle w:val="Hyperlink"/>
            <w:rFonts w:asciiTheme="minorHAnsi" w:hAnsiTheme="minorHAnsi" w:cstheme="minorHAnsi"/>
            <w:i/>
            <w:iCs/>
            <w:sz w:val="16"/>
            <w:szCs w:val="16"/>
          </w:rPr>
          <w:t xml:space="preserve">State v. </w:t>
        </w:r>
        <w:r w:rsidRPr="00A03E56">
          <w:rPr>
            <w:rStyle w:val="Hyperlink"/>
            <w:rFonts w:asciiTheme="minorHAnsi" w:hAnsiTheme="minorHAnsi" w:cstheme="minorHAnsi"/>
            <w:i/>
            <w:iCs/>
            <w:sz w:val="16"/>
            <w:szCs w:val="16"/>
          </w:rPr>
          <w:t>Armengau</w:t>
        </w:r>
      </w:hyperlink>
      <w:r w:rsidRPr="00A03E56">
        <w:rPr>
          <w:rFonts w:asciiTheme="minorHAnsi" w:hAnsiTheme="minorHAnsi" w:cstheme="minorHAnsi"/>
          <w:sz w:val="16"/>
          <w:szCs w:val="16"/>
        </w:rPr>
        <w:t>, 10th Dist. Franklin No. 16AP-418, 2016-Ohio-5534, ¶ 12.</w:t>
      </w:r>
    </w:p>
  </w:endnote>
  <w:endnote w:id="651">
    <w:p w14:paraId="36340810" w14:textId="77777777"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0" w:history="1">
        <w:r w:rsidRPr="00A03E56">
          <w:rPr>
            <w:rStyle w:val="Hyperlink"/>
            <w:rFonts w:asciiTheme="minorHAnsi" w:hAnsiTheme="minorHAnsi" w:cstheme="minorHAnsi"/>
            <w:i/>
            <w:iCs/>
            <w:sz w:val="16"/>
            <w:szCs w:val="16"/>
          </w:rPr>
          <w:t xml:space="preserve">State ex rel. Bloodworth v. </w:t>
        </w:r>
        <w:r w:rsidRPr="00A03E56">
          <w:rPr>
            <w:rStyle w:val="Hyperlink"/>
            <w:rFonts w:asciiTheme="minorHAnsi" w:hAnsiTheme="minorHAnsi" w:cstheme="minorHAnsi"/>
            <w:i/>
            <w:iCs/>
            <w:sz w:val="16"/>
            <w:szCs w:val="16"/>
          </w:rPr>
          <w:t>Bogan</w:t>
        </w:r>
      </w:hyperlink>
      <w:r w:rsidRPr="00A03E56">
        <w:rPr>
          <w:rFonts w:asciiTheme="minorHAnsi" w:hAnsiTheme="minorHAnsi" w:cstheme="minorHAnsi"/>
          <w:sz w:val="16"/>
          <w:szCs w:val="16"/>
        </w:rPr>
        <w:t>, 12th Dist. Warren No. CA 2016-05-043, 2017-Ohio-7810, ¶ 26.</w:t>
      </w:r>
    </w:p>
  </w:endnote>
  <w:endnote w:id="652">
    <w:p w14:paraId="05262A5A" w14:textId="5243FE19" w:rsidR="00E2327A" w:rsidRPr="00A03E56"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1" w:history="1">
        <w:r w:rsidRPr="00A03E56">
          <w:rPr>
            <w:rStyle w:val="Hyperlink"/>
            <w:rFonts w:asciiTheme="minorHAnsi" w:hAnsiTheme="minorHAnsi" w:cstheme="minorHAnsi"/>
            <w:i/>
            <w:iCs/>
            <w:sz w:val="16"/>
            <w:szCs w:val="16"/>
          </w:rPr>
          <w:t>State ex rel. Russell v. Thornton</w:t>
        </w:r>
      </w:hyperlink>
      <w:r w:rsidRPr="00A03E56">
        <w:rPr>
          <w:rFonts w:asciiTheme="minorHAnsi" w:hAnsiTheme="minorHAnsi" w:cstheme="minorHAnsi"/>
          <w:sz w:val="16"/>
          <w:szCs w:val="16"/>
        </w:rPr>
        <w:t>, 111 Ohio St.3d 409, 2006-Ohio-5858, ¶ 4-18.</w:t>
      </w:r>
    </w:p>
  </w:endnote>
  <w:endnote w:id="653">
    <w:p w14:paraId="24337EB0" w14:textId="06310C4A" w:rsidR="00E2327A" w:rsidRPr="00E2327A" w:rsidRDefault="00E2327A" w:rsidP="002846BC">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2" w:history="1">
        <w:r w:rsidRPr="00A03E56">
          <w:rPr>
            <w:rStyle w:val="Hyperlink"/>
            <w:rFonts w:asciiTheme="minorHAnsi" w:hAnsiTheme="minorHAnsi" w:cstheme="minorHAnsi"/>
            <w:i/>
            <w:iCs/>
            <w:sz w:val="16"/>
            <w:szCs w:val="16"/>
          </w:rPr>
          <w:t>State ex rel. Ware v. Parikh</w:t>
        </w:r>
      </w:hyperlink>
      <w:r w:rsidRPr="00A03E56">
        <w:rPr>
          <w:rFonts w:asciiTheme="minorHAnsi" w:hAnsiTheme="minorHAnsi" w:cstheme="minorHAnsi"/>
          <w:sz w:val="16"/>
          <w:szCs w:val="16"/>
        </w:rPr>
        <w:t xml:space="preserve">, Slip </w:t>
      </w:r>
      <w:r w:rsidR="00315D6F">
        <w:rPr>
          <w:rFonts w:asciiTheme="minorHAnsi" w:hAnsiTheme="minorHAnsi" w:cstheme="minorHAnsi"/>
          <w:sz w:val="16"/>
          <w:szCs w:val="16"/>
        </w:rPr>
        <w:t>Op</w:t>
      </w:r>
      <w:r w:rsidRPr="00A03E56">
        <w:rPr>
          <w:rFonts w:asciiTheme="minorHAnsi" w:hAnsiTheme="minorHAnsi" w:cstheme="minorHAnsi"/>
          <w:sz w:val="16"/>
          <w:szCs w:val="16"/>
        </w:rPr>
        <w:t xml:space="preserve">. </w:t>
      </w:r>
      <w:r w:rsidR="00315D6F">
        <w:rPr>
          <w:rFonts w:asciiTheme="minorHAnsi" w:hAnsiTheme="minorHAnsi" w:cstheme="minorHAnsi"/>
          <w:sz w:val="16"/>
          <w:szCs w:val="16"/>
        </w:rPr>
        <w:t xml:space="preserve">No. </w:t>
      </w:r>
      <w:r w:rsidRPr="00A03E56">
        <w:rPr>
          <w:rFonts w:asciiTheme="minorHAnsi" w:hAnsiTheme="minorHAnsi" w:cstheme="minorHAnsi"/>
          <w:sz w:val="16"/>
          <w:szCs w:val="16"/>
        </w:rPr>
        <w:t xml:space="preserve">2022-0191, 2023-Ohio-759, ¶ 9-13 (inmate was entitled to records relating to a mandamus action and awarding statutory damages); </w:t>
      </w:r>
      <w:hyperlink r:id="rId873" w:history="1">
        <w:r w:rsidRPr="00A03E56">
          <w:rPr>
            <w:rStyle w:val="Hyperlink"/>
            <w:rFonts w:asciiTheme="minorHAnsi" w:hAnsiTheme="minorHAnsi" w:cstheme="minorHAnsi"/>
            <w:i/>
            <w:iCs/>
            <w:sz w:val="16"/>
            <w:szCs w:val="16"/>
          </w:rPr>
          <w:t>State ex rel. Gregory v. City of Toledo</w:t>
        </w:r>
      </w:hyperlink>
      <w:r w:rsidRPr="00A03E56">
        <w:rPr>
          <w:rFonts w:asciiTheme="minorHAnsi" w:hAnsiTheme="minorHAnsi" w:cstheme="minorHAnsi"/>
          <w:sz w:val="16"/>
          <w:szCs w:val="16"/>
        </w:rPr>
        <w:t>, 170 Ohio St.3d 395, 2023-Ohio-651, ¶ 10-16 (holding that, even when part of a request is barred by R.C. 149.43(B)(8), public offices may not ignore portions of inmate requests that do not relate to a criminal proceeding).</w:t>
      </w:r>
    </w:p>
  </w:endnote>
  <w:endnote w:id="654">
    <w:p w14:paraId="2CFF0D07" w14:textId="3B080BC1" w:rsidR="00857518" w:rsidRPr="00A03E56" w:rsidRDefault="00857518" w:rsidP="00A03E56">
      <w:pPr>
        <w:pStyle w:val="EndnoteText"/>
        <w:spacing w:line="160" w:lineRule="exact"/>
        <w:jc w:val="both"/>
        <w:rPr>
          <w:rFonts w:asciiTheme="minorHAnsi" w:hAnsiTheme="minorHAnsi" w:cstheme="minorHAnsi"/>
          <w:sz w:val="16"/>
          <w:szCs w:val="16"/>
        </w:rPr>
      </w:pPr>
      <w:r w:rsidRPr="0035301A">
        <w:rPr>
          <w:rStyle w:val="EndnoteReference"/>
          <w:sz w:val="16"/>
          <w:szCs w:val="16"/>
        </w:rPr>
        <w:endnoteRef/>
      </w:r>
      <w:r w:rsidRPr="0035301A">
        <w:rPr>
          <w:sz w:val="16"/>
          <w:szCs w:val="16"/>
        </w:rPr>
        <w:t xml:space="preserve"> </w:t>
      </w:r>
      <w:hyperlink r:id="rId874" w:history="1">
        <w:r w:rsidRPr="00A03E56">
          <w:rPr>
            <w:rStyle w:val="Hyperlink"/>
            <w:rFonts w:asciiTheme="minorHAnsi" w:hAnsiTheme="minorHAnsi" w:cstheme="minorHAnsi"/>
            <w:i/>
            <w:sz w:val="16"/>
            <w:szCs w:val="16"/>
          </w:rPr>
          <w:t>State ex rel. Multimedia, Inc. v. Snowden</w:t>
        </w:r>
      </w:hyperlink>
      <w:r w:rsidRPr="00A03E56">
        <w:rPr>
          <w:rFonts w:asciiTheme="minorHAnsi" w:hAnsiTheme="minorHAnsi" w:cstheme="minorHAnsi"/>
          <w:sz w:val="16"/>
          <w:szCs w:val="16"/>
        </w:rPr>
        <w:t xml:space="preserve">, 72 Ohio St.3d 141, 143 (1995); </w:t>
      </w:r>
      <w:hyperlink r:id="rId875" w:history="1">
        <w:r w:rsidRPr="00A03E56">
          <w:rPr>
            <w:rStyle w:val="Hyperlink"/>
            <w:rFonts w:asciiTheme="minorHAnsi" w:hAnsiTheme="minorHAnsi" w:cstheme="minorHAnsi"/>
            <w:i/>
            <w:sz w:val="16"/>
            <w:szCs w:val="16"/>
          </w:rPr>
          <w:t>State ex rel. Ohio Patrolmen’s Benevolent Assn. v. Mentor</w:t>
        </w:r>
      </w:hyperlink>
      <w:r w:rsidRPr="00A03E56">
        <w:rPr>
          <w:rFonts w:asciiTheme="minorHAnsi" w:hAnsiTheme="minorHAnsi" w:cstheme="minorHAnsi"/>
          <w:sz w:val="16"/>
          <w:szCs w:val="16"/>
        </w:rPr>
        <w:t xml:space="preserve">, 89 Ohio St.3d 440, 444 (2000) (addressing police personnel records); </w:t>
      </w:r>
      <w:hyperlink r:id="rId876" w:history="1">
        <w:r w:rsidRPr="00A03E56">
          <w:rPr>
            <w:rStyle w:val="Hyperlink"/>
            <w:rFonts w:asciiTheme="minorHAnsi" w:hAnsiTheme="minorHAnsi" w:cstheme="minorHAnsi"/>
            <w:sz w:val="16"/>
            <w:szCs w:val="16"/>
          </w:rPr>
          <w:t xml:space="preserve">2007 Ohio </w:t>
        </w:r>
        <w:r w:rsidRPr="00A03E56">
          <w:rPr>
            <w:rStyle w:val="Hyperlink"/>
            <w:rFonts w:asciiTheme="minorHAnsi" w:hAnsiTheme="minorHAnsi" w:cstheme="minorHAnsi"/>
            <w:sz w:val="16"/>
            <w:szCs w:val="16"/>
          </w:rPr>
          <w:t>Atty.Gen.Ops. No. 026.</w:t>
        </w:r>
      </w:hyperlink>
    </w:p>
  </w:endnote>
  <w:endnote w:id="655">
    <w:p w14:paraId="4FA387EE"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The term “personnel file” has no single definition in public records law.  </w:t>
      </w:r>
      <w:r w:rsidRPr="00A03E56">
        <w:rPr>
          <w:rFonts w:asciiTheme="minorHAnsi" w:hAnsiTheme="minorHAnsi" w:cstheme="minorHAnsi"/>
          <w:i/>
          <w:sz w:val="16"/>
          <w:szCs w:val="16"/>
        </w:rPr>
        <w:t>See</w:t>
      </w:r>
      <w:r w:rsidRPr="00A03E56">
        <w:rPr>
          <w:rFonts w:asciiTheme="minorHAnsi" w:hAnsiTheme="minorHAnsi" w:cstheme="minorHAnsi"/>
          <w:sz w:val="16"/>
          <w:szCs w:val="16"/>
        </w:rPr>
        <w:t xml:space="preserve"> </w:t>
      </w:r>
      <w:hyperlink r:id="rId877" w:history="1">
        <w:r w:rsidRPr="00A03E56">
          <w:rPr>
            <w:rStyle w:val="Hyperlink"/>
            <w:rFonts w:asciiTheme="minorHAnsi" w:hAnsiTheme="minorHAnsi" w:cstheme="minorHAnsi"/>
            <w:i/>
            <w:sz w:val="16"/>
            <w:szCs w:val="16"/>
          </w:rPr>
          <w:t>State ex rel. Morgan v. New Lexington</w:t>
        </w:r>
      </w:hyperlink>
      <w:r w:rsidRPr="00A03E56">
        <w:rPr>
          <w:rFonts w:asciiTheme="minorHAnsi" w:hAnsiTheme="minorHAnsi" w:cstheme="minorHAnsi"/>
          <w:sz w:val="16"/>
          <w:szCs w:val="16"/>
        </w:rPr>
        <w:t xml:space="preserve">, 112 Ohio St.3d 33, 2006-Ohio-6365, ¶ 57 (inferring that “records that are the functional equivalent of personnel files exist and are in the custody of the city” when a respondent claimed that no personnel files designated by the respondent existed); </w:t>
      </w:r>
      <w:hyperlink r:id="rId878" w:history="1">
        <w:r w:rsidRPr="00A03E56">
          <w:rPr>
            <w:rStyle w:val="Hyperlink"/>
            <w:rFonts w:asciiTheme="minorHAnsi" w:hAnsiTheme="minorHAnsi" w:cstheme="minorHAnsi"/>
            <w:i/>
            <w:sz w:val="16"/>
            <w:szCs w:val="16"/>
          </w:rPr>
          <w:t>Cwynar v. Jackson Twp. Bd. of Trustees</w:t>
        </w:r>
      </w:hyperlink>
      <w:r w:rsidRPr="00A03E56">
        <w:rPr>
          <w:rFonts w:asciiTheme="minorHAnsi" w:hAnsiTheme="minorHAnsi" w:cstheme="minorHAnsi"/>
          <w:sz w:val="16"/>
          <w:szCs w:val="16"/>
        </w:rPr>
        <w:t>, 178 Ohio App.3d 345, 2008-Ohio-5011, ¶ 31 (5th Dist.) (finding that, when the appellant requested only the complete personnel file and not all the records relating to an individual’s employment, “[i]t is the responsibility of the person making the public records request to identify the records with reasonable clarity”).</w:t>
      </w:r>
    </w:p>
  </w:endnote>
  <w:endnote w:id="656">
    <w:p w14:paraId="4FA28CC0" w14:textId="51F2A093"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79" w:history="1">
        <w:r w:rsidRPr="00A03E56">
          <w:rPr>
            <w:rStyle w:val="Hyperlink"/>
            <w:rFonts w:asciiTheme="minorHAnsi" w:hAnsiTheme="minorHAnsi" w:cstheme="minorHAnsi"/>
            <w:i/>
            <w:sz w:val="16"/>
            <w:szCs w:val="16"/>
          </w:rPr>
          <w:t>State ex rel. McCleary v. Roberts</w:t>
        </w:r>
      </w:hyperlink>
      <w:r w:rsidRPr="00A03E56">
        <w:rPr>
          <w:rFonts w:asciiTheme="minorHAnsi" w:hAnsiTheme="minorHAnsi" w:cstheme="minorHAnsi"/>
          <w:sz w:val="16"/>
          <w:szCs w:val="16"/>
        </w:rPr>
        <w:t xml:space="preserve">, </w:t>
      </w:r>
      <w:r w:rsidR="00EB2D47" w:rsidRPr="00C3377D">
        <w:rPr>
          <w:rFonts w:asciiTheme="minorHAnsi" w:hAnsiTheme="minorHAnsi" w:cstheme="minorHAnsi"/>
          <w:sz w:val="16"/>
          <w:szCs w:val="16"/>
        </w:rPr>
        <w:t>88 Ohio St.3d 365, 36</w:t>
      </w:r>
      <w:r w:rsidR="00EB2D47">
        <w:rPr>
          <w:rFonts w:asciiTheme="minorHAnsi" w:hAnsiTheme="minorHAnsi" w:cstheme="minorHAnsi"/>
          <w:sz w:val="16"/>
          <w:szCs w:val="16"/>
        </w:rPr>
        <w:t>7</w:t>
      </w:r>
      <w:r w:rsidR="00EB2D47" w:rsidRPr="00C3377D">
        <w:rPr>
          <w:rFonts w:asciiTheme="minorHAnsi" w:hAnsiTheme="minorHAnsi" w:cstheme="minorHAnsi"/>
          <w:sz w:val="16"/>
          <w:szCs w:val="16"/>
        </w:rPr>
        <w:t xml:space="preserve">, 2000-Ohio-345 </w:t>
      </w:r>
      <w:r w:rsidRPr="00A03E56">
        <w:rPr>
          <w:rFonts w:asciiTheme="minorHAnsi" w:hAnsiTheme="minorHAnsi" w:cstheme="minorHAnsi"/>
          <w:sz w:val="16"/>
          <w:szCs w:val="16"/>
        </w:rPr>
        <w:t xml:space="preserve">(2000); </w:t>
      </w:r>
      <w:hyperlink r:id="rId880" w:history="1">
        <w:r w:rsidRPr="00A03E56">
          <w:rPr>
            <w:rStyle w:val="Hyperlink"/>
            <w:rFonts w:asciiTheme="minorHAnsi" w:hAnsiTheme="minorHAnsi" w:cstheme="minorHAnsi"/>
            <w:i/>
            <w:sz w:val="16"/>
            <w:szCs w:val="16"/>
          </w:rPr>
          <w:t xml:space="preserve">State ex rel. </w:t>
        </w:r>
        <w:r w:rsidRPr="00A03E56">
          <w:rPr>
            <w:rStyle w:val="Hyperlink"/>
            <w:rFonts w:asciiTheme="minorHAnsi" w:hAnsiTheme="minorHAnsi" w:cstheme="minorHAnsi"/>
            <w:i/>
            <w:sz w:val="16"/>
            <w:szCs w:val="16"/>
          </w:rPr>
          <w:t>Fant v. Enright</w:t>
        </w:r>
      </w:hyperlink>
      <w:r w:rsidRPr="00A03E56">
        <w:rPr>
          <w:rFonts w:asciiTheme="minorHAnsi" w:hAnsiTheme="minorHAnsi" w:cstheme="minorHAnsi"/>
          <w:sz w:val="16"/>
          <w:szCs w:val="16"/>
        </w:rPr>
        <w:t>, 66 Ohio St.3d 186, 188 (1993) (“To the extent that any item contained in a personnel file is not a ‘record,’ i.e., does not serve to document the organization, etc., of the public office, it is not a public record and need not be disclosed.”).</w:t>
      </w:r>
    </w:p>
  </w:endnote>
  <w:endnote w:id="657">
    <w:p w14:paraId="29FE930B"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But see</w:t>
      </w:r>
      <w:r w:rsidRPr="00A03E56">
        <w:rPr>
          <w:rFonts w:asciiTheme="minorHAnsi" w:hAnsiTheme="minorHAnsi" w:cstheme="minorHAnsi"/>
          <w:sz w:val="16"/>
          <w:szCs w:val="16"/>
        </w:rPr>
        <w:t xml:space="preserve"> </w:t>
      </w:r>
      <w:hyperlink r:id="rId881" w:history="1">
        <w:r w:rsidRPr="00A03E56">
          <w:rPr>
            <w:rStyle w:val="Hyperlink"/>
            <w:rFonts w:asciiTheme="minorHAnsi" w:hAnsiTheme="minorHAnsi" w:cstheme="minorHAnsi"/>
            <w:i/>
            <w:sz w:val="16"/>
            <w:szCs w:val="16"/>
          </w:rPr>
          <w:t>State ex rel. Dispatch Printing Co. v. Johnson</w:t>
        </w:r>
      </w:hyperlink>
      <w:r w:rsidRPr="00A03E56">
        <w:rPr>
          <w:rFonts w:asciiTheme="minorHAnsi" w:hAnsiTheme="minorHAnsi" w:cstheme="minorHAnsi"/>
          <w:sz w:val="16"/>
          <w:szCs w:val="16"/>
        </w:rPr>
        <w:t xml:space="preserve">, 106 Ohio St.3d 160, 2005-Ohio-4384, ¶ 39 (an employee’s home address may constitute a “record” when it documents an office policy or practice, as when the employee’s work address is also the employee’s home address); </w:t>
      </w:r>
      <w:hyperlink r:id="rId882" w:history="1">
        <w:r w:rsidRPr="00A03E56">
          <w:rPr>
            <w:rStyle w:val="Hyperlink"/>
            <w:rFonts w:asciiTheme="minorHAnsi" w:hAnsiTheme="minorHAnsi" w:cstheme="minorHAnsi"/>
            <w:i/>
            <w:sz w:val="16"/>
            <w:szCs w:val="16"/>
          </w:rPr>
          <w:t>State ex rel. Davis v Metzger</w:t>
        </w:r>
      </w:hyperlink>
      <w:r w:rsidRPr="00A03E56">
        <w:rPr>
          <w:rFonts w:asciiTheme="minorHAnsi" w:hAnsiTheme="minorHAnsi" w:cstheme="minorHAnsi"/>
          <w:sz w:val="16"/>
          <w:szCs w:val="16"/>
        </w:rPr>
        <w:t>, 139 Ohio St.3d 423, 2014-Ohio-2329, ¶ 10 (“[P]</w:t>
      </w:r>
      <w:r w:rsidRPr="00A03E56">
        <w:rPr>
          <w:rFonts w:asciiTheme="minorHAnsi" w:hAnsiTheme="minorHAnsi" w:cstheme="minorHAnsi"/>
          <w:sz w:val="16"/>
          <w:szCs w:val="16"/>
        </w:rPr>
        <w:t>ersonnel files require careful review to redact sensitive personal information about employees that does not document that organization or function of the agency.”).</w:t>
      </w:r>
    </w:p>
  </w:endnote>
  <w:endnote w:id="658">
    <w:p w14:paraId="265BD90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3" w:history="1">
        <w:r w:rsidRPr="00A03E56">
          <w:rPr>
            <w:rStyle w:val="Hyperlink"/>
            <w:rFonts w:asciiTheme="minorHAnsi" w:hAnsiTheme="minorHAnsi" w:cstheme="minorHAnsi"/>
            <w:sz w:val="16"/>
            <w:szCs w:val="16"/>
          </w:rPr>
          <w:t>R.C. 149.434(A)</w:t>
        </w:r>
      </w:hyperlink>
      <w:r w:rsidRPr="00A03E56">
        <w:rPr>
          <w:rFonts w:asciiTheme="minorHAnsi" w:hAnsiTheme="minorHAnsi" w:cstheme="minorHAnsi"/>
          <w:sz w:val="16"/>
          <w:szCs w:val="16"/>
        </w:rPr>
        <w:t>.</w:t>
      </w:r>
    </w:p>
  </w:endnote>
  <w:endnote w:id="659">
    <w:p w14:paraId="2CA28936" w14:textId="2BA4F553"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Sengstock v. City of Twinsburg, </w:t>
      </w:r>
      <w:r w:rsidRPr="00A03E56">
        <w:rPr>
          <w:rFonts w:asciiTheme="minorHAnsi" w:hAnsiTheme="minorHAnsi" w:cstheme="minorHAnsi"/>
          <w:sz w:val="16"/>
          <w:szCs w:val="16"/>
        </w:rPr>
        <w:t xml:space="preserve">Ct. of Cl. No. 2021-00330PQ, 2021-Ohio-4438, ¶ 13, </w:t>
      </w:r>
      <w:r w:rsidRPr="00A03E56">
        <w:rPr>
          <w:rFonts w:asciiTheme="minorHAnsi" w:hAnsiTheme="minorHAnsi" w:cstheme="minorHAnsi"/>
          <w:i/>
          <w:sz w:val="16"/>
          <w:szCs w:val="16"/>
        </w:rPr>
        <w:t xml:space="preserve">adopted by </w:t>
      </w:r>
      <w:r w:rsidRPr="00A03E56">
        <w:rPr>
          <w:rFonts w:asciiTheme="minorHAnsi" w:hAnsiTheme="minorHAnsi" w:cstheme="minorHAnsi"/>
          <w:sz w:val="16"/>
          <w:szCs w:val="16"/>
        </w:rPr>
        <w:t>Ct. of Cl. No. 2021-0330PQ, 2022-Ohio-314 (juvenile employee names in a payroll record do not fall under any exemption and must be disclosed under R.C. 149.434).</w:t>
      </w:r>
    </w:p>
  </w:endnote>
  <w:endnote w:id="660">
    <w:p w14:paraId="4DD84878" w14:textId="694BAD91"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4" w:history="1">
        <w:r w:rsidRPr="00A03E56">
          <w:rPr>
            <w:rStyle w:val="Hyperlink"/>
            <w:rFonts w:asciiTheme="minorHAnsi" w:hAnsiTheme="minorHAnsi" w:cstheme="minorHAnsi"/>
            <w:i/>
            <w:sz w:val="16"/>
            <w:szCs w:val="16"/>
          </w:rPr>
          <w:t xml:space="preserve">State ex rel. Consumer News Servs. v. Worthington City Bd. of </w:t>
        </w:r>
        <w:r w:rsidRPr="00A03E56">
          <w:rPr>
            <w:rStyle w:val="Hyperlink"/>
            <w:rFonts w:asciiTheme="minorHAnsi" w:hAnsiTheme="minorHAnsi" w:cstheme="minorHAnsi"/>
            <w:i/>
            <w:sz w:val="16"/>
            <w:szCs w:val="16"/>
          </w:rPr>
          <w:t>Edn.</w:t>
        </w:r>
      </w:hyperlink>
      <w:r w:rsidRPr="00A03E56">
        <w:rPr>
          <w:rFonts w:asciiTheme="minorHAnsi" w:hAnsiTheme="minorHAnsi" w:cstheme="minorHAnsi"/>
          <w:sz w:val="16"/>
          <w:szCs w:val="16"/>
        </w:rPr>
        <w:t>, 97 Ohio St.3d 58, 2002-Ohio-5311, ¶ 53.</w:t>
      </w:r>
    </w:p>
  </w:endnote>
  <w:endnote w:id="661">
    <w:p w14:paraId="7D611183"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5" w:history="1">
        <w:r w:rsidRPr="00A03E56">
          <w:rPr>
            <w:rStyle w:val="Hyperlink"/>
            <w:rFonts w:asciiTheme="minorHAnsi" w:hAnsiTheme="minorHAnsi" w:cstheme="minorHAnsi"/>
            <w:i/>
            <w:sz w:val="16"/>
            <w:szCs w:val="16"/>
          </w:rPr>
          <w:t xml:space="preserve">State ex rel. Consumer News Servs. v. Worthington City Bd. of </w:t>
        </w:r>
        <w:r w:rsidRPr="00A03E56">
          <w:rPr>
            <w:rStyle w:val="Hyperlink"/>
            <w:rFonts w:asciiTheme="minorHAnsi" w:hAnsiTheme="minorHAnsi" w:cstheme="minorHAnsi"/>
            <w:i/>
            <w:sz w:val="16"/>
            <w:szCs w:val="16"/>
          </w:rPr>
          <w:t>Edn.</w:t>
        </w:r>
      </w:hyperlink>
      <w:r w:rsidRPr="00A03E56">
        <w:rPr>
          <w:rFonts w:asciiTheme="minorHAnsi" w:hAnsiTheme="minorHAnsi" w:cstheme="minorHAnsi"/>
          <w:sz w:val="16"/>
          <w:szCs w:val="16"/>
        </w:rPr>
        <w:t>, 97 Ohio St.3d 58, 2002-Ohio-5311, ¶ 40-47.</w:t>
      </w:r>
    </w:p>
  </w:endnote>
  <w:endnote w:id="662">
    <w:p w14:paraId="0FE9BA57" w14:textId="39CBB01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6" w:history="1">
        <w:r w:rsidRPr="00A03E56">
          <w:rPr>
            <w:rStyle w:val="Hyperlink"/>
            <w:rFonts w:asciiTheme="minorHAnsi" w:hAnsiTheme="minorHAnsi" w:cstheme="minorHAnsi"/>
            <w:i/>
            <w:sz w:val="16"/>
            <w:szCs w:val="16"/>
          </w:rPr>
          <w:t xml:space="preserve">State ex rel. Consumer News Servs. v. Worthington City Bd. of </w:t>
        </w:r>
        <w:r w:rsidRPr="00A03E56">
          <w:rPr>
            <w:rStyle w:val="Hyperlink"/>
            <w:rFonts w:asciiTheme="minorHAnsi" w:hAnsiTheme="minorHAnsi" w:cstheme="minorHAnsi"/>
            <w:i/>
            <w:sz w:val="16"/>
            <w:szCs w:val="16"/>
          </w:rPr>
          <w:t>Edn.</w:t>
        </w:r>
      </w:hyperlink>
      <w:r w:rsidRPr="00A03E56">
        <w:rPr>
          <w:rFonts w:asciiTheme="minorHAnsi" w:hAnsiTheme="minorHAnsi" w:cstheme="minorHAnsi"/>
          <w:sz w:val="16"/>
          <w:szCs w:val="16"/>
        </w:rPr>
        <w:t>, 97 Ohio St.3d 58, 2002-Ohio-5311, ¶ 46</w:t>
      </w:r>
      <w:r w:rsidR="0024351D" w:rsidRPr="00A03E56">
        <w:rPr>
          <w:rFonts w:asciiTheme="minorHAnsi" w:hAnsiTheme="minorHAnsi" w:cstheme="minorHAnsi"/>
          <w:sz w:val="16"/>
          <w:szCs w:val="16"/>
        </w:rPr>
        <w:t>.</w:t>
      </w:r>
    </w:p>
  </w:endnote>
  <w:endnote w:id="663">
    <w:p w14:paraId="149E56E0"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7" w:history="1">
        <w:r w:rsidRPr="00A03E56">
          <w:rPr>
            <w:rStyle w:val="Hyperlink"/>
            <w:rFonts w:asciiTheme="minorHAnsi" w:hAnsiTheme="minorHAnsi" w:cstheme="minorHAnsi"/>
            <w:i/>
            <w:sz w:val="16"/>
            <w:szCs w:val="16"/>
          </w:rPr>
          <w:t xml:space="preserve">State ex rel. Gannett Satellite Info. Network v. </w:t>
        </w:r>
        <w:r w:rsidRPr="00A03E56">
          <w:rPr>
            <w:rStyle w:val="Hyperlink"/>
            <w:rFonts w:asciiTheme="minorHAnsi" w:hAnsiTheme="minorHAnsi" w:cstheme="minorHAnsi"/>
            <w:i/>
            <w:sz w:val="16"/>
            <w:szCs w:val="16"/>
          </w:rPr>
          <w:t>Shirey</w:t>
        </w:r>
      </w:hyperlink>
      <w:r w:rsidRPr="00A03E56">
        <w:rPr>
          <w:rFonts w:asciiTheme="minorHAnsi" w:hAnsiTheme="minorHAnsi" w:cstheme="minorHAnsi"/>
          <w:sz w:val="16"/>
          <w:szCs w:val="16"/>
        </w:rPr>
        <w:t>, 78 Ohio St.3d 400, 403 (1997).</w:t>
      </w:r>
    </w:p>
  </w:endnote>
  <w:endnote w:id="664">
    <w:p w14:paraId="19779CDB" w14:textId="3DEC229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See </w:t>
      </w:r>
      <w:r w:rsidRPr="00A03E56">
        <w:rPr>
          <w:rFonts w:asciiTheme="minorHAnsi" w:hAnsiTheme="minorHAnsi" w:cstheme="minorHAnsi"/>
          <w:sz w:val="16"/>
          <w:szCs w:val="16"/>
        </w:rPr>
        <w:t xml:space="preserve">Chapter One: </w:t>
      </w:r>
      <w:r w:rsidR="00E0738B">
        <w:rPr>
          <w:rFonts w:asciiTheme="minorHAnsi" w:hAnsiTheme="minorHAnsi" w:cstheme="minorHAnsi"/>
          <w:sz w:val="16"/>
          <w:szCs w:val="16"/>
        </w:rPr>
        <w:t>B</w:t>
      </w:r>
      <w:r w:rsidRPr="00A03E56">
        <w:rPr>
          <w:rFonts w:asciiTheme="minorHAnsi" w:hAnsiTheme="minorHAnsi" w:cstheme="minorHAnsi"/>
          <w:sz w:val="16"/>
          <w:szCs w:val="16"/>
        </w:rPr>
        <w:t>. “W</w:t>
      </w:r>
      <w:r w:rsidR="00E0738B">
        <w:rPr>
          <w:rFonts w:asciiTheme="minorHAnsi" w:hAnsiTheme="minorHAnsi" w:cstheme="minorHAnsi"/>
          <w:sz w:val="16"/>
          <w:szCs w:val="16"/>
        </w:rPr>
        <w:t>hen is a Record</w:t>
      </w:r>
      <w:r w:rsidRPr="00A03E56">
        <w:rPr>
          <w:rFonts w:asciiTheme="minorHAnsi" w:hAnsiTheme="minorHAnsi" w:cstheme="minorHAnsi"/>
          <w:sz w:val="16"/>
          <w:szCs w:val="16"/>
        </w:rPr>
        <w:t xml:space="preserve"> ‘</w:t>
      </w:r>
      <w:r w:rsidR="00E0738B">
        <w:rPr>
          <w:rFonts w:asciiTheme="minorHAnsi" w:hAnsiTheme="minorHAnsi" w:cstheme="minorHAnsi"/>
          <w:sz w:val="16"/>
          <w:szCs w:val="16"/>
        </w:rPr>
        <w:t>K</w:t>
      </w:r>
      <w:r w:rsidRPr="00A03E56">
        <w:rPr>
          <w:rFonts w:asciiTheme="minorHAnsi" w:hAnsiTheme="minorHAnsi" w:cstheme="minorHAnsi"/>
          <w:sz w:val="16"/>
          <w:szCs w:val="16"/>
        </w:rPr>
        <w:t xml:space="preserve">ept </w:t>
      </w:r>
      <w:r w:rsidR="00E0738B">
        <w:rPr>
          <w:rFonts w:asciiTheme="minorHAnsi" w:hAnsiTheme="minorHAnsi" w:cstheme="minorHAnsi"/>
          <w:sz w:val="16"/>
          <w:szCs w:val="16"/>
        </w:rPr>
        <w:t>B</w:t>
      </w:r>
      <w:r w:rsidRPr="00A03E56">
        <w:rPr>
          <w:rFonts w:asciiTheme="minorHAnsi" w:hAnsiTheme="minorHAnsi" w:cstheme="minorHAnsi"/>
          <w:sz w:val="16"/>
          <w:szCs w:val="16"/>
        </w:rPr>
        <w:t xml:space="preserve">y’ </w:t>
      </w:r>
      <w:r w:rsidR="00E0738B">
        <w:rPr>
          <w:rFonts w:asciiTheme="minorHAnsi" w:hAnsiTheme="minorHAnsi" w:cstheme="minorHAnsi"/>
          <w:sz w:val="16"/>
          <w:szCs w:val="16"/>
        </w:rPr>
        <w:t>a Public Office?</w:t>
      </w:r>
      <w:r w:rsidRPr="00A03E56">
        <w:rPr>
          <w:rFonts w:asciiTheme="minorHAnsi" w:hAnsiTheme="minorHAnsi" w:cstheme="minorHAnsi"/>
          <w:sz w:val="16"/>
          <w:szCs w:val="16"/>
        </w:rPr>
        <w:t>”</w:t>
      </w:r>
    </w:p>
  </w:endnote>
  <w:endnote w:id="665">
    <w:p w14:paraId="1CC929FE"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8" w:history="1">
        <w:r w:rsidRPr="00A03E56">
          <w:rPr>
            <w:rStyle w:val="Hyperlink"/>
            <w:rFonts w:asciiTheme="minorHAnsi" w:hAnsiTheme="minorHAnsi" w:cstheme="minorHAnsi"/>
            <w:i/>
            <w:sz w:val="16"/>
            <w:szCs w:val="16"/>
          </w:rPr>
          <w:t xml:space="preserve">State ex rel. Cincinnati Enquirer, Div. of Gannett Satellite Info. Network, Inc. v. Cincinnati Bd. of </w:t>
        </w:r>
        <w:r w:rsidRPr="00A03E56">
          <w:rPr>
            <w:rStyle w:val="Hyperlink"/>
            <w:rFonts w:asciiTheme="minorHAnsi" w:hAnsiTheme="minorHAnsi" w:cstheme="minorHAnsi"/>
            <w:i/>
            <w:sz w:val="16"/>
            <w:szCs w:val="16"/>
          </w:rPr>
          <w:t>Edn.</w:t>
        </w:r>
      </w:hyperlink>
      <w:r w:rsidRPr="00A03E56">
        <w:rPr>
          <w:rFonts w:asciiTheme="minorHAnsi" w:hAnsiTheme="minorHAnsi" w:cstheme="minorHAnsi"/>
          <w:sz w:val="16"/>
          <w:szCs w:val="16"/>
        </w:rPr>
        <w:t>, 99 Ohio St.3d 6, 2003-Ohio-2260, ¶ 11-15.</w:t>
      </w:r>
    </w:p>
  </w:endnote>
  <w:endnote w:id="666">
    <w:p w14:paraId="6C5CC418" w14:textId="74A82550"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89" w:history="1">
        <w:r w:rsidRPr="00A03E56">
          <w:rPr>
            <w:rStyle w:val="Hyperlink"/>
            <w:rFonts w:asciiTheme="minorHAnsi" w:hAnsiTheme="minorHAnsi" w:cstheme="minorHAnsi"/>
            <w:i/>
            <w:sz w:val="16"/>
            <w:szCs w:val="16"/>
          </w:rPr>
          <w:t>State ex rel. Ohio Patrolmen’s Benevolent Assn. v. Mentor</w:t>
        </w:r>
      </w:hyperlink>
      <w:r w:rsidRPr="00A03E56">
        <w:rPr>
          <w:rFonts w:asciiTheme="minorHAnsi" w:hAnsiTheme="minorHAnsi" w:cstheme="minorHAnsi"/>
          <w:sz w:val="16"/>
          <w:szCs w:val="16"/>
        </w:rPr>
        <w:t xml:space="preserve">, 89 Ohio St.3d 440, 445 (2000), citing </w:t>
      </w:r>
      <w:hyperlink r:id="rId890" w:history="1">
        <w:r w:rsidRPr="00A03E56">
          <w:rPr>
            <w:rStyle w:val="Hyperlink"/>
            <w:rFonts w:asciiTheme="minorHAnsi" w:hAnsiTheme="minorHAnsi" w:cstheme="minorHAnsi"/>
            <w:i/>
            <w:sz w:val="16"/>
            <w:szCs w:val="16"/>
          </w:rPr>
          <w:t>State ex rel. Multimedia, Inc. v. Snowden</w:t>
        </w:r>
      </w:hyperlink>
      <w:r w:rsidRPr="00A03E56">
        <w:rPr>
          <w:rFonts w:asciiTheme="minorHAnsi" w:hAnsiTheme="minorHAnsi" w:cstheme="minorHAnsi"/>
          <w:sz w:val="16"/>
          <w:szCs w:val="16"/>
        </w:rPr>
        <w:t>, 72 Ohio St.3d 141, 142-45 (1995) (addressing all personnel, background, and investigation reports for police recruit class)</w:t>
      </w:r>
      <w:r w:rsidR="0024351D" w:rsidRPr="00A03E56">
        <w:rPr>
          <w:rFonts w:asciiTheme="minorHAnsi" w:hAnsiTheme="minorHAnsi" w:cstheme="minorHAnsi"/>
          <w:sz w:val="16"/>
          <w:szCs w:val="16"/>
        </w:rPr>
        <w:t>.</w:t>
      </w:r>
    </w:p>
  </w:endnote>
  <w:endnote w:id="667">
    <w:p w14:paraId="3DDBD038" w14:textId="72BE1FE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w:t>
      </w:r>
      <w:hyperlink r:id="rId891" w:history="1">
        <w:r w:rsidRPr="00A03E56">
          <w:rPr>
            <w:rStyle w:val="Hyperlink"/>
            <w:rFonts w:asciiTheme="minorHAnsi" w:hAnsiTheme="minorHAnsi" w:cstheme="minorHAnsi"/>
            <w:sz w:val="16"/>
            <w:szCs w:val="16"/>
          </w:rPr>
          <w:t xml:space="preserve"> R.C. 113.041(E)</w:t>
        </w:r>
      </w:hyperlink>
      <w:r w:rsidRPr="00A03E56">
        <w:rPr>
          <w:rFonts w:asciiTheme="minorHAnsi" w:hAnsiTheme="minorHAnsi" w:cstheme="minorHAnsi"/>
          <w:sz w:val="16"/>
          <w:szCs w:val="16"/>
        </w:rPr>
        <w:t xml:space="preserve"> (providing for criminal history checks of employees of the state treasurer); </w:t>
      </w:r>
      <w:hyperlink r:id="rId892" w:history="1">
        <w:r w:rsidRPr="00A03E56">
          <w:rPr>
            <w:rStyle w:val="Hyperlink"/>
            <w:rFonts w:asciiTheme="minorHAnsi" w:hAnsiTheme="minorHAnsi" w:cstheme="minorHAnsi"/>
            <w:sz w:val="16"/>
            <w:szCs w:val="16"/>
          </w:rPr>
          <w:t>R.C. 109.5721(E)</w:t>
        </w:r>
      </w:hyperlink>
      <w:r w:rsidRPr="00A03E56">
        <w:rPr>
          <w:rFonts w:asciiTheme="minorHAnsi" w:hAnsiTheme="minorHAnsi" w:cstheme="minorHAnsi"/>
          <w:sz w:val="16"/>
          <w:szCs w:val="16"/>
        </w:rPr>
        <w:t xml:space="preserve"> (regarding information of arrest or conviction received by a public office from BCI that is retained in the applicant fingerprint database); </w:t>
      </w:r>
      <w:hyperlink r:id="rId893" w:history="1">
        <w:r w:rsidRPr="00A03E56">
          <w:rPr>
            <w:rStyle w:val="Hyperlink"/>
            <w:rFonts w:asciiTheme="minorHAnsi" w:hAnsiTheme="minorHAnsi" w:cstheme="minorHAnsi"/>
            <w:sz w:val="16"/>
            <w:szCs w:val="16"/>
          </w:rPr>
          <w:t>R.C. 2151.86(E)</w:t>
        </w:r>
      </w:hyperlink>
      <w:r w:rsidRPr="00A03E56">
        <w:rPr>
          <w:rFonts w:asciiTheme="minorHAnsi" w:hAnsiTheme="minorHAnsi" w:cstheme="minorHAnsi"/>
          <w:sz w:val="16"/>
          <w:szCs w:val="16"/>
        </w:rPr>
        <w:t xml:space="preserve"> (addressing the results of criminal history checks of children’s day care employees); </w:t>
      </w:r>
      <w:hyperlink r:id="rId894" w:history="1">
        <w:r w:rsidRPr="00A03E56">
          <w:rPr>
            <w:rStyle w:val="Hyperlink"/>
            <w:rFonts w:asciiTheme="minorHAnsi" w:hAnsiTheme="minorHAnsi" w:cstheme="minorHAnsi"/>
            <w:sz w:val="16"/>
            <w:szCs w:val="16"/>
          </w:rPr>
          <w:t>R.C. 3319.39(D)</w:t>
        </w:r>
      </w:hyperlink>
      <w:r w:rsidRPr="00A03E56">
        <w:rPr>
          <w:rFonts w:asciiTheme="minorHAnsi" w:hAnsiTheme="minorHAnsi" w:cstheme="minorHAnsi"/>
          <w:sz w:val="16"/>
          <w:szCs w:val="16"/>
        </w:rPr>
        <w:t xml:space="preserve"> (addressing the results of criminal history check of teachers).  Statutes may also require dissemination of notice of an employee’s or volunteer’s conviction.  </w:t>
      </w:r>
      <w:r w:rsidRPr="00A03E56">
        <w:rPr>
          <w:rFonts w:asciiTheme="minorHAnsi" w:hAnsiTheme="minorHAnsi" w:cstheme="minorHAnsi"/>
          <w:i/>
          <w:sz w:val="16"/>
          <w:szCs w:val="16"/>
        </w:rPr>
        <w:t>See, e.g.</w:t>
      </w:r>
      <w:r w:rsidRPr="00A03E56">
        <w:rPr>
          <w:rFonts w:asciiTheme="minorHAnsi" w:hAnsiTheme="minorHAnsi" w:cstheme="minorHAnsi"/>
          <w:sz w:val="16"/>
          <w:szCs w:val="16"/>
        </w:rPr>
        <w:t>,</w:t>
      </w:r>
      <w:hyperlink r:id="rId895" w:history="1">
        <w:r w:rsidRPr="00A03E56">
          <w:rPr>
            <w:rStyle w:val="Hyperlink"/>
            <w:rFonts w:asciiTheme="minorHAnsi" w:hAnsiTheme="minorHAnsi" w:cstheme="minorHAnsi"/>
            <w:sz w:val="16"/>
            <w:szCs w:val="16"/>
          </w:rPr>
          <w:t xml:space="preserve"> R.C. 109.576</w:t>
        </w:r>
      </w:hyperlink>
      <w:r w:rsidRPr="00A03E56">
        <w:rPr>
          <w:rFonts w:asciiTheme="minorHAnsi" w:hAnsiTheme="minorHAnsi" w:cstheme="minorHAnsi"/>
          <w:sz w:val="16"/>
          <w:szCs w:val="16"/>
        </w:rPr>
        <w:t xml:space="preserve"> (providing for notice of a volunteer’s conviction when the volunteer has unsupervised access to a child).</w:t>
      </w:r>
    </w:p>
  </w:endnote>
  <w:endnote w:id="668">
    <w:p w14:paraId="34CFC5CB" w14:textId="5DD12B2E"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96" w:history="1">
        <w:r w:rsidRPr="00A03E56">
          <w:rPr>
            <w:rStyle w:val="Hyperlink"/>
            <w:rFonts w:asciiTheme="minorHAnsi" w:hAnsiTheme="minorHAnsi" w:cstheme="minorHAnsi"/>
            <w:sz w:val="16"/>
            <w:szCs w:val="16"/>
          </w:rPr>
          <w:t>R.C. 109.57(D), (H)</w:t>
        </w:r>
      </w:hyperlink>
      <w:r w:rsidRPr="00A03E56">
        <w:rPr>
          <w:rFonts w:asciiTheme="minorHAnsi" w:hAnsiTheme="minorHAnsi" w:cstheme="minorHAnsi"/>
          <w:sz w:val="16"/>
          <w:szCs w:val="16"/>
        </w:rPr>
        <w:t xml:space="preserve">; </w:t>
      </w:r>
      <w:hyperlink r:id="rId897" w:history="1">
        <w:r w:rsidRPr="00A03E56">
          <w:rPr>
            <w:rStyle w:val="Hyperlink"/>
            <w:rFonts w:asciiTheme="minorHAnsi" w:hAnsiTheme="minorHAnsi" w:cstheme="minorHAnsi"/>
            <w:sz w:val="16"/>
            <w:szCs w:val="16"/>
          </w:rPr>
          <w:t>O.A.C. 4501:2-10-06(C)</w:t>
        </w:r>
      </w:hyperlink>
      <w:r w:rsidRPr="00A03E56">
        <w:rPr>
          <w:rFonts w:asciiTheme="minorHAnsi" w:hAnsiTheme="minorHAnsi" w:cstheme="minorHAnsi"/>
          <w:sz w:val="16"/>
          <w:szCs w:val="16"/>
        </w:rPr>
        <w:t>; 34 U.S.C. 10231; 28 C.F.R. 20.33</w:t>
      </w:r>
      <w:r w:rsidR="0024351D" w:rsidRPr="00A03E56">
        <w:rPr>
          <w:rFonts w:asciiTheme="minorHAnsi" w:hAnsiTheme="minorHAnsi" w:cstheme="minorHAnsi"/>
          <w:sz w:val="16"/>
          <w:szCs w:val="16"/>
        </w:rPr>
        <w:t>.</w:t>
      </w:r>
    </w:p>
  </w:endnote>
  <w:endnote w:id="669">
    <w:p w14:paraId="6AAAE3CE"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98" w:history="1">
        <w:r w:rsidRPr="00A03E56">
          <w:rPr>
            <w:rStyle w:val="Hyperlink"/>
            <w:rFonts w:asciiTheme="minorHAnsi" w:hAnsiTheme="minorHAnsi" w:cstheme="minorHAnsi"/>
            <w:i/>
            <w:sz w:val="16"/>
            <w:szCs w:val="16"/>
          </w:rPr>
          <w:t>State ex rel. Freedom Communications, Inc. v. Elida Community Fire Co.</w:t>
        </w:r>
      </w:hyperlink>
      <w:r w:rsidRPr="00A03E56">
        <w:rPr>
          <w:rFonts w:asciiTheme="minorHAnsi" w:hAnsiTheme="minorHAnsi" w:cstheme="minorHAnsi"/>
          <w:sz w:val="16"/>
          <w:szCs w:val="16"/>
        </w:rPr>
        <w:t>, 82 Ohio St.3d 578, 581-82 (1998) (an investigation of an alleged sexual assault conducted internally as a personnel matter is not a law enforcement matter).</w:t>
      </w:r>
    </w:p>
  </w:endnote>
  <w:endnote w:id="670">
    <w:p w14:paraId="38F252BE" w14:textId="5A36E42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899" w:history="1">
        <w:r w:rsidRPr="00A03E56">
          <w:rPr>
            <w:rStyle w:val="Hyperlink"/>
            <w:rFonts w:asciiTheme="minorHAnsi" w:hAnsiTheme="minorHAnsi" w:cstheme="minorHAnsi"/>
            <w:i/>
            <w:sz w:val="16"/>
            <w:szCs w:val="16"/>
          </w:rPr>
          <w:t>State ex rel. Multimedia, Inc. v. Snowden</w:t>
        </w:r>
      </w:hyperlink>
      <w:r w:rsidRPr="00A03E56">
        <w:rPr>
          <w:rFonts w:asciiTheme="minorHAnsi" w:hAnsiTheme="minorHAnsi" w:cstheme="minorHAnsi"/>
          <w:sz w:val="16"/>
          <w:szCs w:val="16"/>
        </w:rPr>
        <w:t>, 72 Ohio St.3d 141, 142 (1995) (records of police officer</w:t>
      </w:r>
      <w:r w:rsidR="0024351D" w:rsidRPr="00A03E56">
        <w:rPr>
          <w:rFonts w:asciiTheme="minorHAnsi" w:hAnsiTheme="minorHAnsi" w:cstheme="minorHAnsi"/>
          <w:sz w:val="16"/>
          <w:szCs w:val="16"/>
        </w:rPr>
        <w:t>’s</w:t>
      </w:r>
      <w:r w:rsidRPr="00A03E56">
        <w:rPr>
          <w:rFonts w:asciiTheme="minorHAnsi" w:hAnsiTheme="minorHAnsi" w:cstheme="minorHAnsi"/>
          <w:sz w:val="16"/>
          <w:szCs w:val="16"/>
        </w:rPr>
        <w:t xml:space="preserve"> </w:t>
      </w:r>
      <w:r w:rsidR="0024351D" w:rsidRPr="00A03E56">
        <w:rPr>
          <w:rFonts w:asciiTheme="minorHAnsi" w:hAnsiTheme="minorHAnsi" w:cstheme="minorHAnsi"/>
          <w:sz w:val="16"/>
          <w:szCs w:val="16"/>
        </w:rPr>
        <w:t>disciplinary action</w:t>
      </w:r>
      <w:r w:rsidRPr="00A03E56">
        <w:rPr>
          <w:rFonts w:asciiTheme="minorHAnsi" w:hAnsiTheme="minorHAnsi" w:cstheme="minorHAnsi"/>
          <w:sz w:val="16"/>
          <w:szCs w:val="16"/>
        </w:rPr>
        <w:t xml:space="preserve"> </w:t>
      </w:r>
      <w:r w:rsidRPr="00A03E56">
        <w:rPr>
          <w:rFonts w:asciiTheme="minorHAnsi" w:hAnsiTheme="minorHAnsi" w:cstheme="minorHAnsi"/>
          <w:sz w:val="16"/>
          <w:szCs w:val="16"/>
        </w:rPr>
        <w:t xml:space="preserve">not </w:t>
      </w:r>
      <w:r w:rsidR="0024351D" w:rsidRPr="00A03E56">
        <w:rPr>
          <w:rFonts w:asciiTheme="minorHAnsi" w:hAnsiTheme="minorHAnsi" w:cstheme="minorHAnsi"/>
          <w:sz w:val="16"/>
          <w:szCs w:val="16"/>
        </w:rPr>
        <w:t xml:space="preserve">exempt as </w:t>
      </w:r>
      <w:r w:rsidRPr="00A03E56">
        <w:rPr>
          <w:rFonts w:asciiTheme="minorHAnsi" w:hAnsiTheme="minorHAnsi" w:cstheme="minorHAnsi"/>
          <w:sz w:val="16"/>
          <w:szCs w:val="16"/>
        </w:rPr>
        <w:t>confidential law enforcement investigatory records).</w:t>
      </w:r>
    </w:p>
  </w:endnote>
  <w:endnote w:id="671">
    <w:p w14:paraId="435D14FF" w14:textId="111C21E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0" w:history="1">
        <w:r w:rsidRPr="00A03E56">
          <w:rPr>
            <w:rStyle w:val="Hyperlink"/>
            <w:rFonts w:asciiTheme="minorHAnsi" w:hAnsiTheme="minorHAnsi" w:cstheme="minorHAnsi"/>
            <w:sz w:val="16"/>
            <w:szCs w:val="16"/>
          </w:rPr>
          <w:t>R.C. 124.88(B).</w:t>
        </w:r>
      </w:hyperlink>
    </w:p>
  </w:endnote>
  <w:endnote w:id="672">
    <w:p w14:paraId="44857C48" w14:textId="152272BF"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24351D" w:rsidRPr="00A03E56">
        <w:rPr>
          <w:rFonts w:asciiTheme="minorHAnsi" w:hAnsiTheme="minorHAnsi" w:cstheme="minorHAnsi"/>
          <w:i/>
          <w:iCs/>
          <w:sz w:val="16"/>
          <w:szCs w:val="16"/>
        </w:rPr>
        <w:t xml:space="preserve">State </w:t>
      </w:r>
      <w:r w:rsidR="00641C2A" w:rsidRPr="00A03E56">
        <w:rPr>
          <w:rFonts w:asciiTheme="minorHAnsi" w:hAnsiTheme="minorHAnsi" w:cstheme="minorHAnsi"/>
          <w:i/>
          <w:iCs/>
          <w:sz w:val="16"/>
          <w:szCs w:val="16"/>
        </w:rPr>
        <w:t>v</w:t>
      </w:r>
      <w:r w:rsidR="0024351D" w:rsidRPr="00A03E56">
        <w:rPr>
          <w:rFonts w:asciiTheme="minorHAnsi" w:hAnsiTheme="minorHAnsi" w:cstheme="minorHAnsi"/>
          <w:i/>
          <w:iCs/>
          <w:sz w:val="16"/>
          <w:szCs w:val="16"/>
        </w:rPr>
        <w:t>. Hall,</w:t>
      </w:r>
      <w:r w:rsidR="0024351D" w:rsidRPr="00A03E56">
        <w:rPr>
          <w:rFonts w:asciiTheme="minorHAnsi" w:hAnsiTheme="minorHAnsi" w:cstheme="minorHAnsi"/>
          <w:sz w:val="16"/>
          <w:szCs w:val="16"/>
        </w:rPr>
        <w:t xml:space="preserve"> 141 Ohio App.3d 561, 568 (4th Dist</w:t>
      </w:r>
      <w:r w:rsidR="00A9009E">
        <w:rPr>
          <w:rFonts w:asciiTheme="minorHAnsi" w:hAnsiTheme="minorHAnsi" w:cstheme="minorHAnsi"/>
          <w:sz w:val="16"/>
          <w:szCs w:val="16"/>
        </w:rPr>
        <w:t xml:space="preserve">. </w:t>
      </w:r>
      <w:r w:rsidR="0024351D" w:rsidRPr="00A03E56">
        <w:rPr>
          <w:rFonts w:asciiTheme="minorHAnsi" w:hAnsiTheme="minorHAnsi" w:cstheme="minorHAnsi"/>
          <w:sz w:val="16"/>
          <w:szCs w:val="16"/>
        </w:rPr>
        <w:t xml:space="preserve">2001) (psychiatric reports compiled solely to assist the court with “competency to stand trial determination” were not medical records); </w:t>
      </w:r>
      <w:r w:rsidR="0024351D" w:rsidRPr="00A03E56">
        <w:rPr>
          <w:rFonts w:asciiTheme="minorHAnsi" w:hAnsiTheme="minorHAnsi" w:cstheme="minorHAnsi"/>
          <w:i/>
          <w:iCs/>
          <w:sz w:val="16"/>
          <w:szCs w:val="16"/>
        </w:rPr>
        <w:t>State v. Rohrer</w:t>
      </w:r>
      <w:r w:rsidR="0024351D" w:rsidRPr="00A03E56">
        <w:rPr>
          <w:rFonts w:asciiTheme="minorHAnsi" w:hAnsiTheme="minorHAnsi" w:cstheme="minorHAnsi"/>
          <w:sz w:val="16"/>
          <w:szCs w:val="16"/>
        </w:rPr>
        <w:t>, 4th Dist. Ross No. 14CA3471, 2015-Ohio</w:t>
      </w:r>
      <w:r w:rsidR="00641C2A" w:rsidRPr="00A03E56">
        <w:rPr>
          <w:rFonts w:asciiTheme="minorHAnsi" w:hAnsiTheme="minorHAnsi" w:cstheme="minorHAnsi"/>
          <w:sz w:val="16"/>
          <w:szCs w:val="16"/>
        </w:rPr>
        <w:t>-5333, ¶ 52-57 (psychiatric reports generated “for purposes of the continued commitment proceedings” were not medical records).</w:t>
      </w:r>
    </w:p>
  </w:endnote>
  <w:endnote w:id="673">
    <w:p w14:paraId="544124DB" w14:textId="3BD8575F"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1" w:history="1">
        <w:r w:rsidR="00641C2A" w:rsidRPr="00A03E56">
          <w:rPr>
            <w:rStyle w:val="Hyperlink"/>
            <w:rFonts w:asciiTheme="minorHAnsi" w:hAnsiTheme="minorHAnsi" w:cstheme="minorHAnsi"/>
            <w:i/>
            <w:iCs/>
            <w:sz w:val="16"/>
            <w:szCs w:val="16"/>
          </w:rPr>
          <w:t>State ex rel. Multimedia, Inc. v. Snowden</w:t>
        </w:r>
      </w:hyperlink>
      <w:r w:rsidR="00641C2A" w:rsidRPr="00A03E56">
        <w:rPr>
          <w:rFonts w:asciiTheme="minorHAnsi" w:hAnsiTheme="minorHAnsi" w:cstheme="minorHAnsi"/>
          <w:sz w:val="16"/>
          <w:szCs w:val="16"/>
        </w:rPr>
        <w:t>, 72 Ohio St.3d 141, 143 (1995) (police psychologist report obtained to assist the police hiring process is not a medical record).</w:t>
      </w:r>
    </w:p>
  </w:endnote>
  <w:endnote w:id="674">
    <w:p w14:paraId="53A5479A" w14:textId="347CA930"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hyperlink r:id="rId902" w:history="1">
        <w:r w:rsidR="00641C2A" w:rsidRPr="00A03E56">
          <w:rPr>
            <w:rStyle w:val="Hyperlink"/>
            <w:rFonts w:asciiTheme="minorHAnsi" w:hAnsiTheme="minorHAnsi" w:cstheme="minorHAnsi"/>
            <w:i/>
            <w:iCs/>
            <w:sz w:val="16"/>
            <w:szCs w:val="16"/>
          </w:rPr>
          <w:t xml:space="preserve"> State ex rel. Multimedia, Inc. v. Snowden</w:t>
        </w:r>
      </w:hyperlink>
      <w:r w:rsidR="00641C2A" w:rsidRPr="00A03E56">
        <w:rPr>
          <w:rFonts w:asciiTheme="minorHAnsi" w:hAnsiTheme="minorHAnsi" w:cstheme="minorHAnsi"/>
          <w:sz w:val="16"/>
          <w:szCs w:val="16"/>
        </w:rPr>
        <w:t>, 72 Ohio St.3d 141, 143 (1995).</w:t>
      </w:r>
    </w:p>
  </w:endnote>
  <w:endnote w:id="675">
    <w:p w14:paraId="4B12608B" w14:textId="2A92F545"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S42 U.S.C. § 12112; 29 C.F.R. § 1630.14(b)(1), (c)(1).</w:t>
      </w:r>
    </w:p>
  </w:endnote>
  <w:endnote w:id="676">
    <w:p w14:paraId="2CFDA330" w14:textId="6DCD63D4" w:rsidR="00F861AC" w:rsidRPr="00A03E56" w:rsidRDefault="00F861AC"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29 C.F.R. § 1630.14(c);</w:t>
      </w:r>
      <w:r w:rsidR="00641C2A" w:rsidRPr="00A03E56">
        <w:rPr>
          <w:rFonts w:asciiTheme="minorHAnsi" w:hAnsiTheme="minorHAnsi" w:cstheme="minorHAnsi"/>
          <w:i/>
          <w:iCs/>
          <w:sz w:val="16"/>
          <w:szCs w:val="16"/>
        </w:rPr>
        <w:t xml:space="preserve"> see also</w:t>
      </w:r>
      <w:r w:rsidR="00A9009E" w:rsidRPr="00A03E56">
        <w:rPr>
          <w:rFonts w:asciiTheme="minorHAnsi" w:hAnsiTheme="minorHAnsi" w:cstheme="minorHAnsi"/>
          <w:sz w:val="16"/>
          <w:szCs w:val="16"/>
        </w:rPr>
        <w:t xml:space="preserve"> </w:t>
      </w:r>
      <w:hyperlink r:id="rId903" w:history="1">
        <w:r w:rsidR="00A9009E" w:rsidRPr="00A03E56">
          <w:rPr>
            <w:rStyle w:val="Hyperlink"/>
            <w:rFonts w:asciiTheme="minorHAnsi" w:hAnsiTheme="minorHAnsi" w:cstheme="minorHAnsi"/>
            <w:i/>
            <w:iCs/>
            <w:sz w:val="16"/>
            <w:szCs w:val="16"/>
          </w:rPr>
          <w:t>State ex rel. Mahajan v. State Med. Bd. of Ohio</w:t>
        </w:r>
      </w:hyperlink>
      <w:r w:rsidR="00A9009E" w:rsidRPr="00A03E56">
        <w:rPr>
          <w:rFonts w:asciiTheme="minorHAnsi" w:hAnsiTheme="minorHAnsi" w:cstheme="minorHAnsi"/>
          <w:sz w:val="16"/>
          <w:szCs w:val="16"/>
        </w:rPr>
        <w:t>,</w:t>
      </w:r>
      <w:r w:rsidR="00A9009E" w:rsidRPr="00A03E56">
        <w:rPr>
          <w:rFonts w:asciiTheme="minorHAnsi" w:hAnsiTheme="minorHAnsi" w:cstheme="minorHAnsi"/>
          <w:i/>
          <w:sz w:val="16"/>
          <w:szCs w:val="16"/>
        </w:rPr>
        <w:t xml:space="preserve"> </w:t>
      </w:r>
      <w:r w:rsidR="00641C2A" w:rsidRPr="00A03E56">
        <w:rPr>
          <w:rFonts w:asciiTheme="minorHAnsi" w:hAnsiTheme="minorHAnsi" w:cstheme="minorHAnsi"/>
          <w:sz w:val="16"/>
          <w:szCs w:val="16"/>
        </w:rPr>
        <w:t>127 Ohio St.3d 497, 2010-Ohio-5995, ¶ 44-47 (employer’s questioning of court reporter and opposing counsel was properly redacted as inquiry into whether employee was able to perform job-related functions; pertinent ADA provision does not limit the confidential nature of such inquiries to questions directed to employees or medical personnel).</w:t>
      </w:r>
    </w:p>
  </w:endnote>
  <w:endnote w:id="677">
    <w:p w14:paraId="2399BE13" w14:textId="02EC2878" w:rsidR="00F861AC" w:rsidRPr="00A03E56" w:rsidRDefault="00F861AC"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29 C.F.R. § 1630.14(b)(1), (c)(1).</w:t>
      </w:r>
    </w:p>
  </w:endnote>
  <w:endnote w:id="678">
    <w:p w14:paraId="7D9C962E" w14:textId="4FAFEEB2" w:rsidR="00F861AC" w:rsidRPr="00A03E56" w:rsidRDefault="00F861AC"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4" w:history="1">
        <w:r w:rsidR="00641C2A" w:rsidRPr="00A03E56">
          <w:rPr>
            <w:rStyle w:val="Hyperlink"/>
            <w:rFonts w:asciiTheme="minorHAnsi" w:hAnsiTheme="minorHAnsi" w:cstheme="minorHAnsi"/>
            <w:sz w:val="16"/>
            <w:szCs w:val="16"/>
          </w:rPr>
          <w:t>R.C. 149,43(A)(1)(v).</w:t>
        </w:r>
      </w:hyperlink>
    </w:p>
  </w:endnote>
  <w:endnote w:id="679">
    <w:p w14:paraId="4294FDEF" w14:textId="63F40DAC" w:rsidR="00F861AC" w:rsidRPr="00A03E56" w:rsidRDefault="00F861AC"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5" w:history="1">
        <w:r w:rsidR="00641C2A" w:rsidRPr="00A03E56">
          <w:rPr>
            <w:rStyle w:val="Hyperlink"/>
            <w:rFonts w:asciiTheme="minorHAnsi" w:hAnsiTheme="minorHAnsi" w:cstheme="minorHAnsi"/>
            <w:sz w:val="16"/>
            <w:szCs w:val="16"/>
          </w:rPr>
          <w:t>R.C. 1347.15(A)(1).</w:t>
        </w:r>
      </w:hyperlink>
    </w:p>
  </w:endnote>
  <w:endnote w:id="680">
    <w:p w14:paraId="5C0FFBFA" w14:textId="77777777"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6" w:history="1">
        <w:r w:rsidRPr="00A03E56">
          <w:rPr>
            <w:rStyle w:val="Hyperlink"/>
            <w:rFonts w:asciiTheme="minorHAnsi" w:hAnsiTheme="minorHAnsi" w:cstheme="minorHAnsi"/>
            <w:sz w:val="16"/>
            <w:szCs w:val="16"/>
          </w:rPr>
          <w:t>R.C. 149.43(A)(1)(a), (A)(3)</w:t>
        </w:r>
      </w:hyperlink>
      <w:r w:rsidRPr="00A03E56">
        <w:rPr>
          <w:rFonts w:asciiTheme="minorHAnsi" w:hAnsiTheme="minorHAnsi" w:cstheme="minorHAnsi"/>
          <w:sz w:val="16"/>
          <w:szCs w:val="16"/>
        </w:rPr>
        <w:t>.</w:t>
      </w:r>
    </w:p>
  </w:endnote>
  <w:endnote w:id="681">
    <w:p w14:paraId="6C4296A9" w14:textId="33978FD4"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07" w:history="1">
        <w:r w:rsidRPr="00A03E56">
          <w:rPr>
            <w:rStyle w:val="Hyperlink"/>
            <w:rFonts w:asciiTheme="minorHAnsi" w:hAnsiTheme="minorHAnsi" w:cstheme="minorHAnsi"/>
            <w:sz w:val="16"/>
            <w:szCs w:val="16"/>
          </w:rPr>
          <w:t>R.C. 149.43(A)(3)</w:t>
        </w:r>
      </w:hyperlink>
      <w:r w:rsidRPr="00A03E56">
        <w:rPr>
          <w:rFonts w:asciiTheme="minorHAnsi" w:hAnsiTheme="minorHAnsi" w:cstheme="minorHAnsi"/>
          <w:sz w:val="16"/>
          <w:szCs w:val="16"/>
        </w:rPr>
        <w:t xml:space="preserve"> (</w:t>
      </w:r>
      <w:r w:rsidR="00641C2A" w:rsidRPr="00A03E56">
        <w:rPr>
          <w:rFonts w:asciiTheme="minorHAnsi" w:hAnsiTheme="minorHAnsi" w:cstheme="minorHAnsi"/>
          <w:sz w:val="16"/>
          <w:szCs w:val="16"/>
        </w:rPr>
        <w:t>“medical record” means</w:t>
      </w:r>
      <w:r w:rsidRPr="00A03E56">
        <w:rPr>
          <w:rFonts w:asciiTheme="minorHAnsi" w:hAnsiTheme="minorHAnsi" w:cstheme="minorHAnsi"/>
          <w:sz w:val="16"/>
          <w:szCs w:val="16"/>
        </w:rPr>
        <w:t xml:space="preserve"> “any document…that pertains to the medical history, diagnosis, prognosis, or medical condition of a patient and that is generated and maintained in the process of medical treatment”); </w:t>
      </w:r>
      <w:r w:rsidR="00641C2A" w:rsidRPr="00A9009E">
        <w:rPr>
          <w:rFonts w:asciiTheme="minorHAnsi" w:hAnsiTheme="minorHAnsi" w:cstheme="minorHAnsi"/>
          <w:i/>
          <w:iCs/>
          <w:sz w:val="16"/>
          <w:szCs w:val="16"/>
        </w:rPr>
        <w:t>see also</w:t>
      </w:r>
      <w:r w:rsidR="00641C2A" w:rsidRPr="00A03E56">
        <w:rPr>
          <w:rFonts w:asciiTheme="minorHAnsi" w:hAnsiTheme="minorHAnsi" w:cstheme="minorHAnsi"/>
          <w:sz w:val="16"/>
          <w:szCs w:val="16"/>
        </w:rPr>
        <w:t xml:space="preserve"> </w:t>
      </w:r>
      <w:hyperlink r:id="rId908" w:history="1">
        <w:r w:rsidRPr="00A03E56">
          <w:rPr>
            <w:rStyle w:val="Hyperlink"/>
            <w:rFonts w:asciiTheme="minorHAnsi" w:hAnsiTheme="minorHAnsi" w:cstheme="minorHAnsi"/>
            <w:i/>
            <w:sz w:val="16"/>
            <w:szCs w:val="16"/>
          </w:rPr>
          <w:t>State ex rel. Strothers v. Wertheim</w:t>
        </w:r>
      </w:hyperlink>
      <w:r w:rsidRPr="00A03E56">
        <w:rPr>
          <w:rFonts w:asciiTheme="minorHAnsi" w:hAnsiTheme="minorHAnsi" w:cstheme="minorHAnsi"/>
          <w:sz w:val="16"/>
          <w:szCs w:val="16"/>
        </w:rPr>
        <w:t xml:space="preserve">, 80 Ohio St.3d 155, 158 (1997) (emphasizing that both parts of this conjunctive definition must be met in order to fall under the medical records exemption: “a record must pertain to a medical diagnosis </w:t>
      </w:r>
      <w:r w:rsidRPr="00A03E56">
        <w:rPr>
          <w:rFonts w:asciiTheme="minorHAnsi" w:hAnsiTheme="minorHAnsi" w:cstheme="minorHAnsi"/>
          <w:i/>
          <w:sz w:val="16"/>
          <w:szCs w:val="16"/>
        </w:rPr>
        <w:t>and</w:t>
      </w:r>
      <w:r w:rsidRPr="00A03E56">
        <w:rPr>
          <w:rFonts w:asciiTheme="minorHAnsi" w:hAnsiTheme="minorHAnsi" w:cstheme="minorHAnsi"/>
          <w:sz w:val="16"/>
          <w:szCs w:val="16"/>
        </w:rPr>
        <w:t xml:space="preserve"> be generated and maintained in the process of medical treatment”).</w:t>
      </w:r>
    </w:p>
  </w:endnote>
  <w:endnote w:id="682">
    <w:p w14:paraId="519AC05D" w14:textId="57969940"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45 C.F.R. § 160.101, </w:t>
      </w:r>
      <w:r w:rsidRPr="00A03E56">
        <w:rPr>
          <w:rFonts w:asciiTheme="minorHAnsi" w:hAnsiTheme="minorHAnsi" w:cstheme="minorHAnsi"/>
          <w:i/>
          <w:sz w:val="16"/>
          <w:szCs w:val="16"/>
        </w:rPr>
        <w:t>et seq.</w:t>
      </w:r>
      <w:r w:rsidRPr="00A03E56">
        <w:rPr>
          <w:rFonts w:asciiTheme="minorHAnsi" w:hAnsiTheme="minorHAnsi" w:cstheme="minorHAnsi"/>
          <w:sz w:val="16"/>
          <w:szCs w:val="16"/>
        </w:rPr>
        <w:t xml:space="preserve">; 45 C.F.R. §§ 164.102, </w:t>
      </w:r>
      <w:r w:rsidRPr="00A03E56">
        <w:rPr>
          <w:rFonts w:asciiTheme="minorHAnsi" w:hAnsiTheme="minorHAnsi" w:cstheme="minorHAnsi"/>
          <w:i/>
          <w:sz w:val="16"/>
          <w:szCs w:val="16"/>
        </w:rPr>
        <w:t>et seq.</w:t>
      </w:r>
    </w:p>
  </w:endnote>
  <w:endnote w:id="683">
    <w:p w14:paraId="38D28A13" w14:textId="7EEDA253"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29 U.S.C. § 2601, </w:t>
      </w:r>
      <w:r w:rsidRPr="00A03E56">
        <w:rPr>
          <w:rFonts w:asciiTheme="minorHAnsi" w:hAnsiTheme="minorHAnsi" w:cstheme="minorHAnsi"/>
          <w:i/>
          <w:sz w:val="16"/>
          <w:szCs w:val="16"/>
        </w:rPr>
        <w:t>et seq.</w:t>
      </w:r>
      <w:r w:rsidRPr="00A03E56">
        <w:rPr>
          <w:rFonts w:asciiTheme="minorHAnsi" w:hAnsiTheme="minorHAnsi" w:cstheme="minorHAnsi"/>
          <w:sz w:val="16"/>
          <w:szCs w:val="16"/>
        </w:rPr>
        <w:t>; 29 C.F.R. § 825.500(g).</w:t>
      </w:r>
    </w:p>
  </w:endnote>
  <w:endnote w:id="684">
    <w:p w14:paraId="0007D006" w14:textId="0467C6CA" w:rsidR="00857518" w:rsidRPr="00E0738B"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42 U.S.C. § 12101 </w:t>
      </w:r>
      <w:r w:rsidRPr="00E0738B">
        <w:rPr>
          <w:rFonts w:asciiTheme="minorHAnsi" w:hAnsiTheme="minorHAnsi" w:cstheme="minorHAnsi"/>
          <w:i/>
          <w:sz w:val="16"/>
          <w:szCs w:val="16"/>
        </w:rPr>
        <w:t>et seq.</w:t>
      </w:r>
    </w:p>
  </w:endnote>
  <w:endnote w:id="685">
    <w:p w14:paraId="76DDA088" w14:textId="1D8C1220" w:rsidR="00F861AC" w:rsidRPr="00E0738B" w:rsidRDefault="00F861AC"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09" w:history="1">
        <w:r w:rsidR="00641C2A" w:rsidRPr="00E0738B">
          <w:rPr>
            <w:rStyle w:val="Hyperlink"/>
            <w:rFonts w:asciiTheme="minorHAnsi" w:hAnsiTheme="minorHAnsi" w:cstheme="minorHAnsi"/>
            <w:sz w:val="16"/>
            <w:szCs w:val="16"/>
          </w:rPr>
          <w:t>R.C. 3319.321</w:t>
        </w:r>
      </w:hyperlink>
      <w:r w:rsidR="00641C2A" w:rsidRPr="00E0738B">
        <w:rPr>
          <w:rFonts w:asciiTheme="minorHAnsi" w:hAnsiTheme="minorHAnsi" w:cstheme="minorHAnsi"/>
          <w:sz w:val="16"/>
          <w:szCs w:val="16"/>
        </w:rPr>
        <w:t>; 20 U.S.C. § 1232g</w:t>
      </w:r>
      <w:r w:rsidR="0019376C">
        <w:rPr>
          <w:rFonts w:asciiTheme="minorHAnsi" w:hAnsiTheme="minorHAnsi" w:cstheme="minorHAnsi"/>
          <w:sz w:val="16"/>
          <w:szCs w:val="16"/>
        </w:rPr>
        <w:t>.</w:t>
      </w:r>
      <w:r w:rsidR="00641C2A" w:rsidRPr="00E0738B">
        <w:rPr>
          <w:rFonts w:asciiTheme="minorHAnsi" w:hAnsiTheme="minorHAnsi" w:cstheme="minorHAnsi"/>
          <w:sz w:val="16"/>
          <w:szCs w:val="16"/>
        </w:rPr>
        <w:t xml:space="preserve"> </w:t>
      </w:r>
      <w:r w:rsidR="0019376C">
        <w:rPr>
          <w:rFonts w:asciiTheme="minorHAnsi" w:hAnsiTheme="minorHAnsi" w:cstheme="minorHAnsi"/>
          <w:i/>
          <w:iCs/>
          <w:sz w:val="16"/>
          <w:szCs w:val="16"/>
        </w:rPr>
        <w:t>S</w:t>
      </w:r>
      <w:r w:rsidR="00641C2A" w:rsidRPr="00E0738B">
        <w:rPr>
          <w:rFonts w:asciiTheme="minorHAnsi" w:hAnsiTheme="minorHAnsi" w:cstheme="minorHAnsi"/>
          <w:i/>
          <w:iCs/>
          <w:sz w:val="16"/>
          <w:szCs w:val="16"/>
        </w:rPr>
        <w:t>ee also</w:t>
      </w:r>
      <w:r w:rsidR="00641C2A" w:rsidRPr="00E0738B">
        <w:rPr>
          <w:rFonts w:asciiTheme="minorHAnsi" w:hAnsiTheme="minorHAnsi" w:cstheme="minorHAnsi"/>
          <w:sz w:val="16"/>
          <w:szCs w:val="16"/>
        </w:rPr>
        <w:t xml:space="preserve"> Chapter Three: F.3. “Student Records.”</w:t>
      </w:r>
    </w:p>
  </w:endnote>
  <w:endnote w:id="686">
    <w:p w14:paraId="7078CCF1" w14:textId="0225EBA2" w:rsidR="00857518" w:rsidRPr="00E0738B"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10" w:history="1">
        <w:r w:rsidRPr="00E0738B">
          <w:rPr>
            <w:rStyle w:val="Hyperlink"/>
            <w:rFonts w:asciiTheme="minorHAnsi" w:hAnsiTheme="minorHAnsi" w:cstheme="minorHAnsi"/>
            <w:sz w:val="16"/>
            <w:szCs w:val="16"/>
          </w:rPr>
          <w:t>R.C. 149.43(A)(1)(dd)</w:t>
        </w:r>
      </w:hyperlink>
      <w:r w:rsidRPr="00E0738B">
        <w:rPr>
          <w:rFonts w:asciiTheme="minorHAnsi" w:hAnsiTheme="minorHAnsi" w:cstheme="minorHAnsi"/>
          <w:sz w:val="16"/>
          <w:szCs w:val="16"/>
        </w:rPr>
        <w:t xml:space="preserve">, </w:t>
      </w:r>
      <w:hyperlink r:id="rId911" w:history="1">
        <w:r w:rsidRPr="00E0738B">
          <w:rPr>
            <w:rStyle w:val="Hyperlink"/>
            <w:rFonts w:asciiTheme="minorHAnsi" w:hAnsiTheme="minorHAnsi" w:cstheme="minorHAnsi"/>
            <w:sz w:val="16"/>
            <w:szCs w:val="16"/>
          </w:rPr>
          <w:t>149.45(A)(1)(a</w:t>
        </w:r>
        <w:r w:rsidR="00690FBC" w:rsidRPr="00E0738B">
          <w:rPr>
            <w:rStyle w:val="Hyperlink"/>
            <w:rFonts w:asciiTheme="minorHAnsi" w:hAnsiTheme="minorHAnsi" w:cstheme="minorHAnsi"/>
            <w:sz w:val="16"/>
            <w:szCs w:val="16"/>
          </w:rPr>
          <w:t>).</w:t>
        </w:r>
      </w:hyperlink>
      <w:r w:rsidR="00E0738B" w:rsidRPr="00E0738B">
        <w:rPr>
          <w:rFonts w:asciiTheme="minorHAnsi" w:hAnsiTheme="minorHAnsi" w:cstheme="minorHAnsi"/>
          <w:sz w:val="16"/>
          <w:szCs w:val="16"/>
        </w:rPr>
        <w:t xml:space="preserve"> </w:t>
      </w:r>
      <w:r w:rsidR="00E0738B" w:rsidRPr="00E0738B">
        <w:rPr>
          <w:rFonts w:asciiTheme="minorHAnsi" w:hAnsiTheme="minorHAnsi" w:cstheme="minorHAnsi"/>
          <w:i/>
          <w:iCs/>
          <w:sz w:val="16"/>
          <w:szCs w:val="16"/>
        </w:rPr>
        <w:t>See also</w:t>
      </w:r>
      <w:r w:rsidR="00690FBC" w:rsidRPr="00E0738B">
        <w:rPr>
          <w:rFonts w:asciiTheme="minorHAnsi" w:hAnsiTheme="minorHAnsi" w:cstheme="minorHAnsi"/>
          <w:sz w:val="16"/>
          <w:szCs w:val="16"/>
        </w:rPr>
        <w:t xml:space="preserve"> Chapter Three: F.1.c. “Social </w:t>
      </w:r>
      <w:r w:rsidR="00E0738B" w:rsidRPr="00E0738B">
        <w:rPr>
          <w:rFonts w:asciiTheme="minorHAnsi" w:hAnsiTheme="minorHAnsi" w:cstheme="minorHAnsi"/>
          <w:sz w:val="16"/>
          <w:szCs w:val="16"/>
        </w:rPr>
        <w:t>s</w:t>
      </w:r>
      <w:r w:rsidR="00690FBC" w:rsidRPr="00E0738B">
        <w:rPr>
          <w:rFonts w:asciiTheme="minorHAnsi" w:hAnsiTheme="minorHAnsi" w:cstheme="minorHAnsi"/>
          <w:sz w:val="16"/>
          <w:szCs w:val="16"/>
        </w:rPr>
        <w:t xml:space="preserve">ecurity </w:t>
      </w:r>
      <w:r w:rsidR="00E0738B" w:rsidRPr="00E0738B">
        <w:rPr>
          <w:rFonts w:asciiTheme="minorHAnsi" w:hAnsiTheme="minorHAnsi" w:cstheme="minorHAnsi"/>
          <w:sz w:val="16"/>
          <w:szCs w:val="16"/>
        </w:rPr>
        <w:t>n</w:t>
      </w:r>
      <w:r w:rsidR="00690FBC" w:rsidRPr="00E0738B">
        <w:rPr>
          <w:rFonts w:asciiTheme="minorHAnsi" w:hAnsiTheme="minorHAnsi" w:cstheme="minorHAnsi"/>
          <w:sz w:val="16"/>
          <w:szCs w:val="16"/>
        </w:rPr>
        <w:t>umbers</w:t>
      </w:r>
      <w:r w:rsidR="00E0738B" w:rsidRPr="00E0738B">
        <w:rPr>
          <w:rFonts w:asciiTheme="minorHAnsi" w:hAnsiTheme="minorHAnsi" w:cstheme="minorHAnsi"/>
          <w:sz w:val="16"/>
          <w:szCs w:val="16"/>
        </w:rPr>
        <w:t>.</w:t>
      </w:r>
      <w:r w:rsidR="00690FBC" w:rsidRPr="00E0738B">
        <w:rPr>
          <w:rFonts w:asciiTheme="minorHAnsi" w:hAnsiTheme="minorHAnsi" w:cstheme="minorHAnsi"/>
          <w:sz w:val="16"/>
          <w:szCs w:val="16"/>
        </w:rPr>
        <w:t>”</w:t>
      </w:r>
    </w:p>
  </w:endnote>
  <w:endnote w:id="687">
    <w:p w14:paraId="655B242C" w14:textId="1BE351AB" w:rsidR="00857518" w:rsidRPr="00A03E56"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r w:rsidRPr="00E0738B">
        <w:rPr>
          <w:rFonts w:asciiTheme="minorHAnsi" w:hAnsiTheme="minorHAnsi" w:cstheme="minorHAnsi"/>
          <w:i/>
          <w:sz w:val="16"/>
          <w:szCs w:val="16"/>
        </w:rPr>
        <w:t>See, e.g.</w:t>
      </w:r>
      <w:r w:rsidRPr="00E0738B">
        <w:rPr>
          <w:rFonts w:asciiTheme="minorHAnsi" w:hAnsiTheme="minorHAnsi" w:cstheme="minorHAnsi"/>
          <w:sz w:val="16"/>
          <w:szCs w:val="16"/>
        </w:rPr>
        <w:t xml:space="preserve">, </w:t>
      </w:r>
      <w:hyperlink r:id="rId912" w:history="1">
        <w:r w:rsidRPr="00E0738B">
          <w:rPr>
            <w:rStyle w:val="Hyperlink"/>
            <w:rFonts w:asciiTheme="minorHAnsi" w:hAnsiTheme="minorHAnsi" w:cstheme="minorHAnsi"/>
            <w:sz w:val="16"/>
            <w:szCs w:val="16"/>
          </w:rPr>
          <w:t>R.C. 149.43(A)(1)(p), (A)(8)</w:t>
        </w:r>
      </w:hyperlink>
      <w:r w:rsidRPr="00E0738B">
        <w:rPr>
          <w:rFonts w:asciiTheme="minorHAnsi" w:hAnsiTheme="minorHAnsi" w:cstheme="minorHAnsi"/>
          <w:sz w:val="16"/>
          <w:szCs w:val="16"/>
        </w:rPr>
        <w:t xml:space="preserve"> (protecting residential and familial information of certain</w:t>
      </w:r>
      <w:r w:rsidRPr="00A03E56">
        <w:rPr>
          <w:rFonts w:asciiTheme="minorHAnsi" w:hAnsiTheme="minorHAnsi" w:cstheme="minorHAnsi"/>
          <w:sz w:val="16"/>
          <w:szCs w:val="16"/>
        </w:rPr>
        <w:t xml:space="preserve"> covered professionals)</w:t>
      </w:r>
      <w:r w:rsidR="00636722">
        <w:rPr>
          <w:rFonts w:asciiTheme="minorHAnsi" w:hAnsiTheme="minorHAnsi" w:cstheme="minorHAnsi"/>
          <w:sz w:val="16"/>
          <w:szCs w:val="16"/>
        </w:rPr>
        <w:t>.</w:t>
      </w:r>
      <w:r w:rsidRPr="00A03E56">
        <w:rPr>
          <w:rFonts w:asciiTheme="minorHAnsi" w:hAnsiTheme="minorHAnsi" w:cstheme="minorHAnsi"/>
          <w:sz w:val="16"/>
          <w:szCs w:val="16"/>
        </w:rPr>
        <w:t xml:space="preserve"> </w:t>
      </w:r>
      <w:r w:rsidR="00636722">
        <w:rPr>
          <w:rFonts w:asciiTheme="minorHAnsi" w:hAnsiTheme="minorHAnsi" w:cstheme="minorHAnsi"/>
          <w:i/>
          <w:sz w:val="16"/>
          <w:szCs w:val="16"/>
        </w:rPr>
        <w:t>S</w:t>
      </w:r>
      <w:r w:rsidRPr="00A03E56">
        <w:rPr>
          <w:rFonts w:asciiTheme="minorHAnsi" w:hAnsiTheme="minorHAnsi" w:cstheme="minorHAnsi"/>
          <w:i/>
          <w:sz w:val="16"/>
          <w:szCs w:val="16"/>
        </w:rPr>
        <w:t>e</w:t>
      </w:r>
      <w:r w:rsidR="00636722">
        <w:rPr>
          <w:rFonts w:asciiTheme="minorHAnsi" w:hAnsiTheme="minorHAnsi" w:cstheme="minorHAnsi"/>
          <w:i/>
          <w:sz w:val="16"/>
          <w:szCs w:val="16"/>
        </w:rPr>
        <w:t>e</w:t>
      </w:r>
      <w:r w:rsidRPr="00A03E56">
        <w:rPr>
          <w:rFonts w:asciiTheme="minorHAnsi" w:hAnsiTheme="minorHAnsi" w:cstheme="minorHAnsi"/>
          <w:i/>
          <w:sz w:val="16"/>
          <w:szCs w:val="16"/>
        </w:rPr>
        <w:t xml:space="preserve"> also </w:t>
      </w:r>
      <w:r w:rsidRPr="00A03E56">
        <w:rPr>
          <w:rFonts w:asciiTheme="minorHAnsi" w:hAnsiTheme="minorHAnsi" w:cstheme="minorHAnsi"/>
          <w:sz w:val="16"/>
          <w:szCs w:val="16"/>
        </w:rPr>
        <w:t xml:space="preserve">R.C. </w:t>
      </w:r>
      <w:hyperlink r:id="rId913" w:history="1">
        <w:r w:rsidRPr="00A03E56">
          <w:rPr>
            <w:rStyle w:val="Hyperlink"/>
            <w:rFonts w:asciiTheme="minorHAnsi" w:hAnsiTheme="minorHAnsi" w:cstheme="minorHAnsi"/>
            <w:sz w:val="16"/>
            <w:szCs w:val="16"/>
          </w:rPr>
          <w:t>149.45(D)(1).</w:t>
        </w:r>
      </w:hyperlink>
    </w:p>
  </w:endnote>
  <w:endnote w:id="688">
    <w:p w14:paraId="7487981A" w14:textId="786E3693"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4" w:history="1">
        <w:r w:rsidRPr="00A03E56">
          <w:rPr>
            <w:rStyle w:val="Hyperlink"/>
            <w:rFonts w:asciiTheme="minorHAnsi" w:hAnsiTheme="minorHAnsi" w:cstheme="minorHAnsi"/>
            <w:sz w:val="16"/>
            <w:szCs w:val="16"/>
          </w:rPr>
          <w:t xml:space="preserve">R.C. 149.45(B)(1) </w:t>
        </w:r>
      </w:hyperlink>
      <w:r w:rsidRPr="00A03E56">
        <w:rPr>
          <w:rFonts w:asciiTheme="minorHAnsi" w:hAnsiTheme="minorHAnsi" w:cstheme="minorHAnsi"/>
          <w:sz w:val="16"/>
          <w:szCs w:val="16"/>
        </w:rPr>
        <w:t>(“[n]o public office or person responsible for a public office’s public records shall make available to the general public on the internet any document that contains an individual’s social security number without otherwise redacting, encrypting, or truncating the social security number”).</w:t>
      </w:r>
    </w:p>
  </w:endnote>
  <w:endnote w:id="689">
    <w:p w14:paraId="10E321C6" w14:textId="0848D15E" w:rsidR="00857518" w:rsidRPr="00E0738B"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5" w:history="1">
        <w:r w:rsidRPr="00A03E56">
          <w:rPr>
            <w:rStyle w:val="Hyperlink"/>
            <w:rFonts w:asciiTheme="minorHAnsi" w:hAnsiTheme="minorHAnsi" w:cstheme="minorHAnsi"/>
            <w:sz w:val="16"/>
            <w:szCs w:val="16"/>
          </w:rPr>
          <w:t>R.C. 149.45(C)(1)</w:t>
        </w:r>
      </w:hyperlink>
      <w:r w:rsidRPr="00A03E56">
        <w:rPr>
          <w:rFonts w:asciiTheme="minorHAnsi" w:hAnsiTheme="minorHAnsi" w:cstheme="minorHAnsi"/>
          <w:sz w:val="16"/>
          <w:szCs w:val="16"/>
        </w:rPr>
        <w:t xml:space="preserve"> (“[a]n individual may request that a public office or a person responsible for a public office’s public records redact personal information of that individual from any record made available to the </w:t>
      </w:r>
      <w:r w:rsidRPr="00E0738B">
        <w:rPr>
          <w:rFonts w:asciiTheme="minorHAnsi" w:hAnsiTheme="minorHAnsi" w:cstheme="minorHAnsi"/>
          <w:sz w:val="16"/>
          <w:szCs w:val="16"/>
        </w:rPr>
        <w:t>general public on the internet”).</w:t>
      </w:r>
    </w:p>
  </w:endnote>
  <w:endnote w:id="690">
    <w:p w14:paraId="74935403" w14:textId="055AD4E4" w:rsidR="00857518" w:rsidRPr="00E0738B"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16" w:history="1">
        <w:r w:rsidRPr="00E0738B">
          <w:rPr>
            <w:rStyle w:val="Hyperlink"/>
            <w:rFonts w:asciiTheme="minorHAnsi" w:hAnsiTheme="minorHAnsi" w:cstheme="minorHAnsi"/>
            <w:sz w:val="16"/>
            <w:szCs w:val="16"/>
          </w:rPr>
          <w:t>R.C. 718.13</w:t>
        </w:r>
      </w:hyperlink>
      <w:r w:rsidRPr="00E0738B">
        <w:rPr>
          <w:rFonts w:asciiTheme="minorHAnsi" w:hAnsiTheme="minorHAnsi" w:cstheme="minorHAnsi"/>
          <w:sz w:val="16"/>
          <w:szCs w:val="16"/>
        </w:rPr>
        <w:t xml:space="preserve">; </w:t>
      </w:r>
      <w:r w:rsidR="00A9009E">
        <w:rPr>
          <w:rFonts w:asciiTheme="minorHAnsi" w:hAnsiTheme="minorHAnsi" w:cstheme="minorHAnsi"/>
          <w:i/>
          <w:sz w:val="16"/>
          <w:szCs w:val="16"/>
        </w:rPr>
        <w:t>s</w:t>
      </w:r>
      <w:r w:rsidRPr="00E0738B">
        <w:rPr>
          <w:rFonts w:asciiTheme="minorHAnsi" w:hAnsiTheme="minorHAnsi" w:cstheme="minorHAnsi"/>
          <w:i/>
          <w:sz w:val="16"/>
          <w:szCs w:val="16"/>
        </w:rPr>
        <w:t>ee also</w:t>
      </w:r>
      <w:r w:rsidRPr="00E0738B">
        <w:rPr>
          <w:rFonts w:asciiTheme="minorHAnsi" w:hAnsiTheme="minorHAnsi" w:cstheme="minorHAnsi"/>
          <w:sz w:val="16"/>
          <w:szCs w:val="16"/>
        </w:rPr>
        <w:t xml:space="preserve"> Chapter Three: F.1.e. “Income tax returns.”</w:t>
      </w:r>
    </w:p>
  </w:endnote>
  <w:endnote w:id="691">
    <w:p w14:paraId="530AE1F0" w14:textId="54D74375" w:rsidR="00857518" w:rsidRPr="00A03E56" w:rsidRDefault="00857518" w:rsidP="00A9009E">
      <w:pPr>
        <w:pStyle w:val="EndnoteText"/>
        <w:spacing w:line="160" w:lineRule="exact"/>
        <w:jc w:val="both"/>
        <w:rPr>
          <w:rFonts w:asciiTheme="minorHAnsi" w:hAnsiTheme="minorHAnsi" w:cstheme="minorHAnsi"/>
          <w:sz w:val="16"/>
          <w:szCs w:val="16"/>
        </w:rPr>
      </w:pPr>
      <w:r w:rsidRPr="00E0738B">
        <w:rPr>
          <w:rStyle w:val="EndnoteReference"/>
          <w:rFonts w:asciiTheme="minorHAnsi" w:hAnsiTheme="minorHAnsi" w:cstheme="minorHAnsi"/>
          <w:sz w:val="16"/>
          <w:szCs w:val="16"/>
        </w:rPr>
        <w:endnoteRef/>
      </w:r>
      <w:r w:rsidRPr="00E0738B">
        <w:rPr>
          <w:rFonts w:asciiTheme="minorHAnsi" w:hAnsiTheme="minorHAnsi" w:cstheme="minorHAnsi"/>
          <w:sz w:val="16"/>
          <w:szCs w:val="16"/>
        </w:rPr>
        <w:t xml:space="preserve"> </w:t>
      </w:r>
      <w:hyperlink r:id="rId917" w:history="1">
        <w:r w:rsidRPr="00E0738B">
          <w:rPr>
            <w:rStyle w:val="Hyperlink"/>
            <w:rFonts w:asciiTheme="minorHAnsi" w:hAnsiTheme="minorHAnsi" w:cstheme="minorHAnsi"/>
            <w:sz w:val="16"/>
            <w:szCs w:val="16"/>
          </w:rPr>
          <w:t xml:space="preserve">1992 Ohio </w:t>
        </w:r>
        <w:r w:rsidRPr="00E0738B">
          <w:rPr>
            <w:rStyle w:val="Hyperlink"/>
            <w:rFonts w:asciiTheme="minorHAnsi" w:hAnsiTheme="minorHAnsi" w:cstheme="minorHAnsi"/>
            <w:sz w:val="16"/>
            <w:szCs w:val="16"/>
          </w:rPr>
          <w:t>Atty.Gen.Ops. No. 005.</w:t>
        </w:r>
      </w:hyperlink>
    </w:p>
  </w:endnote>
  <w:endnote w:id="692">
    <w:p w14:paraId="638A8EEC" w14:textId="06DD80DD" w:rsidR="00857518" w:rsidRPr="00A03E56" w:rsidRDefault="00857518" w:rsidP="00A9009E">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8" w:history="1">
        <w:r w:rsidRPr="00A03E56">
          <w:rPr>
            <w:rStyle w:val="Hyperlink"/>
            <w:rFonts w:asciiTheme="minorHAnsi" w:hAnsiTheme="minorHAnsi" w:cstheme="minorHAnsi"/>
            <w:sz w:val="16"/>
            <w:szCs w:val="16"/>
          </w:rPr>
          <w:t xml:space="preserve">1992 Ohio </w:t>
        </w:r>
        <w:r w:rsidRPr="00A03E56">
          <w:rPr>
            <w:rStyle w:val="Hyperlink"/>
            <w:rFonts w:asciiTheme="minorHAnsi" w:hAnsiTheme="minorHAnsi" w:cstheme="minorHAnsi"/>
            <w:sz w:val="16"/>
            <w:szCs w:val="16"/>
          </w:rPr>
          <w:t>Atty.Gen.Ops. No. 005.</w:t>
        </w:r>
      </w:hyperlink>
    </w:p>
  </w:endnote>
  <w:endnote w:id="693">
    <w:p w14:paraId="5599F2A9"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26 U.S.C. § 6103.</w:t>
      </w:r>
    </w:p>
  </w:endnote>
  <w:endnote w:id="694">
    <w:p w14:paraId="0DFF3210" w14:textId="40AEEBC8" w:rsidR="00857518" w:rsidRPr="00A03E56" w:rsidRDefault="00857518" w:rsidP="00A03E56">
      <w:pPr>
        <w:pStyle w:val="EndnoteText"/>
        <w:spacing w:line="160" w:lineRule="exact"/>
        <w:jc w:val="both"/>
        <w:rPr>
          <w:rFonts w:asciiTheme="minorHAnsi" w:hAnsiTheme="minorHAnsi" w:cstheme="minorHAnsi"/>
          <w:iCs/>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00690FBC" w:rsidRPr="00A03E56">
        <w:rPr>
          <w:rFonts w:asciiTheme="minorHAnsi" w:hAnsiTheme="minorHAnsi" w:cstheme="minorHAnsi"/>
          <w:i/>
          <w:sz w:val="16"/>
          <w:szCs w:val="16"/>
        </w:rPr>
        <w:t xml:space="preserve">Patel v. United States, </w:t>
      </w:r>
      <w:r w:rsidR="00690FBC" w:rsidRPr="00A03E56">
        <w:rPr>
          <w:rFonts w:asciiTheme="minorHAnsi" w:hAnsiTheme="minorHAnsi" w:cstheme="minorHAnsi"/>
          <w:iCs/>
          <w:sz w:val="16"/>
          <w:szCs w:val="16"/>
        </w:rPr>
        <w:t>N.</w:t>
      </w:r>
      <w:r w:rsidR="00690FBC" w:rsidRPr="00A03E56">
        <w:rPr>
          <w:rFonts w:asciiTheme="minorHAnsi" w:hAnsiTheme="minorHAnsi" w:cstheme="minorHAnsi"/>
          <w:iCs/>
          <w:sz w:val="16"/>
          <w:szCs w:val="16"/>
        </w:rPr>
        <w:t>D.Ohio N</w:t>
      </w:r>
      <w:r w:rsidR="00A9009E">
        <w:rPr>
          <w:rFonts w:asciiTheme="minorHAnsi" w:hAnsiTheme="minorHAnsi" w:cstheme="minorHAnsi"/>
          <w:iCs/>
          <w:sz w:val="16"/>
          <w:szCs w:val="16"/>
        </w:rPr>
        <w:t>o</w:t>
      </w:r>
      <w:r w:rsidR="00690FBC" w:rsidRPr="00A03E56">
        <w:rPr>
          <w:rFonts w:asciiTheme="minorHAnsi" w:hAnsiTheme="minorHAnsi" w:cstheme="minorHAnsi"/>
          <w:iCs/>
          <w:sz w:val="16"/>
          <w:szCs w:val="16"/>
        </w:rPr>
        <w:t>. 1:20-CV-01781, 2021 U.S. Dist. LEXIS 66308, *7 (Apr.6, 2021).</w:t>
      </w:r>
    </w:p>
  </w:endnote>
  <w:endnote w:id="695">
    <w:p w14:paraId="12303C2C" w14:textId="387C543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19" w:history="1">
        <w:r w:rsidRPr="00A03E56">
          <w:rPr>
            <w:rStyle w:val="Hyperlink"/>
            <w:rFonts w:asciiTheme="minorHAnsi" w:hAnsiTheme="minorHAnsi" w:cstheme="minorHAnsi"/>
            <w:sz w:val="16"/>
            <w:szCs w:val="16"/>
          </w:rPr>
          <w:t>R.C. 5747.18.</w:t>
        </w:r>
      </w:hyperlink>
    </w:p>
  </w:endnote>
  <w:endnote w:id="696">
    <w:p w14:paraId="797BB85C"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0" w:history="1">
        <w:r w:rsidRPr="00A03E56">
          <w:rPr>
            <w:rStyle w:val="Hyperlink"/>
            <w:rFonts w:asciiTheme="minorHAnsi" w:hAnsiTheme="minorHAnsi" w:cstheme="minorHAnsi"/>
            <w:sz w:val="16"/>
            <w:szCs w:val="16"/>
          </w:rPr>
          <w:t>R.C. 149.43(A)(1)(p), (A)(8)</w:t>
        </w:r>
      </w:hyperlink>
      <w:r w:rsidRPr="00A03E56">
        <w:rPr>
          <w:rFonts w:asciiTheme="minorHAnsi" w:hAnsiTheme="minorHAnsi" w:cstheme="minorHAnsi"/>
          <w:sz w:val="16"/>
          <w:szCs w:val="16"/>
        </w:rPr>
        <w:t>.</w:t>
      </w:r>
    </w:p>
  </w:endnote>
  <w:endnote w:id="697">
    <w:p w14:paraId="1A5C98C9" w14:textId="3C0612DA"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1" w:history="1">
        <w:r w:rsidRPr="00A03E56">
          <w:rPr>
            <w:rStyle w:val="Hyperlink"/>
            <w:rFonts w:asciiTheme="minorHAnsi" w:hAnsiTheme="minorHAnsi" w:cstheme="minorHAnsi"/>
            <w:sz w:val="16"/>
            <w:szCs w:val="16"/>
          </w:rPr>
          <w:t>R.C. 149.43(A)(1)(p), (A)(7).</w:t>
        </w:r>
      </w:hyperlink>
    </w:p>
  </w:endnote>
  <w:endnote w:id="698">
    <w:p w14:paraId="6D5E1821" w14:textId="5CB8F5D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2" w:history="1">
        <w:r w:rsidRPr="00A03E56">
          <w:rPr>
            <w:rStyle w:val="Hyperlink"/>
            <w:rFonts w:asciiTheme="minorHAnsi" w:hAnsiTheme="minorHAnsi" w:cstheme="minorHAnsi"/>
            <w:i/>
            <w:sz w:val="16"/>
            <w:szCs w:val="16"/>
          </w:rPr>
          <w:t>State ex rel. Dispatch Printing Co. v. Columbus</w:t>
        </w:r>
      </w:hyperlink>
      <w:r w:rsidRPr="00A03E56">
        <w:rPr>
          <w:rFonts w:asciiTheme="minorHAnsi" w:hAnsiTheme="minorHAnsi" w:cstheme="minorHAnsi"/>
          <w:sz w:val="16"/>
          <w:szCs w:val="16"/>
        </w:rPr>
        <w:t xml:space="preserve">, 90 Ohio St.3d 39, 40-43 (2000) (FOP could not legally bar the production of available public records through a records disposition provision in a collective bargaining agreement); </w:t>
      </w:r>
      <w:r w:rsidRPr="00A03E56">
        <w:rPr>
          <w:rFonts w:asciiTheme="minorHAnsi" w:hAnsiTheme="minorHAnsi" w:cstheme="minorHAnsi"/>
          <w:i/>
          <w:sz w:val="16"/>
          <w:szCs w:val="16"/>
        </w:rPr>
        <w:t>State ex rel. Dispatch Printing Co. v. Wells</w:t>
      </w:r>
      <w:r w:rsidRPr="00A03E56">
        <w:rPr>
          <w:rFonts w:asciiTheme="minorHAnsi" w:hAnsiTheme="minorHAnsi" w:cstheme="minorHAnsi"/>
          <w:sz w:val="16"/>
          <w:szCs w:val="16"/>
        </w:rPr>
        <w:t>, 18 Ohio St.3d 382, 384 (1985) (</w:t>
      </w:r>
      <w:r w:rsidR="00690FBC" w:rsidRPr="00A03E56">
        <w:rPr>
          <w:rFonts w:asciiTheme="minorHAnsi" w:hAnsiTheme="minorHAnsi" w:cstheme="minorHAnsi"/>
          <w:sz w:val="16"/>
          <w:szCs w:val="16"/>
        </w:rPr>
        <w:t>invalidating provision in collective bargaining agreement requiring city to ensure confidentiality to officers’ personnel records</w:t>
      </w:r>
      <w:r w:rsidRPr="00A03E56">
        <w:rPr>
          <w:rFonts w:asciiTheme="minorHAnsi" w:hAnsiTheme="minorHAnsi" w:cstheme="minorHAnsi"/>
          <w:sz w:val="16"/>
          <w:szCs w:val="16"/>
        </w:rPr>
        <w:t>).</w:t>
      </w:r>
    </w:p>
  </w:endnote>
  <w:endnote w:id="699">
    <w:p w14:paraId="4DD0A445" w14:textId="70B56C9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923" w:history="1">
        <w:r w:rsidRPr="00A03E56">
          <w:rPr>
            <w:rStyle w:val="Hyperlink"/>
            <w:rFonts w:asciiTheme="minorHAnsi" w:hAnsiTheme="minorHAnsi" w:cstheme="minorHAnsi"/>
            <w:sz w:val="16"/>
            <w:szCs w:val="16"/>
          </w:rPr>
          <w:t>R.C. 149.43(A)(7)</w:t>
        </w:r>
      </w:hyperlink>
      <w:r w:rsidRPr="00A03E56">
        <w:rPr>
          <w:rFonts w:asciiTheme="minorHAnsi" w:hAnsiTheme="minorHAnsi" w:cstheme="minorHAnsi"/>
          <w:sz w:val="16"/>
          <w:szCs w:val="16"/>
        </w:rPr>
        <w:t xml:space="preserve"> (designated public service worker residential and familial information).</w:t>
      </w:r>
    </w:p>
  </w:endnote>
  <w:endnote w:id="700">
    <w:p w14:paraId="583AD5B0" w14:textId="6B46732A"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e.g.,</w:t>
      </w:r>
      <w:r w:rsidRPr="00A03E56">
        <w:rPr>
          <w:rFonts w:asciiTheme="minorHAnsi" w:hAnsiTheme="minorHAnsi" w:cstheme="minorHAnsi"/>
          <w:sz w:val="16"/>
          <w:szCs w:val="16"/>
        </w:rPr>
        <w:t xml:space="preserve"> </w:t>
      </w:r>
      <w:hyperlink r:id="rId924" w:history="1">
        <w:r w:rsidRPr="00A03E56">
          <w:rPr>
            <w:rStyle w:val="Hyperlink"/>
            <w:rFonts w:asciiTheme="minorHAnsi" w:hAnsiTheme="minorHAnsi" w:cstheme="minorHAnsi"/>
            <w:sz w:val="16"/>
            <w:szCs w:val="16"/>
          </w:rPr>
          <w:t>R.C. 2151.142</w:t>
        </w:r>
      </w:hyperlink>
      <w:r w:rsidRPr="00A03E56">
        <w:rPr>
          <w:rFonts w:asciiTheme="minorHAnsi" w:hAnsiTheme="minorHAnsi" w:cstheme="minorHAnsi"/>
          <w:sz w:val="16"/>
          <w:szCs w:val="16"/>
        </w:rPr>
        <w:t xml:space="preserve"> (providing for confidentiality of residential address of public children services agency or private child placing agency personnel).</w:t>
      </w:r>
    </w:p>
  </w:endnote>
  <w:endnote w:id="701">
    <w:p w14:paraId="3AB92F87"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5" w:history="1">
        <w:r w:rsidRPr="00A03E56">
          <w:rPr>
            <w:rStyle w:val="Hyperlink"/>
            <w:rFonts w:asciiTheme="minorHAnsi" w:hAnsiTheme="minorHAnsi" w:cstheme="minorHAnsi"/>
            <w:i/>
            <w:sz w:val="16"/>
            <w:szCs w:val="16"/>
          </w:rPr>
          <w:t>State ex rel. Cincinnati Enquirer v. Winkler</w:t>
        </w:r>
      </w:hyperlink>
      <w:r w:rsidRPr="00A03E56">
        <w:rPr>
          <w:rFonts w:asciiTheme="minorHAnsi" w:hAnsiTheme="minorHAnsi" w:cstheme="minorHAnsi"/>
          <w:sz w:val="16"/>
          <w:szCs w:val="16"/>
        </w:rPr>
        <w:t>, 101 Ohio St.3d 382, 2004-Ohio-1581, ¶ 5 (“[I]t is apparent that court records fall within the broad definition of a ‘public record’ ….”).</w:t>
      </w:r>
    </w:p>
  </w:endnote>
  <w:endnote w:id="702">
    <w:p w14:paraId="6D6114FF"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 xml:space="preserve">See generally </w:t>
      </w:r>
      <w:hyperlink r:id="rId926" w:history="1">
        <w:r w:rsidRPr="00A03E56">
          <w:rPr>
            <w:rStyle w:val="Hyperlink"/>
            <w:rFonts w:asciiTheme="minorHAnsi" w:hAnsiTheme="minorHAnsi" w:cstheme="minorHAnsi"/>
            <w:sz w:val="16"/>
            <w:szCs w:val="16"/>
          </w:rPr>
          <w:t>Sup.R. 44-47</w:t>
        </w:r>
      </w:hyperlink>
      <w:r w:rsidRPr="00A03E56">
        <w:rPr>
          <w:rFonts w:asciiTheme="minorHAnsi" w:hAnsiTheme="minorHAnsi" w:cstheme="minorHAnsi"/>
          <w:sz w:val="16"/>
          <w:szCs w:val="16"/>
        </w:rPr>
        <w:t xml:space="preserve">. </w:t>
      </w:r>
    </w:p>
  </w:endnote>
  <w:endnote w:id="703">
    <w:p w14:paraId="406F7B5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7" w:history="1">
        <w:r w:rsidRPr="00A03E56">
          <w:rPr>
            <w:rStyle w:val="Hyperlink"/>
            <w:rFonts w:asciiTheme="minorHAnsi" w:hAnsiTheme="minorHAnsi" w:cstheme="minorHAnsi"/>
            <w:sz w:val="16"/>
            <w:szCs w:val="16"/>
          </w:rPr>
          <w:t>Sup.R. 1(A)</w:t>
        </w:r>
      </w:hyperlink>
      <w:r w:rsidRPr="00A03E56">
        <w:rPr>
          <w:rFonts w:asciiTheme="minorHAnsi" w:hAnsiTheme="minorHAnsi" w:cstheme="minorHAnsi"/>
          <w:sz w:val="16"/>
          <w:szCs w:val="16"/>
        </w:rPr>
        <w:t xml:space="preserve">; </w:t>
      </w:r>
      <w:hyperlink r:id="rId928" w:history="1">
        <w:r w:rsidRPr="00A03E56">
          <w:rPr>
            <w:rStyle w:val="Hyperlink"/>
            <w:rFonts w:asciiTheme="minorHAnsi" w:hAnsiTheme="minorHAnsi" w:cstheme="minorHAnsi"/>
            <w:sz w:val="16"/>
            <w:szCs w:val="16"/>
          </w:rPr>
          <w:t>Sup.R. 44</w:t>
        </w:r>
      </w:hyperlink>
      <w:r w:rsidRPr="00A03E56">
        <w:rPr>
          <w:rFonts w:asciiTheme="minorHAnsi" w:hAnsiTheme="minorHAnsi" w:cstheme="minorHAnsi"/>
          <w:sz w:val="16"/>
          <w:szCs w:val="16"/>
        </w:rPr>
        <w:t>.</w:t>
      </w:r>
    </w:p>
  </w:endnote>
  <w:endnote w:id="704">
    <w:p w14:paraId="0FDC7B06" w14:textId="2159FD3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29" w:history="1">
        <w:r w:rsidRPr="00A03E56">
          <w:rPr>
            <w:rStyle w:val="Hyperlink"/>
            <w:rFonts w:asciiTheme="minorHAnsi" w:hAnsiTheme="minorHAnsi" w:cstheme="minorHAnsi"/>
            <w:sz w:val="16"/>
            <w:szCs w:val="16"/>
          </w:rPr>
          <w:t>Sup.R. 2(C)</w:t>
        </w:r>
      </w:hyperlink>
      <w:r w:rsidRPr="00A03E56">
        <w:rPr>
          <w:rFonts w:asciiTheme="minorHAnsi" w:hAnsiTheme="minorHAnsi" w:cstheme="minorHAnsi"/>
          <w:sz w:val="16"/>
          <w:szCs w:val="16"/>
        </w:rPr>
        <w:t xml:space="preserve"> (</w:t>
      </w:r>
      <w:r w:rsidR="00786142">
        <w:rPr>
          <w:rFonts w:asciiTheme="minorHAnsi" w:hAnsiTheme="minorHAnsi" w:cstheme="minorHAnsi"/>
          <w:sz w:val="16"/>
          <w:szCs w:val="16"/>
        </w:rPr>
        <w:t>a</w:t>
      </w:r>
      <w:r w:rsidRPr="00A03E56">
        <w:rPr>
          <w:rFonts w:asciiTheme="minorHAnsi" w:hAnsiTheme="minorHAnsi" w:cstheme="minorHAnsi"/>
          <w:sz w:val="16"/>
          <w:szCs w:val="16"/>
        </w:rPr>
        <w:t xml:space="preserve"> “court” </w:t>
      </w:r>
      <w:r w:rsidR="00786142">
        <w:rPr>
          <w:rFonts w:asciiTheme="minorHAnsi" w:hAnsiTheme="minorHAnsi" w:cstheme="minorHAnsi"/>
          <w:sz w:val="16"/>
          <w:szCs w:val="16"/>
        </w:rPr>
        <w:t>i</w:t>
      </w:r>
      <w:r w:rsidRPr="00A03E56">
        <w:rPr>
          <w:rFonts w:asciiTheme="minorHAnsi" w:hAnsiTheme="minorHAnsi" w:cstheme="minorHAnsi"/>
          <w:sz w:val="16"/>
          <w:szCs w:val="16"/>
        </w:rPr>
        <w:t>s</w:t>
      </w:r>
      <w:r w:rsidR="00786142">
        <w:rPr>
          <w:rFonts w:asciiTheme="minorHAnsi" w:hAnsiTheme="minorHAnsi" w:cstheme="minorHAnsi"/>
          <w:sz w:val="16"/>
          <w:szCs w:val="16"/>
        </w:rPr>
        <w:t xml:space="preserve"> a</w:t>
      </w:r>
      <w:r w:rsidRPr="00A03E56">
        <w:rPr>
          <w:rFonts w:asciiTheme="minorHAnsi" w:hAnsiTheme="minorHAnsi" w:cstheme="minorHAnsi"/>
          <w:sz w:val="16"/>
          <w:szCs w:val="16"/>
        </w:rPr>
        <w:t xml:space="preserve"> county court, municipal court, court of common pleas, </w:t>
      </w:r>
      <w:r w:rsidR="00786142">
        <w:rPr>
          <w:rFonts w:asciiTheme="minorHAnsi" w:hAnsiTheme="minorHAnsi" w:cstheme="minorHAnsi"/>
          <w:sz w:val="16"/>
          <w:szCs w:val="16"/>
        </w:rPr>
        <w:t>or</w:t>
      </w:r>
      <w:r w:rsidRPr="00A03E56">
        <w:rPr>
          <w:rFonts w:asciiTheme="minorHAnsi" w:hAnsiTheme="minorHAnsi" w:cstheme="minorHAnsi"/>
          <w:sz w:val="16"/>
          <w:szCs w:val="16"/>
        </w:rPr>
        <w:t xml:space="preserve"> court of appeals).  The Supreme Court of Ohio has held that “[g]enerally, if the records requested are held by or were created for the judicial branch, then the party seeking to obtain the records must submit a request pursuant to [the Rules of Superintendence].” </w:t>
      </w:r>
      <w:hyperlink r:id="rId930" w:history="1">
        <w:r w:rsidRPr="00A03E56">
          <w:rPr>
            <w:rStyle w:val="Hyperlink"/>
            <w:rFonts w:asciiTheme="minorHAnsi" w:hAnsiTheme="minorHAnsi" w:cstheme="minorHAnsi"/>
            <w:sz w:val="16"/>
            <w:szCs w:val="16"/>
          </w:rPr>
          <w:t xml:space="preserve"> </w:t>
        </w:r>
        <w:r w:rsidRPr="00A03E56">
          <w:rPr>
            <w:rStyle w:val="Hyperlink"/>
            <w:rFonts w:asciiTheme="minorHAnsi" w:hAnsiTheme="minorHAnsi" w:cstheme="minorHAnsi"/>
            <w:i/>
            <w:sz w:val="16"/>
            <w:szCs w:val="16"/>
          </w:rPr>
          <w:t>State ex rel. Parisi v. Dayton Bar Assn. Certified Griev. Commt</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159 Ohio St.3d 211, 2019-Ohio-5157, </w:t>
      </w:r>
      <w:r w:rsidRPr="00A03E56">
        <w:rPr>
          <w:rFonts w:asciiTheme="minorHAnsi" w:hAnsiTheme="minorHAnsi" w:cstheme="minorHAnsi"/>
          <w:color w:val="373739"/>
          <w:sz w:val="16"/>
          <w:szCs w:val="16"/>
        </w:rPr>
        <w:t>¶ 21.</w:t>
      </w:r>
      <w:r w:rsidRPr="00A03E56">
        <w:rPr>
          <w:rFonts w:asciiTheme="minorHAnsi" w:hAnsiTheme="minorHAnsi" w:cstheme="minorHAnsi"/>
          <w:sz w:val="16"/>
          <w:szCs w:val="16"/>
        </w:rPr>
        <w:t xml:space="preserve">  Another court has concluded that “[a]ll public records requests made to a court or an arm thereof, such as a probation department, must be made pursuant to the Rules of Superintendence.”  </w:t>
      </w:r>
      <w:r w:rsidRPr="00A03E56">
        <w:rPr>
          <w:rFonts w:asciiTheme="minorHAnsi" w:hAnsiTheme="minorHAnsi" w:cstheme="minorHAnsi"/>
          <w:i/>
          <w:sz w:val="16"/>
          <w:szCs w:val="16"/>
        </w:rPr>
        <w:t>State ex rel. Yambrisak v. Richland Cty. Adult Court</w:t>
      </w:r>
      <w:r w:rsidRPr="00A03E56">
        <w:rPr>
          <w:rFonts w:asciiTheme="minorHAnsi" w:hAnsiTheme="minorHAnsi" w:cstheme="minorHAnsi"/>
          <w:sz w:val="16"/>
          <w:szCs w:val="16"/>
        </w:rPr>
        <w:t>, 5th Dist.</w:t>
      </w:r>
      <w:r w:rsidR="00690FBC" w:rsidRPr="00A03E56">
        <w:rPr>
          <w:rFonts w:asciiTheme="minorHAnsi" w:hAnsiTheme="minorHAnsi" w:cstheme="minorHAnsi"/>
          <w:sz w:val="16"/>
          <w:szCs w:val="16"/>
        </w:rPr>
        <w:t xml:space="preserve"> Richland</w:t>
      </w:r>
      <w:r w:rsidRPr="00A03E56">
        <w:rPr>
          <w:rFonts w:asciiTheme="minorHAnsi" w:hAnsiTheme="minorHAnsi" w:cstheme="minorHAnsi"/>
          <w:sz w:val="16"/>
          <w:szCs w:val="16"/>
        </w:rPr>
        <w:t xml:space="preserve"> No. 15CA66, 2016-Ohio-4622, ¶ 9.  </w:t>
      </w:r>
      <w:r w:rsidRPr="00A03E56">
        <w:rPr>
          <w:rFonts w:asciiTheme="minorHAnsi" w:hAnsiTheme="minorHAnsi" w:cstheme="minorHAnsi"/>
          <w:i/>
          <w:sz w:val="16"/>
          <w:szCs w:val="16"/>
        </w:rPr>
        <w:t xml:space="preserve">But see Fairley v. Cuyahoga Cty. Prosecutor, </w:t>
      </w:r>
      <w:r w:rsidRPr="00A03E56">
        <w:rPr>
          <w:rFonts w:asciiTheme="minorHAnsi" w:hAnsiTheme="minorHAnsi" w:cstheme="minorHAnsi"/>
          <w:sz w:val="16"/>
          <w:szCs w:val="16"/>
        </w:rPr>
        <w:t>Ct. of Cl. No. 2019-00955PQ, 2020-Ohio-1425, ¶ 17 (Sup.R. 44 through 47 do not “purport to control access to copies of court records as kept by parties to litigation, including non-court public offices,” such as a prosecutor’s office).</w:t>
      </w:r>
    </w:p>
  </w:endnote>
  <w:endnote w:id="705">
    <w:p w14:paraId="18685FA9" w14:textId="114A8330"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1" w:history="1">
        <w:r w:rsidRPr="00A03E56">
          <w:rPr>
            <w:rStyle w:val="Hyperlink"/>
            <w:rFonts w:asciiTheme="minorHAnsi" w:hAnsiTheme="minorHAnsi" w:cstheme="minorHAnsi"/>
            <w:i/>
            <w:sz w:val="16"/>
            <w:szCs w:val="16"/>
          </w:rPr>
          <w:t xml:space="preserve">State ex rel. </w:t>
        </w:r>
        <w:r w:rsidRPr="00A03E56">
          <w:rPr>
            <w:rStyle w:val="Hyperlink"/>
            <w:rFonts w:asciiTheme="minorHAnsi" w:hAnsiTheme="minorHAnsi" w:cstheme="minorHAnsi"/>
            <w:i/>
            <w:sz w:val="16"/>
            <w:szCs w:val="16"/>
          </w:rPr>
          <w:t>Parisi v. Dayton Bar Assn. Certified Griev. Commt.</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159 Ohio St.3d 211, 2019-Ohio-5157, ¶ 20 (“[T]he Rules of Superintendence are the sole vehicle by which a party may seek to obtain such [court]records”);</w:t>
      </w:r>
      <w:r w:rsidRPr="00A03E56">
        <w:rPr>
          <w:rFonts w:asciiTheme="minorHAnsi" w:hAnsiTheme="minorHAnsi" w:cstheme="minorHAnsi"/>
          <w:i/>
          <w:sz w:val="16"/>
          <w:szCs w:val="16"/>
        </w:rPr>
        <w:t xml:space="preserve"> </w:t>
      </w:r>
      <w:hyperlink r:id="rId932" w:history="1">
        <w:r w:rsidRPr="00A03E56">
          <w:rPr>
            <w:rStyle w:val="Hyperlink"/>
            <w:rFonts w:asciiTheme="minorHAnsi" w:hAnsiTheme="minorHAnsi" w:cstheme="minorHAnsi"/>
            <w:i/>
            <w:sz w:val="16"/>
            <w:szCs w:val="16"/>
          </w:rPr>
          <w:t>State ex rel. Bey v. Byrd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160 Ohio St.3d 141, 2020-Ohio-2766, ¶ 1</w:t>
      </w:r>
      <w:r w:rsidR="00690FBC" w:rsidRPr="00A03E56">
        <w:rPr>
          <w:rFonts w:asciiTheme="minorHAnsi" w:hAnsiTheme="minorHAnsi" w:cstheme="minorHAnsi"/>
          <w:sz w:val="16"/>
          <w:szCs w:val="16"/>
        </w:rPr>
        <w:t>4</w:t>
      </w:r>
      <w:r w:rsidRPr="00A03E56">
        <w:rPr>
          <w:rFonts w:asciiTheme="minorHAnsi" w:hAnsiTheme="minorHAnsi" w:cstheme="minorHAnsi"/>
          <w:sz w:val="16"/>
          <w:szCs w:val="16"/>
        </w:rPr>
        <w:t xml:space="preserve"> (while the Rules of Superintendence apply to case documents created on or after July 1, 2009, “[g]enerally it is not necessary to cite a particular rule or statute in support of a records request until the requester attempts to satisfy the more demanding standard applicable when claiming that he is entitled to a writ of mandamus to compel compliance with the request”).</w:t>
      </w:r>
    </w:p>
  </w:endnote>
  <w:endnote w:id="706">
    <w:p w14:paraId="772A9EFF" w14:textId="7784E90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3" w:history="1">
        <w:r w:rsidRPr="00A03E56">
          <w:rPr>
            <w:rStyle w:val="Hyperlink"/>
            <w:rFonts w:asciiTheme="minorHAnsi" w:hAnsiTheme="minorHAnsi" w:cstheme="minorHAnsi"/>
            <w:sz w:val="16"/>
            <w:szCs w:val="16"/>
          </w:rPr>
          <w:t>Sup.R. 45(A)</w:t>
        </w:r>
      </w:hyperlink>
      <w:r w:rsidRPr="00A03E56">
        <w:rPr>
          <w:rFonts w:asciiTheme="minorHAnsi" w:hAnsiTheme="minorHAnsi" w:cstheme="minorHAnsi"/>
          <w:sz w:val="16"/>
          <w:szCs w:val="16"/>
        </w:rPr>
        <w:t xml:space="preserve">; </w:t>
      </w:r>
      <w:r w:rsidRPr="00A03E56">
        <w:rPr>
          <w:rFonts w:asciiTheme="minorHAnsi" w:hAnsiTheme="minorHAnsi" w:cstheme="minorHAnsi"/>
          <w:i/>
          <w:sz w:val="16"/>
          <w:szCs w:val="16"/>
        </w:rPr>
        <w:t>see also</w:t>
      </w:r>
      <w:r w:rsidRPr="00A03E56">
        <w:rPr>
          <w:rFonts w:asciiTheme="minorHAnsi" w:hAnsiTheme="minorHAnsi" w:cstheme="minorHAnsi"/>
          <w:sz w:val="16"/>
          <w:szCs w:val="16"/>
        </w:rPr>
        <w:t xml:space="preserve"> </w:t>
      </w:r>
      <w:hyperlink r:id="rId934" w:history="1">
        <w:r w:rsidRPr="00A03E56">
          <w:rPr>
            <w:rStyle w:val="Hyperlink"/>
            <w:rFonts w:asciiTheme="minorHAnsi" w:hAnsiTheme="minorHAnsi" w:cstheme="minorHAnsi"/>
            <w:i/>
            <w:sz w:val="16"/>
            <w:szCs w:val="16"/>
          </w:rPr>
          <w:t>State ex rel. Vindicator Printing Co. v. Wolff</w:t>
        </w:r>
      </w:hyperlink>
      <w:r w:rsidRPr="00A03E56">
        <w:rPr>
          <w:rFonts w:asciiTheme="minorHAnsi" w:hAnsiTheme="minorHAnsi" w:cstheme="minorHAnsi"/>
          <w:sz w:val="16"/>
          <w:szCs w:val="16"/>
        </w:rPr>
        <w:t>, 132 Ohio St.3d 481, 2012-Ohio-3328, ¶ 27 (Rules of Superintendence do not require that a document be used by court in a decision to be entitled to presumption of public access specified in Sup.R. 45(A), but that the “document or information contained in a document must merely be submitted to a court or filed with a clerk of court in a judicial action or proceeding and not be subject to the specified exclusions”)</w:t>
      </w:r>
      <w:r w:rsidR="007F1581">
        <w:rPr>
          <w:rFonts w:asciiTheme="minorHAnsi" w:hAnsiTheme="minorHAnsi" w:cstheme="minorHAnsi"/>
          <w:sz w:val="16"/>
          <w:szCs w:val="16"/>
        </w:rPr>
        <w:t>.</w:t>
      </w:r>
    </w:p>
  </w:endnote>
  <w:endnote w:id="707">
    <w:p w14:paraId="25D77BF5" w14:textId="44306DB4"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5" w:history="1">
        <w:r w:rsidRPr="00A03E56">
          <w:rPr>
            <w:rStyle w:val="Hyperlink"/>
            <w:rFonts w:asciiTheme="minorHAnsi" w:hAnsiTheme="minorHAnsi" w:cstheme="minorHAnsi"/>
            <w:sz w:val="16"/>
            <w:szCs w:val="16"/>
          </w:rPr>
          <w:t>Sup.R. 44(C)(1)</w:t>
        </w:r>
      </w:hyperlink>
      <w:r w:rsidRPr="00A03E56">
        <w:rPr>
          <w:rFonts w:asciiTheme="minorHAnsi" w:hAnsiTheme="minorHAnsi" w:cstheme="minorHAnsi"/>
          <w:sz w:val="16"/>
          <w:szCs w:val="16"/>
        </w:rPr>
        <w:t>.</w:t>
      </w:r>
    </w:p>
  </w:endnote>
  <w:endnote w:id="708">
    <w:p w14:paraId="5FDBF1CE" w14:textId="1EEAC29C"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6" w:history="1">
        <w:r w:rsidRPr="00A03E56">
          <w:rPr>
            <w:rStyle w:val="Hyperlink"/>
            <w:rFonts w:asciiTheme="minorHAnsi" w:hAnsiTheme="minorHAnsi" w:cstheme="minorHAnsi"/>
            <w:sz w:val="16"/>
            <w:szCs w:val="16"/>
          </w:rPr>
          <w:t>Sup.R. 44(B)-(M)</w:t>
        </w:r>
      </w:hyperlink>
      <w:r w:rsidRPr="00A03E56">
        <w:rPr>
          <w:rFonts w:asciiTheme="minorHAnsi" w:hAnsiTheme="minorHAnsi" w:cstheme="minorHAnsi"/>
          <w:sz w:val="16"/>
          <w:szCs w:val="16"/>
        </w:rPr>
        <w:t>.</w:t>
      </w:r>
    </w:p>
  </w:endnote>
  <w:endnote w:id="709">
    <w:p w14:paraId="2CD41D4E" w14:textId="14BE771B"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7" w:history="1">
        <w:r w:rsidRPr="00A03E56">
          <w:rPr>
            <w:rStyle w:val="Hyperlink"/>
            <w:rFonts w:asciiTheme="minorHAnsi" w:hAnsiTheme="minorHAnsi" w:cstheme="minorHAnsi"/>
            <w:sz w:val="16"/>
            <w:szCs w:val="16"/>
          </w:rPr>
          <w:t>Sup.R. 44(E)</w:t>
        </w:r>
        <w:r w:rsidR="007F1581">
          <w:rPr>
            <w:rStyle w:val="Hyperlink"/>
            <w:rFonts w:asciiTheme="minorHAnsi" w:hAnsiTheme="minorHAnsi" w:cstheme="minorHAnsi"/>
            <w:sz w:val="16"/>
            <w:szCs w:val="16"/>
          </w:rPr>
          <w:t>,</w:t>
        </w:r>
        <w:r w:rsidRPr="00A03E56">
          <w:rPr>
            <w:rStyle w:val="Hyperlink"/>
            <w:rFonts w:asciiTheme="minorHAnsi" w:hAnsiTheme="minorHAnsi" w:cstheme="minorHAnsi"/>
            <w:sz w:val="16"/>
            <w:szCs w:val="16"/>
          </w:rPr>
          <w:t xml:space="preserve"> (F)</w:t>
        </w:r>
      </w:hyperlink>
      <w:r w:rsidRPr="00A03E56">
        <w:rPr>
          <w:rFonts w:asciiTheme="minorHAnsi" w:hAnsiTheme="minorHAnsi" w:cstheme="minorHAnsi"/>
          <w:sz w:val="16"/>
          <w:szCs w:val="16"/>
        </w:rPr>
        <w:t>.</w:t>
      </w:r>
    </w:p>
  </w:endnote>
  <w:endnote w:id="710">
    <w:p w14:paraId="3979947A" w14:textId="41088BD0" w:rsidR="0035301A" w:rsidRPr="00A03E56" w:rsidRDefault="0035301A"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8" w:history="1">
        <w:r w:rsidRPr="00A03E56">
          <w:rPr>
            <w:rStyle w:val="Hyperlink"/>
            <w:rFonts w:asciiTheme="minorHAnsi" w:hAnsiTheme="minorHAnsi" w:cstheme="minorHAnsi"/>
            <w:sz w:val="16"/>
            <w:szCs w:val="16"/>
          </w:rPr>
          <w:t>Sup.R. 44(D)</w:t>
        </w:r>
      </w:hyperlink>
      <w:r w:rsidRPr="00A03E56">
        <w:rPr>
          <w:rFonts w:asciiTheme="minorHAnsi" w:hAnsiTheme="minorHAnsi" w:cstheme="minorHAnsi"/>
          <w:sz w:val="16"/>
          <w:szCs w:val="16"/>
        </w:rPr>
        <w:t>.</w:t>
      </w:r>
    </w:p>
  </w:endnote>
  <w:endnote w:id="711">
    <w:p w14:paraId="39229D37" w14:textId="1DFF512C"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39" w:history="1">
        <w:r w:rsidRPr="00A03E56">
          <w:rPr>
            <w:rStyle w:val="Hyperlink"/>
            <w:rFonts w:asciiTheme="minorHAnsi" w:hAnsiTheme="minorHAnsi" w:cstheme="minorHAnsi"/>
            <w:i/>
            <w:sz w:val="16"/>
            <w:szCs w:val="16"/>
          </w:rPr>
          <w:t xml:space="preserve">State ex rel. Harris v. </w:t>
        </w:r>
        <w:r w:rsidRPr="00A03E56">
          <w:rPr>
            <w:rStyle w:val="Hyperlink"/>
            <w:rFonts w:asciiTheme="minorHAnsi" w:hAnsiTheme="minorHAnsi" w:cstheme="minorHAnsi"/>
            <w:i/>
            <w:sz w:val="16"/>
            <w:szCs w:val="16"/>
          </w:rPr>
          <w:t>Pureval</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155 Ohio St.3d 343, 2018-Ohio-4718, ¶ 11.</w:t>
      </w:r>
    </w:p>
  </w:endnote>
  <w:endnote w:id="712">
    <w:p w14:paraId="7FF61521"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0" w:history="1">
        <w:r w:rsidRPr="00A03E56">
          <w:rPr>
            <w:rStyle w:val="Hyperlink"/>
            <w:rFonts w:asciiTheme="minorHAnsi" w:hAnsiTheme="minorHAnsi" w:cstheme="minorHAnsi"/>
            <w:sz w:val="16"/>
            <w:szCs w:val="16"/>
          </w:rPr>
          <w:t>Sup.R. 44(B)</w:t>
        </w:r>
      </w:hyperlink>
      <w:r w:rsidRPr="00A03E56">
        <w:rPr>
          <w:rFonts w:asciiTheme="minorHAnsi" w:hAnsiTheme="minorHAnsi" w:cstheme="minorHAnsi"/>
          <w:sz w:val="16"/>
          <w:szCs w:val="16"/>
        </w:rPr>
        <w:t>.</w:t>
      </w:r>
    </w:p>
  </w:endnote>
  <w:endnote w:id="713">
    <w:p w14:paraId="1E957E23"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1" w:history="1">
        <w:r w:rsidRPr="00A03E56">
          <w:rPr>
            <w:rStyle w:val="Hyperlink"/>
            <w:rFonts w:asciiTheme="minorHAnsi" w:hAnsiTheme="minorHAnsi" w:cstheme="minorHAnsi"/>
            <w:sz w:val="16"/>
            <w:szCs w:val="16"/>
          </w:rPr>
          <w:t>Sup.R. 44(C)(1)</w:t>
        </w:r>
      </w:hyperlink>
      <w:r w:rsidRPr="00A03E56">
        <w:rPr>
          <w:rFonts w:asciiTheme="minorHAnsi" w:hAnsiTheme="minorHAnsi" w:cstheme="minorHAnsi"/>
          <w:sz w:val="16"/>
          <w:szCs w:val="16"/>
        </w:rPr>
        <w:t>.</w:t>
      </w:r>
    </w:p>
  </w:endnote>
  <w:endnote w:id="714">
    <w:p w14:paraId="6814D4F6" w14:textId="7BD4583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2" w:history="1">
        <w:r w:rsidRPr="00A03E56">
          <w:rPr>
            <w:rStyle w:val="Hyperlink"/>
            <w:rFonts w:asciiTheme="minorHAnsi" w:hAnsiTheme="minorHAnsi" w:cstheme="minorHAnsi"/>
            <w:sz w:val="16"/>
            <w:szCs w:val="16"/>
          </w:rPr>
          <w:t>Sup.R. 44(G)(1)</w:t>
        </w:r>
      </w:hyperlink>
      <w:r w:rsidRPr="00A03E56">
        <w:rPr>
          <w:rFonts w:asciiTheme="minorHAnsi" w:hAnsiTheme="minorHAnsi" w:cstheme="minorHAnsi"/>
          <w:sz w:val="16"/>
          <w:szCs w:val="16"/>
        </w:rPr>
        <w:t xml:space="preserve">.  </w:t>
      </w:r>
      <w:hyperlink r:id="rId943" w:history="1">
        <w:r w:rsidRPr="00A03E56">
          <w:rPr>
            <w:rStyle w:val="Hyperlink"/>
            <w:rFonts w:asciiTheme="minorHAnsi" w:hAnsiTheme="minorHAnsi" w:cstheme="minorHAnsi"/>
            <w:sz w:val="16"/>
            <w:szCs w:val="16"/>
          </w:rPr>
          <w:t>Sup.R. 44(G)(1)</w:t>
        </w:r>
      </w:hyperlink>
      <w:r w:rsidRPr="00A03E56">
        <w:rPr>
          <w:rFonts w:asciiTheme="minorHAnsi" w:hAnsiTheme="minorHAnsi" w:cstheme="minorHAnsi"/>
          <w:sz w:val="16"/>
          <w:szCs w:val="16"/>
        </w:rPr>
        <w:t xml:space="preserve"> applies to administrative documents “of [a] court,” not to other offices, even if those offices otherwise possess some court records.  </w:t>
      </w:r>
      <w:r w:rsidRPr="00A03E56">
        <w:rPr>
          <w:rFonts w:asciiTheme="minorHAnsi" w:hAnsiTheme="minorHAnsi" w:cstheme="minorHAnsi"/>
          <w:i/>
          <w:sz w:val="16"/>
          <w:szCs w:val="16"/>
        </w:rPr>
        <w:t>See</w:t>
      </w:r>
      <w:hyperlink r:id="rId944" w:history="1">
        <w:r w:rsidRPr="00A03E56">
          <w:rPr>
            <w:rStyle w:val="Hyperlink"/>
            <w:rFonts w:asciiTheme="minorHAnsi" w:hAnsiTheme="minorHAnsi" w:cstheme="minorHAnsi"/>
            <w:i/>
            <w:sz w:val="16"/>
            <w:szCs w:val="16"/>
          </w:rPr>
          <w:t xml:space="preserve"> State ex rel. Ware v. Kurt</w:t>
        </w:r>
      </w:hyperlink>
      <w:r w:rsidRPr="00A03E56">
        <w:rPr>
          <w:rFonts w:asciiTheme="minorHAnsi" w:hAnsiTheme="minorHAnsi" w:cstheme="minorHAnsi"/>
          <w:i/>
          <w:sz w:val="16"/>
          <w:szCs w:val="16"/>
        </w:rPr>
        <w:t>,</w:t>
      </w:r>
      <w:r w:rsidR="00690FBC" w:rsidRPr="00A03E56">
        <w:rPr>
          <w:rFonts w:asciiTheme="minorHAnsi" w:hAnsiTheme="minorHAnsi" w:cstheme="minorHAnsi"/>
          <w:sz w:val="16"/>
          <w:szCs w:val="16"/>
        </w:rPr>
        <w:t xml:space="preserve">169 Ohio St.3d 223, </w:t>
      </w:r>
      <w:r w:rsidRPr="00A03E56">
        <w:rPr>
          <w:rFonts w:asciiTheme="minorHAnsi" w:hAnsiTheme="minorHAnsi" w:cstheme="minorHAnsi"/>
          <w:sz w:val="16"/>
          <w:szCs w:val="16"/>
        </w:rPr>
        <w:t xml:space="preserve">2022-Ohio-1627, ¶ 15 (where requester sought the policies, schedules, manuals, and employee information from the clerk of courts, the Public Records Act, not the Rules of Superintendence, applied). </w:t>
      </w:r>
    </w:p>
  </w:endnote>
  <w:endnote w:id="715">
    <w:p w14:paraId="023ACFD1" w14:textId="06EA596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5" w:history="1">
        <w:r w:rsidRPr="00A03E56">
          <w:rPr>
            <w:rStyle w:val="Hyperlink"/>
            <w:rFonts w:asciiTheme="minorHAnsi" w:hAnsiTheme="minorHAnsi" w:cstheme="minorHAnsi"/>
            <w:sz w:val="16"/>
            <w:szCs w:val="16"/>
          </w:rPr>
          <w:t>Sup.R. 47(A)(1), (2)</w:t>
        </w:r>
      </w:hyperlink>
      <w:r w:rsidRPr="00A03E56">
        <w:rPr>
          <w:rFonts w:asciiTheme="minorHAnsi" w:hAnsiTheme="minorHAnsi" w:cstheme="minorHAnsi"/>
          <w:sz w:val="16"/>
          <w:szCs w:val="16"/>
        </w:rPr>
        <w:t xml:space="preserve">; </w:t>
      </w:r>
      <w:hyperlink r:id="rId946" w:history="1">
        <w:r w:rsidRPr="00A03E56">
          <w:rPr>
            <w:rStyle w:val="Hyperlink"/>
            <w:rFonts w:asciiTheme="minorHAnsi" w:hAnsiTheme="minorHAnsi" w:cstheme="minorHAnsi"/>
            <w:sz w:val="16"/>
            <w:szCs w:val="16"/>
          </w:rPr>
          <w:t>Sup.R. 99(KK)</w:t>
        </w:r>
      </w:hyperlink>
      <w:r w:rsidRPr="00A03E56">
        <w:rPr>
          <w:rFonts w:asciiTheme="minorHAnsi" w:hAnsiTheme="minorHAnsi" w:cstheme="minorHAnsi"/>
          <w:sz w:val="16"/>
          <w:szCs w:val="16"/>
        </w:rPr>
        <w:t xml:space="preserve">; </w:t>
      </w:r>
      <w:hyperlink r:id="rId947" w:history="1">
        <w:r w:rsidRPr="00A03E56">
          <w:rPr>
            <w:rStyle w:val="Hyperlink"/>
            <w:rFonts w:asciiTheme="minorHAnsi" w:hAnsiTheme="minorHAnsi" w:cstheme="minorHAnsi"/>
            <w:i/>
            <w:sz w:val="16"/>
            <w:szCs w:val="16"/>
          </w:rPr>
          <w:t>State ex rel. Village of Richfield v. Laria</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138 Ohio St.3d 168, 2014-Ohio-243, ¶ 8 (Rules 44 through 47 of the Rules of Superintendence “are the sole vehicle for obtaining [court] records in actions commenced after July 1, 2009.”); </w:t>
      </w:r>
      <w:r w:rsidRPr="00A03E56">
        <w:rPr>
          <w:rFonts w:asciiTheme="minorHAnsi" w:hAnsiTheme="minorHAnsi" w:cstheme="minorHAnsi"/>
          <w:i/>
          <w:sz w:val="16"/>
          <w:szCs w:val="16"/>
        </w:rPr>
        <w:t>see also</w:t>
      </w:r>
      <w:hyperlink r:id="rId948" w:history="1">
        <w:r w:rsidRPr="00A03E56">
          <w:rPr>
            <w:rStyle w:val="Hyperlink"/>
            <w:rFonts w:asciiTheme="minorHAnsi" w:hAnsiTheme="minorHAnsi" w:cstheme="minorHAnsi"/>
            <w:i/>
            <w:sz w:val="16"/>
            <w:szCs w:val="16"/>
          </w:rPr>
          <w:t xml:space="preserve"> State ex rel. Bey v. Byrd</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160 Ohio St.3d 141, 2020-Ohio-2766, ¶ 15 (while the Rules of Superintendence apply to case documents created on or after July 1, 2009, “[g]enerally it is not necessary to cite a particular rule or statute in support of a records request until the requester attempts to satisfy the more demanding standard applicable when claiming that he is entitled to a writ of mandamus to compel compliance with the request”).</w:t>
      </w:r>
    </w:p>
  </w:endnote>
  <w:endnote w:id="716">
    <w:p w14:paraId="25432E5D" w14:textId="5233EFE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49" w:history="1">
        <w:r w:rsidRPr="00A03E56">
          <w:rPr>
            <w:rStyle w:val="Hyperlink"/>
            <w:rFonts w:asciiTheme="minorHAnsi" w:hAnsiTheme="minorHAnsi" w:cstheme="minorHAnsi"/>
            <w:sz w:val="16"/>
            <w:szCs w:val="16"/>
          </w:rPr>
          <w:t>Sup.R.47(A)(1)</w:t>
        </w:r>
      </w:hyperlink>
      <w:r w:rsidRPr="00A03E56">
        <w:rPr>
          <w:rFonts w:asciiTheme="minorHAnsi" w:hAnsiTheme="minorHAnsi" w:cstheme="minorHAnsi"/>
          <w:sz w:val="16"/>
          <w:szCs w:val="16"/>
        </w:rPr>
        <w:t xml:space="preserve">; </w:t>
      </w:r>
      <w:hyperlink r:id="rId950" w:history="1">
        <w:r w:rsidRPr="00A03E56">
          <w:rPr>
            <w:rStyle w:val="Hyperlink"/>
            <w:rFonts w:asciiTheme="minorHAnsi" w:hAnsiTheme="minorHAnsi" w:cstheme="minorHAnsi"/>
            <w:i/>
            <w:sz w:val="16"/>
            <w:szCs w:val="16"/>
          </w:rPr>
          <w:t xml:space="preserve">State ex rel. Village of Richfield v. </w:t>
        </w:r>
        <w:r w:rsidRPr="00A03E56">
          <w:rPr>
            <w:rStyle w:val="Hyperlink"/>
            <w:rFonts w:asciiTheme="minorHAnsi" w:hAnsiTheme="minorHAnsi" w:cstheme="minorHAnsi"/>
            <w:i/>
            <w:sz w:val="16"/>
            <w:szCs w:val="16"/>
          </w:rPr>
          <w:t>Laria</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138 Ohio St.3d 168, 2014-Ohio-243, ¶ 8 (“Sup.R. 44 through 47 deal specifically with the procedures regulating public access to court records and are the sole vehicle for obtaining such records in actions commenced after July 1, 2009.”); </w:t>
      </w:r>
      <w:r w:rsidRPr="00A03E56">
        <w:rPr>
          <w:rFonts w:asciiTheme="minorHAnsi" w:hAnsiTheme="minorHAnsi" w:cstheme="minorHAnsi"/>
          <w:i/>
          <w:sz w:val="16"/>
          <w:szCs w:val="16"/>
        </w:rPr>
        <w:t xml:space="preserve">see also </w:t>
      </w:r>
      <w:hyperlink r:id="rId951" w:history="1">
        <w:r w:rsidRPr="003B5A06">
          <w:rPr>
            <w:rStyle w:val="Hyperlink"/>
            <w:rFonts w:asciiTheme="minorHAnsi" w:hAnsiTheme="minorHAnsi" w:cstheme="minorHAnsi"/>
            <w:i/>
            <w:sz w:val="16"/>
            <w:szCs w:val="16"/>
          </w:rPr>
          <w:t>State ex rel. Ware v. Walsh</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9th Dist. Summit No. 30051, 2021-Ohio-4585, ¶ 7-8 (because relator’s criminal case commenced before July 1, 2009, Sup.R. 44-47 were inapplicable to his request for personnel files, a serology report from his criminal case, his arrest report, and his direct indictment information sheet).</w:t>
      </w:r>
    </w:p>
  </w:endnote>
  <w:endnote w:id="717">
    <w:p w14:paraId="34BAEC3E" w14:textId="2FEF1A1F" w:rsidR="00B37B31" w:rsidRPr="00A03E56" w:rsidRDefault="00B37B31"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hyperlink r:id="rId952" w:history="1">
        <w:r w:rsidRPr="00A03E56">
          <w:rPr>
            <w:rStyle w:val="Hyperlink"/>
            <w:rFonts w:asciiTheme="minorHAnsi" w:hAnsiTheme="minorHAnsi" w:cstheme="minorHAnsi"/>
            <w:sz w:val="16"/>
            <w:szCs w:val="16"/>
          </w:rPr>
          <w:t xml:space="preserve"> </w:t>
        </w:r>
        <w:r w:rsidR="00690FBC" w:rsidRPr="00A03E56">
          <w:rPr>
            <w:rStyle w:val="Hyperlink"/>
            <w:rFonts w:asciiTheme="minorHAnsi" w:hAnsiTheme="minorHAnsi" w:cstheme="minorHAnsi"/>
            <w:sz w:val="16"/>
            <w:szCs w:val="16"/>
          </w:rPr>
          <w:t>Sup.R. 47(A)(2).</w:t>
        </w:r>
      </w:hyperlink>
    </w:p>
  </w:endnote>
  <w:endnote w:id="718">
    <w:p w14:paraId="1D566A6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3" w:history="1">
        <w:r w:rsidRPr="00A03E56">
          <w:rPr>
            <w:rStyle w:val="Hyperlink"/>
            <w:rFonts w:asciiTheme="minorHAnsi" w:hAnsiTheme="minorHAnsi" w:cstheme="minorHAnsi"/>
            <w:sz w:val="16"/>
            <w:szCs w:val="16"/>
          </w:rPr>
          <w:t>Sup.R. 47(A)(3)</w:t>
        </w:r>
      </w:hyperlink>
      <w:r w:rsidRPr="00A03E56">
        <w:rPr>
          <w:rFonts w:asciiTheme="minorHAnsi" w:hAnsiTheme="minorHAnsi" w:cstheme="minorHAnsi"/>
          <w:sz w:val="16"/>
          <w:szCs w:val="16"/>
        </w:rPr>
        <w:t>.</w:t>
      </w:r>
    </w:p>
  </w:endnote>
  <w:endnote w:id="719">
    <w:p w14:paraId="173D8A67" w14:textId="16B5B50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4" w:history="1">
        <w:r w:rsidRPr="00A03E56">
          <w:rPr>
            <w:rStyle w:val="Hyperlink"/>
            <w:rFonts w:asciiTheme="minorHAnsi" w:hAnsiTheme="minorHAnsi" w:cstheme="minorHAnsi"/>
            <w:i/>
            <w:sz w:val="16"/>
            <w:szCs w:val="16"/>
          </w:rPr>
          <w:t>State ex rel. Beacon Journal Publishing Co. v. Waters</w:t>
        </w:r>
      </w:hyperlink>
      <w:r w:rsidRPr="00A03E56">
        <w:rPr>
          <w:rFonts w:asciiTheme="minorHAnsi" w:hAnsiTheme="minorHAnsi" w:cstheme="minorHAnsi"/>
          <w:sz w:val="16"/>
          <w:szCs w:val="16"/>
        </w:rPr>
        <w:t>, 67 Ohio St.3d 321, 323-24 (1993).</w:t>
      </w:r>
    </w:p>
  </w:endnote>
  <w:endnote w:id="720">
    <w:p w14:paraId="2EF34ABD" w14:textId="32B26B46"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5" w:history="1">
        <w:r w:rsidRPr="00C23D28">
          <w:rPr>
            <w:rStyle w:val="Hyperlink"/>
            <w:rFonts w:asciiTheme="minorHAnsi" w:hAnsiTheme="minorHAnsi" w:cstheme="minorHAnsi"/>
            <w:sz w:val="16"/>
            <w:szCs w:val="16"/>
          </w:rPr>
          <w:t>Crim.R. 6(E)</w:t>
        </w:r>
      </w:hyperlink>
      <w:r w:rsidRPr="00A03E56">
        <w:rPr>
          <w:rFonts w:asciiTheme="minorHAnsi" w:hAnsiTheme="minorHAnsi" w:cstheme="minorHAnsi"/>
          <w:sz w:val="16"/>
          <w:szCs w:val="16"/>
        </w:rPr>
        <w:t xml:space="preserve">; </w:t>
      </w:r>
      <w:hyperlink r:id="rId956" w:history="1">
        <w:r w:rsidRPr="00A03E56">
          <w:rPr>
            <w:rStyle w:val="Hyperlink"/>
            <w:rFonts w:asciiTheme="minorHAnsi" w:hAnsiTheme="minorHAnsi" w:cstheme="minorHAnsi"/>
            <w:i/>
            <w:sz w:val="16"/>
            <w:szCs w:val="16"/>
          </w:rPr>
          <w:t>State ex rel. Beacon Journal Publishing Co. v. Waters</w:t>
        </w:r>
      </w:hyperlink>
      <w:r w:rsidRPr="00A03E56">
        <w:rPr>
          <w:rFonts w:asciiTheme="minorHAnsi" w:hAnsiTheme="minorHAnsi" w:cstheme="minorHAnsi"/>
          <w:sz w:val="16"/>
          <w:szCs w:val="16"/>
        </w:rPr>
        <w:t>, 67 Ohio St.3d 321, 323-25 (1993).</w:t>
      </w:r>
    </w:p>
  </w:endnote>
  <w:endnote w:id="721">
    <w:p w14:paraId="46870CC7" w14:textId="02FB796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7" w:history="1">
        <w:r w:rsidRPr="00C23D28">
          <w:rPr>
            <w:rStyle w:val="Hyperlink"/>
            <w:rFonts w:asciiTheme="minorHAnsi" w:hAnsiTheme="minorHAnsi" w:cstheme="minorHAnsi"/>
            <w:sz w:val="16"/>
            <w:szCs w:val="16"/>
          </w:rPr>
          <w:t>Juv.R. 37(B)</w:t>
        </w:r>
      </w:hyperlink>
      <w:r w:rsidRPr="00A03E56">
        <w:rPr>
          <w:rFonts w:asciiTheme="minorHAnsi" w:hAnsiTheme="minorHAnsi" w:cstheme="minorHAnsi"/>
          <w:sz w:val="16"/>
          <w:szCs w:val="16"/>
        </w:rPr>
        <w:t xml:space="preserve">; </w:t>
      </w:r>
      <w:hyperlink r:id="rId958" w:history="1">
        <w:r w:rsidRPr="00A03E56">
          <w:rPr>
            <w:rStyle w:val="Hyperlink"/>
            <w:rFonts w:asciiTheme="minorHAnsi" w:hAnsiTheme="minorHAnsi" w:cstheme="minorHAnsi"/>
            <w:i/>
            <w:sz w:val="16"/>
            <w:szCs w:val="16"/>
          </w:rPr>
          <w:t>State ex rel. Cincinnati Enquirer v. Hunter</w:t>
        </w:r>
      </w:hyperlink>
      <w:r w:rsidRPr="00A03E56">
        <w:rPr>
          <w:rFonts w:asciiTheme="minorHAnsi" w:hAnsiTheme="minorHAnsi" w:cstheme="minorHAnsi"/>
          <w:sz w:val="16"/>
          <w:szCs w:val="16"/>
        </w:rPr>
        <w:t xml:space="preserve">, 1st Dist. </w:t>
      </w:r>
      <w:r w:rsidR="00690FBC" w:rsidRPr="00A03E56">
        <w:rPr>
          <w:rFonts w:asciiTheme="minorHAnsi" w:hAnsiTheme="minorHAnsi" w:cstheme="minorHAnsi"/>
          <w:sz w:val="16"/>
          <w:szCs w:val="16"/>
        </w:rPr>
        <w:t xml:space="preserve">Hamilton </w:t>
      </w:r>
      <w:r w:rsidRPr="00A03E56">
        <w:rPr>
          <w:rFonts w:asciiTheme="minorHAnsi" w:hAnsiTheme="minorHAnsi" w:cstheme="minorHAnsi"/>
          <w:sz w:val="16"/>
          <w:szCs w:val="16"/>
        </w:rPr>
        <w:t>No. C-130072, 2013-Ohio-4459, ¶ 11.</w:t>
      </w:r>
    </w:p>
  </w:endnote>
  <w:endnote w:id="722">
    <w:p w14:paraId="4601F925" w14:textId="4CCACA8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59" w:history="1">
        <w:r w:rsidRPr="00A03E56">
          <w:rPr>
            <w:rStyle w:val="Hyperlink"/>
            <w:rFonts w:asciiTheme="minorHAnsi" w:hAnsiTheme="minorHAnsi" w:cstheme="minorHAnsi"/>
            <w:i/>
            <w:sz w:val="16"/>
            <w:szCs w:val="16"/>
          </w:rPr>
          <w:t>State ex rel. Cincinnati Enquirer v. Winkler</w:t>
        </w:r>
      </w:hyperlink>
      <w:r w:rsidRPr="00A03E56">
        <w:rPr>
          <w:rFonts w:asciiTheme="minorHAnsi" w:hAnsiTheme="minorHAnsi" w:cstheme="minorHAnsi"/>
          <w:sz w:val="16"/>
          <w:szCs w:val="16"/>
        </w:rPr>
        <w:t>, 101 Ohio St.3d 382, 2004-Ohio-1581, ¶ 12-13 (affirming the trial court’s sealing order per R.C. 2953.52 and concluding sealed records not subject to release)</w:t>
      </w:r>
      <w:r w:rsidR="00FC5E79" w:rsidRPr="00A03E56">
        <w:rPr>
          <w:rFonts w:asciiTheme="minorHAnsi" w:hAnsiTheme="minorHAnsi" w:cstheme="minorHAnsi"/>
          <w:sz w:val="16"/>
          <w:szCs w:val="16"/>
        </w:rPr>
        <w:t>.</w:t>
      </w:r>
    </w:p>
  </w:endnote>
  <w:endnote w:id="723">
    <w:p w14:paraId="54BFEBE3" w14:textId="67267DCA"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0" w:history="1">
        <w:r w:rsidRPr="00A03E56">
          <w:rPr>
            <w:rStyle w:val="Hyperlink"/>
            <w:rFonts w:asciiTheme="minorHAnsi" w:hAnsiTheme="minorHAnsi" w:cstheme="minorHAnsi"/>
            <w:i/>
            <w:sz w:val="16"/>
            <w:szCs w:val="16"/>
          </w:rPr>
          <w:t>State ex rel. Doe v. Smith</w:t>
        </w:r>
      </w:hyperlink>
      <w:r w:rsidRPr="00A03E56">
        <w:rPr>
          <w:rFonts w:asciiTheme="minorHAnsi" w:hAnsiTheme="minorHAnsi" w:cstheme="minorHAnsi"/>
          <w:sz w:val="16"/>
          <w:szCs w:val="16"/>
        </w:rPr>
        <w:t xml:space="preserve">, 123 Ohio St.3d 44, 2009-Ohio-4149, ¶ 6, 9 (the response, “[t]here is no information available,” was a violation of R.C. 149.43(B)(3) requirement to provide a sufficient explanation, with legal authority, for the denial); </w:t>
      </w:r>
      <w:r w:rsidRPr="00A03E56">
        <w:rPr>
          <w:rFonts w:asciiTheme="minorHAnsi" w:hAnsiTheme="minorHAnsi" w:cstheme="minorHAnsi"/>
          <w:i/>
          <w:sz w:val="16"/>
          <w:szCs w:val="16"/>
        </w:rPr>
        <w:t xml:space="preserve">Woyt v. Woyt, </w:t>
      </w:r>
      <w:r w:rsidRPr="00A03E56">
        <w:rPr>
          <w:rFonts w:asciiTheme="minorHAnsi" w:hAnsiTheme="minorHAnsi" w:cstheme="minorHAnsi"/>
          <w:sz w:val="16"/>
          <w:szCs w:val="16"/>
        </w:rPr>
        <w:t xml:space="preserve">8th Dist. Cuyahoga Nos. 107312, 107321, 107322, 2019-Ohio-3758, ¶ 67 (“It should only be in the rarest circumstances that a court seals a case from public scrutiny.”).  </w:t>
      </w:r>
      <w:r w:rsidRPr="00A03E56">
        <w:rPr>
          <w:rFonts w:asciiTheme="minorHAnsi" w:hAnsiTheme="minorHAnsi" w:cstheme="minorHAnsi"/>
          <w:i/>
          <w:sz w:val="16"/>
          <w:szCs w:val="16"/>
        </w:rPr>
        <w:t>But see,</w:t>
      </w:r>
      <w:r w:rsidRPr="00A03E56">
        <w:rPr>
          <w:rFonts w:asciiTheme="minorHAnsi" w:hAnsiTheme="minorHAnsi" w:cstheme="minorHAnsi"/>
          <w:sz w:val="16"/>
          <w:szCs w:val="16"/>
        </w:rPr>
        <w:t xml:space="preserve"> </w:t>
      </w:r>
      <w:hyperlink r:id="rId961" w:history="1">
        <w:r w:rsidRPr="00A03E56">
          <w:rPr>
            <w:rStyle w:val="Hyperlink"/>
            <w:rFonts w:asciiTheme="minorHAnsi" w:hAnsiTheme="minorHAnsi" w:cstheme="minorHAnsi"/>
            <w:sz w:val="16"/>
            <w:szCs w:val="16"/>
          </w:rPr>
          <w:t>R.C. 2953.3</w:t>
        </w:r>
        <w:r w:rsidR="00FC5E79" w:rsidRPr="00A03E56">
          <w:rPr>
            <w:rStyle w:val="Hyperlink"/>
            <w:rFonts w:asciiTheme="minorHAnsi" w:hAnsiTheme="minorHAnsi" w:cstheme="minorHAnsi"/>
            <w:sz w:val="16"/>
            <w:szCs w:val="16"/>
          </w:rPr>
          <w:t>6(F)(2)</w:t>
        </w:r>
      </w:hyperlink>
      <w:r w:rsidRPr="00A03E56">
        <w:rPr>
          <w:rFonts w:asciiTheme="minorHAnsi" w:hAnsiTheme="minorHAnsi" w:cstheme="minorHAnsi"/>
          <w:sz w:val="16"/>
          <w:szCs w:val="16"/>
        </w:rPr>
        <w:t xml:space="preserve"> (for expunged records of human trafficking victims, “upon any inquiry” the court “shall reply that no record exists”).</w:t>
      </w:r>
    </w:p>
  </w:endnote>
  <w:endnote w:id="724">
    <w:p w14:paraId="61C94F6F"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2" w:history="1">
        <w:r w:rsidRPr="00A03E56">
          <w:rPr>
            <w:rStyle w:val="Hyperlink"/>
            <w:rFonts w:asciiTheme="minorHAnsi" w:hAnsiTheme="minorHAnsi" w:cstheme="minorHAnsi"/>
            <w:i/>
            <w:sz w:val="16"/>
            <w:szCs w:val="16"/>
          </w:rPr>
          <w:t>Schussheim v. Schussheim</w:t>
        </w:r>
      </w:hyperlink>
      <w:r w:rsidRPr="00A03E56">
        <w:rPr>
          <w:rFonts w:asciiTheme="minorHAnsi" w:hAnsiTheme="minorHAnsi" w:cstheme="minorHAnsi"/>
          <w:sz w:val="16"/>
          <w:szCs w:val="16"/>
        </w:rPr>
        <w:t>, 137 Ohio St.3d 133, 2013-Ohio-4529, ¶ 3 (trial court may exercise inherent authority to seal records relating to a dissolved civil protection order without express statutory authority).</w:t>
      </w:r>
    </w:p>
  </w:endnote>
  <w:endnote w:id="725">
    <w:p w14:paraId="02F94BB7" w14:textId="046CCF8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3" w:history="1">
        <w:r w:rsidRPr="00A03E56">
          <w:rPr>
            <w:rStyle w:val="Hyperlink"/>
            <w:rFonts w:asciiTheme="minorHAnsi" w:hAnsiTheme="minorHAnsi" w:cstheme="minorHAnsi"/>
            <w:i/>
            <w:sz w:val="16"/>
            <w:szCs w:val="16"/>
          </w:rPr>
          <w:t xml:space="preserve">State ex rel. Highlander v. </w:t>
        </w:r>
        <w:r w:rsidRPr="00A03E56">
          <w:rPr>
            <w:rStyle w:val="Hyperlink"/>
            <w:rFonts w:asciiTheme="minorHAnsi" w:hAnsiTheme="minorHAnsi" w:cstheme="minorHAnsi"/>
            <w:i/>
            <w:sz w:val="16"/>
            <w:szCs w:val="16"/>
          </w:rPr>
          <w:t>Rudduck</w:t>
        </w:r>
      </w:hyperlink>
      <w:r w:rsidRPr="00A03E56">
        <w:rPr>
          <w:rFonts w:asciiTheme="minorHAnsi" w:hAnsiTheme="minorHAnsi" w:cstheme="minorHAnsi"/>
          <w:sz w:val="16"/>
          <w:szCs w:val="16"/>
        </w:rPr>
        <w:t>, 103 Ohio St.3d 370, 2004-Ohio-4952, ¶ 11 (holding divorce records are not properly sealed when the order results from an agreed judgment entry</w:t>
      </w:r>
      <w:r w:rsidR="00C23D28">
        <w:rPr>
          <w:rFonts w:asciiTheme="minorHAnsi" w:hAnsiTheme="minorHAnsi" w:cstheme="minorHAnsi"/>
          <w:sz w:val="16"/>
          <w:szCs w:val="16"/>
        </w:rPr>
        <w:t xml:space="preserve"> </w:t>
      </w:r>
      <w:r w:rsidRPr="00A03E56">
        <w:rPr>
          <w:rFonts w:asciiTheme="minorHAnsi" w:hAnsiTheme="minorHAnsi" w:cstheme="minorHAnsi"/>
          <w:sz w:val="16"/>
          <w:szCs w:val="16"/>
        </w:rPr>
        <w:t>and are not exempt from disclosure).</w:t>
      </w:r>
    </w:p>
  </w:endnote>
  <w:endnote w:id="726">
    <w:p w14:paraId="30DA5EA8"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4" w:history="1">
        <w:r w:rsidRPr="00A03E56">
          <w:rPr>
            <w:rStyle w:val="Hyperlink"/>
            <w:rFonts w:asciiTheme="minorHAnsi" w:hAnsiTheme="minorHAnsi" w:cstheme="minorHAnsi"/>
            <w:i/>
            <w:sz w:val="16"/>
            <w:szCs w:val="16"/>
          </w:rPr>
          <w:t>State v. Radcliff</w:t>
        </w:r>
      </w:hyperlink>
      <w:r w:rsidRPr="00A03E56">
        <w:rPr>
          <w:rFonts w:asciiTheme="minorHAnsi" w:hAnsiTheme="minorHAnsi" w:cstheme="minorHAnsi"/>
          <w:sz w:val="16"/>
          <w:szCs w:val="16"/>
        </w:rPr>
        <w:t>, 142 Ohio St.3d 78, 2015-Ohio-235, ¶27.</w:t>
      </w:r>
    </w:p>
  </w:endnote>
  <w:endnote w:id="727">
    <w:p w14:paraId="446E2F32"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5" w:history="1">
        <w:r w:rsidRPr="00A03E56">
          <w:rPr>
            <w:rStyle w:val="Hyperlink"/>
            <w:rFonts w:asciiTheme="minorHAnsi" w:hAnsiTheme="minorHAnsi" w:cstheme="minorHAnsi"/>
            <w:i/>
            <w:sz w:val="16"/>
            <w:szCs w:val="16"/>
          </w:rPr>
          <w:t>State v. Radcliff</w:t>
        </w:r>
      </w:hyperlink>
      <w:r w:rsidRPr="00A03E56">
        <w:rPr>
          <w:rFonts w:asciiTheme="minorHAnsi" w:hAnsiTheme="minorHAnsi" w:cstheme="minorHAnsi"/>
          <w:sz w:val="16"/>
          <w:szCs w:val="16"/>
        </w:rPr>
        <w:t>, 142 Ohio St.3d 78, 2015-Ohio-235.</w:t>
      </w:r>
    </w:p>
  </w:endnote>
  <w:endnote w:id="728">
    <w:p w14:paraId="52156BA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6" w:history="1">
        <w:r w:rsidRPr="00A03E56">
          <w:rPr>
            <w:rStyle w:val="Hyperlink"/>
            <w:rFonts w:asciiTheme="minorHAnsi" w:hAnsiTheme="minorHAnsi" w:cstheme="minorHAnsi"/>
            <w:i/>
            <w:sz w:val="16"/>
            <w:szCs w:val="16"/>
          </w:rPr>
          <w:t>State v. Radcliff</w:t>
        </w:r>
      </w:hyperlink>
      <w:r w:rsidRPr="00A03E56">
        <w:rPr>
          <w:rFonts w:asciiTheme="minorHAnsi" w:hAnsiTheme="minorHAnsi" w:cstheme="minorHAnsi"/>
          <w:sz w:val="16"/>
          <w:szCs w:val="16"/>
        </w:rPr>
        <w:t>, 142 Ohio St.3d 78, 2015-Ohio-235.</w:t>
      </w:r>
    </w:p>
  </w:endnote>
  <w:endnote w:id="729">
    <w:p w14:paraId="28337A3C" w14:textId="2E5B7965" w:rsidR="00FF2782" w:rsidRPr="00A03E56" w:rsidRDefault="00FF2782" w:rsidP="00A03E56">
      <w:pPr>
        <w:pStyle w:val="EndnoteText"/>
        <w:spacing w:line="160" w:lineRule="exact"/>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7" w:history="1">
        <w:r w:rsidR="00FC5E79" w:rsidRPr="00A03E56">
          <w:rPr>
            <w:rStyle w:val="Hyperlink"/>
            <w:rFonts w:asciiTheme="minorHAnsi" w:hAnsiTheme="minorHAnsi" w:cstheme="minorHAnsi"/>
            <w:sz w:val="16"/>
            <w:szCs w:val="16"/>
          </w:rPr>
          <w:t>R.C. 2953.32.</w:t>
        </w:r>
      </w:hyperlink>
    </w:p>
  </w:endnote>
  <w:endnote w:id="730">
    <w:p w14:paraId="1AD0B5E0"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8" w:history="1">
        <w:r w:rsidRPr="00A03E56">
          <w:rPr>
            <w:rStyle w:val="Hyperlink"/>
            <w:rFonts w:asciiTheme="minorHAnsi" w:hAnsiTheme="minorHAnsi" w:cstheme="minorHAnsi"/>
            <w:sz w:val="16"/>
            <w:szCs w:val="16"/>
          </w:rPr>
          <w:t>Sup.R. 45(E)(1)</w:t>
        </w:r>
      </w:hyperlink>
      <w:r w:rsidRPr="00A03E56">
        <w:rPr>
          <w:rFonts w:asciiTheme="minorHAnsi" w:hAnsiTheme="minorHAnsi" w:cstheme="minorHAnsi"/>
          <w:sz w:val="16"/>
          <w:szCs w:val="16"/>
        </w:rPr>
        <w:t>.</w:t>
      </w:r>
    </w:p>
  </w:endnote>
  <w:endnote w:id="731">
    <w:p w14:paraId="53DE06AD"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69" w:history="1">
        <w:r w:rsidRPr="00A03E56">
          <w:rPr>
            <w:rStyle w:val="Hyperlink"/>
            <w:rFonts w:asciiTheme="minorHAnsi" w:hAnsiTheme="minorHAnsi" w:cstheme="minorHAnsi"/>
            <w:sz w:val="16"/>
            <w:szCs w:val="16"/>
          </w:rPr>
          <w:t>Sup.R. 45(E)(1)</w:t>
        </w:r>
      </w:hyperlink>
      <w:r w:rsidRPr="00A03E56">
        <w:rPr>
          <w:rFonts w:asciiTheme="minorHAnsi" w:hAnsiTheme="minorHAnsi" w:cstheme="minorHAnsi"/>
          <w:sz w:val="16"/>
          <w:szCs w:val="16"/>
        </w:rPr>
        <w:t>.</w:t>
      </w:r>
    </w:p>
  </w:endnote>
  <w:endnote w:id="732">
    <w:p w14:paraId="07B2EC73"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0" w:history="1">
        <w:r w:rsidRPr="00A03E56">
          <w:rPr>
            <w:rStyle w:val="Hyperlink"/>
            <w:rFonts w:asciiTheme="minorHAnsi" w:hAnsiTheme="minorHAnsi" w:cstheme="minorHAnsi"/>
            <w:sz w:val="16"/>
            <w:szCs w:val="16"/>
          </w:rPr>
          <w:t>Sup.R. 45(E)(2)</w:t>
        </w:r>
      </w:hyperlink>
      <w:r w:rsidRPr="00A03E56">
        <w:rPr>
          <w:rFonts w:asciiTheme="minorHAnsi" w:hAnsiTheme="minorHAnsi" w:cstheme="minorHAnsi"/>
          <w:sz w:val="16"/>
          <w:szCs w:val="16"/>
        </w:rPr>
        <w:t>.</w:t>
      </w:r>
    </w:p>
  </w:endnote>
  <w:endnote w:id="733">
    <w:p w14:paraId="7625A3D5"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1" w:history="1">
        <w:r w:rsidRPr="00A03E56">
          <w:rPr>
            <w:rStyle w:val="Hyperlink"/>
            <w:rFonts w:asciiTheme="minorHAnsi" w:hAnsiTheme="minorHAnsi" w:cstheme="minorHAnsi"/>
            <w:sz w:val="16"/>
            <w:szCs w:val="16"/>
          </w:rPr>
          <w:t>Sup.R. 45(E)(2)(a)-(c)</w:t>
        </w:r>
      </w:hyperlink>
      <w:r w:rsidRPr="00A03E56">
        <w:rPr>
          <w:rFonts w:asciiTheme="minorHAnsi" w:hAnsiTheme="minorHAnsi" w:cstheme="minorHAnsi"/>
          <w:sz w:val="16"/>
          <w:szCs w:val="16"/>
        </w:rPr>
        <w:t>.</w:t>
      </w:r>
    </w:p>
  </w:endnote>
  <w:endnote w:id="734">
    <w:p w14:paraId="1D0B1B17" w14:textId="77777777"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2" w:history="1">
        <w:r w:rsidRPr="00A03E56">
          <w:rPr>
            <w:rStyle w:val="Hyperlink"/>
            <w:rFonts w:asciiTheme="minorHAnsi" w:hAnsiTheme="minorHAnsi" w:cstheme="minorHAnsi"/>
            <w:sz w:val="16"/>
            <w:szCs w:val="16"/>
          </w:rPr>
          <w:t>Sup.R. 45(E)(3)</w:t>
        </w:r>
      </w:hyperlink>
      <w:r w:rsidRPr="00A03E56">
        <w:rPr>
          <w:rFonts w:asciiTheme="minorHAnsi" w:hAnsiTheme="minorHAnsi" w:cstheme="minorHAnsi"/>
          <w:sz w:val="16"/>
          <w:szCs w:val="16"/>
        </w:rPr>
        <w:t>.</w:t>
      </w:r>
    </w:p>
  </w:endnote>
  <w:endnote w:id="735">
    <w:p w14:paraId="4E1B0CCF" w14:textId="2B059CA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73" w:history="1">
        <w:r w:rsidRPr="00A03E56">
          <w:rPr>
            <w:rStyle w:val="Hyperlink"/>
            <w:rFonts w:asciiTheme="minorHAnsi" w:hAnsiTheme="minorHAnsi" w:cstheme="minorHAnsi"/>
            <w:i/>
            <w:sz w:val="16"/>
            <w:szCs w:val="16"/>
          </w:rPr>
          <w:t>State ex rel. Vindicator Printing Co. v. Wolff</w:t>
        </w:r>
      </w:hyperlink>
      <w:r w:rsidRPr="00A03E56">
        <w:rPr>
          <w:rFonts w:asciiTheme="minorHAnsi" w:hAnsiTheme="minorHAnsi" w:cstheme="minorHAnsi"/>
          <w:sz w:val="16"/>
          <w:szCs w:val="16"/>
        </w:rPr>
        <w:t xml:space="preserve">, 132 Ohio St.3d 481, 2012-Ohio-3328, ¶ 34 (trial court improperly restricted public access to certain case documents because there was not clear and convincing evidence to establish the prejudicial effect of potential pre-trial publicity); </w:t>
      </w:r>
      <w:hyperlink r:id="rId974" w:history="1">
        <w:r w:rsidRPr="00A03E56">
          <w:rPr>
            <w:rStyle w:val="Hyperlink"/>
            <w:rFonts w:asciiTheme="minorHAnsi" w:hAnsiTheme="minorHAnsi" w:cstheme="minorHAnsi"/>
            <w:i/>
            <w:sz w:val="16"/>
            <w:szCs w:val="16"/>
          </w:rPr>
          <w:t>State ex rel. Cincinnati Enquirer v. Hunter</w:t>
        </w:r>
      </w:hyperlink>
      <w:r w:rsidRPr="00A03E56">
        <w:rPr>
          <w:rFonts w:asciiTheme="minorHAnsi" w:hAnsiTheme="minorHAnsi" w:cstheme="minorHAnsi"/>
          <w:sz w:val="16"/>
          <w:szCs w:val="16"/>
        </w:rPr>
        <w:t xml:space="preserve">, 1st Dist. </w:t>
      </w:r>
      <w:r w:rsidR="00FC5E79" w:rsidRPr="00A03E56">
        <w:rPr>
          <w:rFonts w:asciiTheme="minorHAnsi" w:hAnsiTheme="minorHAnsi" w:cstheme="minorHAnsi"/>
          <w:sz w:val="16"/>
          <w:szCs w:val="16"/>
        </w:rPr>
        <w:t xml:space="preserve">Hamilton </w:t>
      </w:r>
      <w:r w:rsidRPr="00A03E56">
        <w:rPr>
          <w:rFonts w:asciiTheme="minorHAnsi" w:hAnsiTheme="minorHAnsi" w:cstheme="minorHAnsi"/>
          <w:sz w:val="16"/>
          <w:szCs w:val="16"/>
        </w:rPr>
        <w:t xml:space="preserve">No. C-130072, 2013-Ohio-4459, ¶ 11-12 (the Rules of Superintendence do not permit a court to substitute initials for the full names of juveniles in delinquency cases; judge failed to present requisite clear and convincing evidence to justify substitution); </w:t>
      </w:r>
      <w:r w:rsidRPr="00A03E56">
        <w:rPr>
          <w:rFonts w:asciiTheme="minorHAnsi" w:hAnsiTheme="minorHAnsi" w:cstheme="minorHAnsi"/>
          <w:i/>
          <w:sz w:val="16"/>
          <w:szCs w:val="16"/>
        </w:rPr>
        <w:t xml:space="preserve">Woyt v. Woyt, </w:t>
      </w:r>
      <w:r w:rsidRPr="00A03E56">
        <w:rPr>
          <w:rFonts w:asciiTheme="minorHAnsi" w:hAnsiTheme="minorHAnsi" w:cstheme="minorHAnsi"/>
          <w:sz w:val="16"/>
          <w:szCs w:val="16"/>
        </w:rPr>
        <w:t xml:space="preserve">8th Dist. Cuyahoga Nos. 107312, 107321, 107322, 2019-Ohio-3758, ¶ 66 (holding that in divorce proceedings, “the trial court failed to identify any specific case document or part thereof and conduct a meaningful analysis as required by Sup.R 45(E)(2),” and “by sealing the entire case file, the court failed to use the lease restrictive means available as required by Sup.R 45(E)(3)”); </w:t>
      </w:r>
      <w:hyperlink r:id="rId975" w:history="1">
        <w:r w:rsidRPr="00A03E56">
          <w:rPr>
            <w:rStyle w:val="Hyperlink"/>
            <w:rFonts w:asciiTheme="minorHAnsi" w:hAnsiTheme="minorHAnsi" w:cstheme="minorHAnsi"/>
            <w:i/>
            <w:sz w:val="16"/>
            <w:szCs w:val="16"/>
          </w:rPr>
          <w:t>State ex rel. Cincinnati Enquirer v, Shanahan</w:t>
        </w:r>
      </w:hyperlink>
      <w:r w:rsidRPr="00A03E56">
        <w:rPr>
          <w:rFonts w:asciiTheme="minorHAnsi" w:hAnsiTheme="minorHAnsi" w:cstheme="minorHAnsi"/>
          <w:i/>
          <w:sz w:val="16"/>
          <w:szCs w:val="16"/>
        </w:rPr>
        <w:t xml:space="preserve">, </w:t>
      </w:r>
      <w:r w:rsidRPr="00A03E56">
        <w:rPr>
          <w:rFonts w:asciiTheme="minorHAnsi" w:hAnsiTheme="minorHAnsi" w:cstheme="minorHAnsi"/>
          <w:sz w:val="16"/>
          <w:szCs w:val="16"/>
        </w:rPr>
        <w:t xml:space="preserve">166 Ohio St.3d 382, 2022-Ohio-448, ¶ 25-26 (judge improperly sealed a party’s affidavit because the sealing order was not supported by clear and convincing evidence of risk of injury to person, individual privacy rights and interest, or public safety); </w:t>
      </w:r>
      <w:hyperlink r:id="rId976" w:history="1">
        <w:r w:rsidRPr="00A03E56">
          <w:rPr>
            <w:rStyle w:val="Hyperlink"/>
            <w:rFonts w:asciiTheme="minorHAnsi" w:hAnsiTheme="minorHAnsi" w:cstheme="minorHAnsi"/>
            <w:i/>
            <w:sz w:val="16"/>
            <w:szCs w:val="16"/>
          </w:rPr>
          <w:t>State ex rel. Cincinnati Enquirer v. Forsthoefel</w:t>
        </w:r>
      </w:hyperlink>
      <w:r w:rsidRPr="00A03E56">
        <w:rPr>
          <w:rFonts w:asciiTheme="minorHAnsi" w:hAnsiTheme="minorHAnsi" w:cstheme="minorHAnsi"/>
          <w:i/>
          <w:sz w:val="16"/>
          <w:szCs w:val="16"/>
        </w:rPr>
        <w:t>,</w:t>
      </w:r>
      <w:r w:rsidR="00FC5E79" w:rsidRPr="00A03E56">
        <w:rPr>
          <w:rFonts w:asciiTheme="minorHAnsi" w:hAnsiTheme="minorHAnsi" w:cstheme="minorHAnsi"/>
          <w:sz w:val="16"/>
          <w:szCs w:val="16"/>
        </w:rPr>
        <w:t xml:space="preserve"> 170 Ohio St.3d 292,</w:t>
      </w:r>
      <w:r w:rsidRPr="00A03E56">
        <w:rPr>
          <w:rFonts w:asciiTheme="minorHAnsi" w:hAnsiTheme="minorHAnsi" w:cstheme="minorHAnsi"/>
          <w:sz w:val="16"/>
          <w:szCs w:val="16"/>
        </w:rPr>
        <w:t xml:space="preserve"> 2022-Ohio-3580, ¶ 15, 17 (judge improperly sealed case documents because there was no evidence in support of the decision; the judge “simply announced, without any analysis,” that the moving party’s motion was “well-taken”).</w:t>
      </w:r>
    </w:p>
  </w:endnote>
  <w:endnote w:id="736">
    <w:p w14:paraId="7EC737AA" w14:textId="2E2E31B1" w:rsidR="00857518" w:rsidRPr="00B827C8" w:rsidRDefault="00857518" w:rsidP="00B827C8">
      <w:pPr>
        <w:pStyle w:val="EndnoteText"/>
        <w:spacing w:line="160" w:lineRule="exact"/>
        <w:jc w:val="both"/>
        <w:rPr>
          <w:rFonts w:asciiTheme="minorHAnsi" w:hAnsiTheme="minorHAnsi" w:cstheme="minorHAnsi"/>
          <w:sz w:val="16"/>
          <w:szCs w:val="16"/>
        </w:rPr>
      </w:pPr>
      <w:r w:rsidRPr="00E12499">
        <w:rPr>
          <w:rStyle w:val="EndnoteReference"/>
          <w:rFonts w:asciiTheme="minorHAnsi" w:hAnsiTheme="minorHAnsi" w:cstheme="minorHAnsi"/>
          <w:sz w:val="16"/>
          <w:szCs w:val="16"/>
        </w:rPr>
        <w:endnoteRef/>
      </w:r>
      <w:r w:rsidRPr="00E12499">
        <w:rPr>
          <w:rFonts w:asciiTheme="minorHAnsi" w:hAnsiTheme="minorHAnsi" w:cstheme="minorHAnsi"/>
          <w:sz w:val="16"/>
          <w:szCs w:val="16"/>
        </w:rPr>
        <w:t xml:space="preserve"> </w:t>
      </w:r>
      <w:r w:rsidRPr="00B827C8">
        <w:rPr>
          <w:rFonts w:asciiTheme="minorHAnsi" w:hAnsiTheme="minorHAnsi" w:cstheme="minorHAnsi"/>
          <w:i/>
          <w:sz w:val="16"/>
          <w:szCs w:val="16"/>
        </w:rPr>
        <w:t xml:space="preserve">Woyt v. Woyt, </w:t>
      </w:r>
      <w:r w:rsidRPr="00B827C8">
        <w:rPr>
          <w:rFonts w:asciiTheme="minorHAnsi" w:hAnsiTheme="minorHAnsi" w:cstheme="minorHAnsi"/>
          <w:sz w:val="16"/>
          <w:szCs w:val="16"/>
        </w:rPr>
        <w:t>8th Dist. Cuyahoga Nos. 107312, 107321, 107322</w:t>
      </w:r>
      <w:r w:rsidR="003B5A06" w:rsidRPr="00B827C8">
        <w:rPr>
          <w:rFonts w:asciiTheme="minorHAnsi" w:hAnsiTheme="minorHAnsi" w:cstheme="minorHAnsi"/>
          <w:sz w:val="16"/>
          <w:szCs w:val="16"/>
        </w:rPr>
        <w:t>,</w:t>
      </w:r>
      <w:r w:rsidRPr="00B827C8">
        <w:rPr>
          <w:rFonts w:asciiTheme="minorHAnsi" w:hAnsiTheme="minorHAnsi" w:cstheme="minorHAnsi"/>
          <w:sz w:val="16"/>
          <w:szCs w:val="16"/>
        </w:rPr>
        <w:t xml:space="preserve"> 2019-Ohio-3758, ¶ 66 (“by sealing the entire case file, the court failed to use the lease restrictive means available as required by Sup.R. 45 (E)(3)”); </w:t>
      </w:r>
      <w:hyperlink r:id="rId977" w:history="1">
        <w:r w:rsidRPr="00B827C8">
          <w:rPr>
            <w:rStyle w:val="Hyperlink"/>
            <w:rFonts w:asciiTheme="minorHAnsi" w:hAnsiTheme="minorHAnsi" w:cstheme="minorHAnsi"/>
            <w:i/>
            <w:sz w:val="16"/>
            <w:szCs w:val="16"/>
          </w:rPr>
          <w:t>State ex rel. Cincinnati Enquirer v. Forsthoefel</w:t>
        </w:r>
      </w:hyperlink>
      <w:r w:rsidRPr="00B827C8">
        <w:rPr>
          <w:rFonts w:asciiTheme="minorHAnsi" w:hAnsiTheme="minorHAnsi" w:cstheme="minorHAnsi"/>
          <w:i/>
          <w:sz w:val="16"/>
          <w:szCs w:val="16"/>
        </w:rPr>
        <w:t xml:space="preserve">, </w:t>
      </w:r>
      <w:r w:rsidR="00FC5E79" w:rsidRPr="00B827C8">
        <w:rPr>
          <w:rFonts w:asciiTheme="minorHAnsi" w:hAnsiTheme="minorHAnsi" w:cstheme="minorHAnsi"/>
          <w:sz w:val="16"/>
          <w:szCs w:val="16"/>
        </w:rPr>
        <w:t>170 Ohio St.3d 292,</w:t>
      </w:r>
      <w:r w:rsidRPr="00B827C8">
        <w:rPr>
          <w:rFonts w:asciiTheme="minorHAnsi" w:hAnsiTheme="minorHAnsi" w:cstheme="minorHAnsi"/>
          <w:sz w:val="16"/>
          <w:szCs w:val="16"/>
        </w:rPr>
        <w:t xml:space="preserve"> 2022-Ohio-3580, ¶ 15, 17 (with no evidence in support of the decision, judge erred in sweepingly sealing numerous case documents instead of using a less restrictive means of limiting public access).</w:t>
      </w:r>
    </w:p>
  </w:endnote>
  <w:endnote w:id="737">
    <w:p w14:paraId="4B4907B5" w14:textId="3CCDB2E2"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 xml:space="preserve">45 C.F.R. 160 </w:t>
      </w:r>
      <w:r w:rsidRPr="00B827C8">
        <w:rPr>
          <w:rFonts w:asciiTheme="minorHAnsi" w:hAnsiTheme="minorHAnsi" w:cstheme="minorHAnsi"/>
          <w:i/>
          <w:sz w:val="16"/>
          <w:szCs w:val="16"/>
        </w:rPr>
        <w:t>et seq.</w:t>
      </w:r>
      <w:r w:rsidRPr="00B827C8">
        <w:rPr>
          <w:rFonts w:asciiTheme="minorHAnsi" w:hAnsiTheme="minorHAnsi" w:cstheme="minorHAnsi"/>
          <w:sz w:val="16"/>
          <w:szCs w:val="16"/>
        </w:rPr>
        <w:t xml:space="preserve">; 45 C.F.R. 164 </w:t>
      </w:r>
      <w:r w:rsidRPr="00B827C8">
        <w:rPr>
          <w:rFonts w:asciiTheme="minorHAnsi" w:hAnsiTheme="minorHAnsi" w:cstheme="minorHAnsi"/>
          <w:i/>
          <w:sz w:val="16"/>
          <w:szCs w:val="16"/>
        </w:rPr>
        <w:t>et seq.</w:t>
      </w:r>
    </w:p>
  </w:endnote>
  <w:endnote w:id="738">
    <w:p w14:paraId="40AA0755" w14:textId="160D4976"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 xml:space="preserve">Public Law No. 111-5, Division A, Title XIII, Subtitle D (2009). For additional information see </w:t>
      </w:r>
      <w:hyperlink r:id="rId978" w:history="1">
        <w:r w:rsidRPr="00B827C8">
          <w:rPr>
            <w:rStyle w:val="Hyperlink"/>
            <w:rFonts w:asciiTheme="minorHAnsi" w:hAnsiTheme="minorHAnsi" w:cstheme="minorHAnsi"/>
            <w:sz w:val="16"/>
            <w:szCs w:val="16"/>
          </w:rPr>
          <w:t>http://www.hhs.gov/hipaa/for-professionals/special-topics/health-information-technology/index.html.</w:t>
        </w:r>
      </w:hyperlink>
    </w:p>
  </w:endnote>
  <w:endnote w:id="739">
    <w:p w14:paraId="045C8DC9" w14:textId="3F0825B0"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160.103.</w:t>
      </w:r>
    </w:p>
  </w:endnote>
  <w:endnote w:id="740">
    <w:p w14:paraId="54AEE9DF" w14:textId="73D499C8"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160.103.</w:t>
      </w:r>
    </w:p>
  </w:endnote>
  <w:endnote w:id="741">
    <w:p w14:paraId="0DACDF52" w14:textId="3BFAA3AE"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160.103.</w:t>
      </w:r>
    </w:p>
  </w:endnote>
  <w:endnote w:id="742">
    <w:p w14:paraId="14E5A4DE" w14:textId="21E8FA13" w:rsidR="00E12499" w:rsidRPr="00B827C8" w:rsidRDefault="00E12499" w:rsidP="00B827C8">
      <w:pPr>
        <w:pStyle w:val="EndnoteText"/>
        <w:spacing w:line="160" w:lineRule="exact"/>
        <w:jc w:val="both"/>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164.512(a).</w:t>
      </w:r>
    </w:p>
  </w:endnote>
  <w:endnote w:id="743">
    <w:p w14:paraId="062D8DF1" w14:textId="258F8F49" w:rsidR="00B827C8" w:rsidRPr="00B827C8" w:rsidRDefault="00B827C8" w:rsidP="00B827C8">
      <w:pPr>
        <w:pStyle w:val="EndnoteText"/>
        <w:spacing w:line="160" w:lineRule="exact"/>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i/>
          <w:sz w:val="16"/>
          <w:szCs w:val="16"/>
        </w:rPr>
        <w:t>E.g.,</w:t>
      </w:r>
      <w:r w:rsidRPr="00B827C8">
        <w:rPr>
          <w:rFonts w:asciiTheme="minorHAnsi" w:hAnsiTheme="minorHAnsi" w:cstheme="minorHAnsi"/>
          <w:sz w:val="16"/>
          <w:szCs w:val="16"/>
        </w:rPr>
        <w:t xml:space="preserve"> </w:t>
      </w:r>
      <w:hyperlink r:id="rId979" w:history="1">
        <w:r w:rsidRPr="00B827C8">
          <w:rPr>
            <w:rStyle w:val="Hyperlink"/>
            <w:rFonts w:asciiTheme="minorHAnsi" w:hAnsiTheme="minorHAnsi" w:cstheme="minorHAnsi"/>
            <w:sz w:val="16"/>
            <w:szCs w:val="16"/>
          </w:rPr>
          <w:t>R.C. 149.43(A)(1)(a)</w:t>
        </w:r>
      </w:hyperlink>
      <w:r w:rsidRPr="00B827C8">
        <w:rPr>
          <w:rFonts w:asciiTheme="minorHAnsi" w:hAnsiTheme="minorHAnsi" w:cstheme="minorHAnsi"/>
          <w:sz w:val="16"/>
          <w:szCs w:val="16"/>
        </w:rPr>
        <w:t xml:space="preserve"> (providing for an exemption for “medical records”).</w:t>
      </w:r>
    </w:p>
  </w:endnote>
  <w:endnote w:id="744">
    <w:p w14:paraId="0D803CBF" w14:textId="6F0FD32B" w:rsidR="00B827C8" w:rsidRPr="00B827C8" w:rsidRDefault="00B827C8" w:rsidP="00B827C8">
      <w:pPr>
        <w:pStyle w:val="EndnoteText"/>
        <w:spacing w:line="160" w:lineRule="exact"/>
        <w:rPr>
          <w:sz w:val="16"/>
          <w:szCs w:val="16"/>
        </w:rPr>
      </w:pPr>
      <w:r w:rsidRPr="00B827C8">
        <w:rPr>
          <w:rStyle w:val="EndnoteReference"/>
          <w:sz w:val="16"/>
          <w:szCs w:val="16"/>
        </w:rPr>
        <w:endnoteRef/>
      </w:r>
      <w:r w:rsidRPr="00B827C8">
        <w:rPr>
          <w:sz w:val="16"/>
          <w:szCs w:val="16"/>
        </w:rPr>
        <w:t xml:space="preserve"> </w:t>
      </w:r>
      <w:r w:rsidRPr="00B827C8">
        <w:rPr>
          <w:rFonts w:asciiTheme="minorHAnsi" w:hAnsiTheme="minorHAnsi" w:cstheme="minorHAnsi"/>
          <w:sz w:val="16"/>
          <w:szCs w:val="16"/>
        </w:rPr>
        <w:t>45 C.F.R. 164.512(a).</w:t>
      </w:r>
    </w:p>
  </w:endnote>
  <w:endnote w:id="745">
    <w:p w14:paraId="18FBE596" w14:textId="6E6FC35D"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0" w:history="1">
        <w:r w:rsidRPr="00B827C8">
          <w:rPr>
            <w:rStyle w:val="Hyperlink"/>
            <w:rFonts w:asciiTheme="minorHAnsi" w:hAnsiTheme="minorHAnsi" w:cstheme="minorHAnsi"/>
            <w:i/>
            <w:sz w:val="16"/>
            <w:szCs w:val="16"/>
          </w:rPr>
          <w:t>State ex rel. Cincinnati Enquirer v. Daniel</w:t>
        </w:r>
      </w:hyperlink>
      <w:r w:rsidRPr="00B827C8">
        <w:rPr>
          <w:rFonts w:asciiTheme="minorHAnsi" w:hAnsiTheme="minorHAnsi" w:cstheme="minorHAnsi"/>
          <w:i/>
          <w:sz w:val="16"/>
          <w:szCs w:val="16"/>
        </w:rPr>
        <w:t xml:space="preserve">s, </w:t>
      </w:r>
      <w:r w:rsidRPr="00B827C8">
        <w:rPr>
          <w:rFonts w:asciiTheme="minorHAnsi" w:hAnsiTheme="minorHAnsi" w:cstheme="minorHAnsi"/>
          <w:sz w:val="16"/>
          <w:szCs w:val="16"/>
        </w:rPr>
        <w:t xml:space="preserve">108 Ohio St.3d 518, 2006-Ohio-1215, ¶ 25. </w:t>
      </w:r>
      <w:r w:rsidRPr="00B827C8">
        <w:rPr>
          <w:rFonts w:asciiTheme="minorHAnsi" w:hAnsiTheme="minorHAnsi" w:cstheme="minorHAnsi"/>
          <w:i/>
          <w:sz w:val="16"/>
          <w:szCs w:val="16"/>
        </w:rPr>
        <w:t xml:space="preserve">But see </w:t>
      </w:r>
      <w:hyperlink r:id="rId981" w:history="1">
        <w:r w:rsidRPr="00B827C8">
          <w:rPr>
            <w:rStyle w:val="Hyperlink"/>
            <w:rFonts w:asciiTheme="minorHAnsi" w:hAnsiTheme="minorHAnsi" w:cstheme="minorHAnsi"/>
            <w:i/>
            <w:sz w:val="16"/>
            <w:szCs w:val="16"/>
          </w:rPr>
          <w:t xml:space="preserve">Cuyahoga </w:t>
        </w:r>
        <w:r w:rsidRPr="00B827C8">
          <w:rPr>
            <w:rStyle w:val="Hyperlink"/>
            <w:rFonts w:asciiTheme="minorHAnsi" w:hAnsiTheme="minorHAnsi" w:cstheme="minorHAnsi"/>
            <w:i/>
            <w:sz w:val="16"/>
            <w:szCs w:val="16"/>
          </w:rPr>
          <w:t>Cty. Bd. of Health v. Lipson O’Shea Legal Group</w:t>
        </w:r>
      </w:hyperlink>
      <w:r w:rsidRPr="00B827C8">
        <w:rPr>
          <w:rFonts w:asciiTheme="minorHAnsi" w:hAnsiTheme="minorHAnsi" w:cstheme="minorHAnsi"/>
          <w:i/>
          <w:sz w:val="16"/>
          <w:szCs w:val="16"/>
        </w:rPr>
        <w:t xml:space="preserve">, </w:t>
      </w:r>
      <w:r w:rsidRPr="00B827C8">
        <w:rPr>
          <w:rFonts w:asciiTheme="minorHAnsi" w:hAnsiTheme="minorHAnsi" w:cstheme="minorHAnsi"/>
          <w:sz w:val="16"/>
          <w:szCs w:val="16"/>
        </w:rPr>
        <w:t xml:space="preserve">145 Ohio St.3d 446, 2016-Ohio-556, ¶ 9 (noting that the public records request in </w:t>
      </w:r>
      <w:r w:rsidRPr="00B827C8">
        <w:rPr>
          <w:rFonts w:asciiTheme="minorHAnsi" w:hAnsiTheme="minorHAnsi" w:cstheme="minorHAnsi"/>
          <w:i/>
          <w:sz w:val="16"/>
          <w:szCs w:val="16"/>
        </w:rPr>
        <w:t>Daniels</w:t>
      </w:r>
      <w:r w:rsidRPr="00B827C8">
        <w:rPr>
          <w:rFonts w:asciiTheme="minorHAnsi" w:hAnsiTheme="minorHAnsi" w:cstheme="minorHAnsi"/>
          <w:sz w:val="16"/>
          <w:szCs w:val="16"/>
        </w:rPr>
        <w:t xml:space="preserve"> was not “inextricably linked to ‘protected health information.’”).</w:t>
      </w:r>
    </w:p>
  </w:endnote>
  <w:endnote w:id="746">
    <w:p w14:paraId="12A37380" w14:textId="5E068B63"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2" w:history="1">
        <w:r w:rsidRPr="00B827C8">
          <w:rPr>
            <w:rStyle w:val="Hyperlink"/>
            <w:rFonts w:asciiTheme="minorHAnsi" w:hAnsiTheme="minorHAnsi" w:cstheme="minorHAnsi"/>
            <w:i/>
            <w:sz w:val="16"/>
            <w:szCs w:val="16"/>
          </w:rPr>
          <w:t>State ex rel. Cincinnati Enquirer v. Daniels</w:t>
        </w:r>
      </w:hyperlink>
      <w:r w:rsidRPr="00B827C8">
        <w:rPr>
          <w:rFonts w:asciiTheme="minorHAnsi" w:hAnsiTheme="minorHAnsi" w:cstheme="minorHAnsi"/>
          <w:sz w:val="16"/>
          <w:szCs w:val="16"/>
        </w:rPr>
        <w:t>, 108 Ohio St.3d 518, 2006-Ohio-1215,</w:t>
      </w:r>
      <w:r w:rsidRPr="00B827C8">
        <w:rPr>
          <w:rFonts w:asciiTheme="minorHAnsi" w:hAnsiTheme="minorHAnsi" w:cstheme="minorHAnsi"/>
          <w:i/>
          <w:sz w:val="16"/>
          <w:szCs w:val="16"/>
        </w:rPr>
        <w:t xml:space="preserve"> </w:t>
      </w:r>
      <w:r w:rsidRPr="00B827C8">
        <w:rPr>
          <w:rFonts w:asciiTheme="minorHAnsi" w:hAnsiTheme="minorHAnsi" w:cstheme="minorHAnsi"/>
          <w:sz w:val="16"/>
          <w:szCs w:val="16"/>
        </w:rPr>
        <w:t>¶ 25</w:t>
      </w:r>
      <w:r w:rsidR="00FC5E79" w:rsidRPr="00B827C8">
        <w:rPr>
          <w:rFonts w:asciiTheme="minorHAnsi" w:hAnsiTheme="minorHAnsi" w:cstheme="minorHAnsi"/>
          <w:sz w:val="16"/>
          <w:szCs w:val="16"/>
        </w:rPr>
        <w:t>.</w:t>
      </w:r>
    </w:p>
  </w:endnote>
  <w:endnote w:id="747">
    <w:p w14:paraId="2392BE55" w14:textId="77777777"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3" w:history="1">
        <w:r w:rsidRPr="00B827C8">
          <w:rPr>
            <w:rStyle w:val="Hyperlink"/>
            <w:rFonts w:asciiTheme="minorHAnsi" w:hAnsiTheme="minorHAnsi" w:cstheme="minorHAnsi"/>
            <w:sz w:val="16"/>
            <w:szCs w:val="16"/>
          </w:rPr>
          <w:t>R.C. 149.43(a)(1)(v)</w:t>
        </w:r>
      </w:hyperlink>
      <w:r w:rsidRPr="00B827C8">
        <w:rPr>
          <w:rFonts w:asciiTheme="minorHAnsi" w:hAnsiTheme="minorHAnsi" w:cstheme="minorHAnsi"/>
          <w:sz w:val="16"/>
          <w:szCs w:val="16"/>
        </w:rPr>
        <w:t xml:space="preserve">; </w:t>
      </w:r>
      <w:hyperlink r:id="rId984" w:history="1">
        <w:r w:rsidRPr="00B827C8">
          <w:rPr>
            <w:rStyle w:val="Hyperlink"/>
            <w:rFonts w:asciiTheme="minorHAnsi" w:hAnsiTheme="minorHAnsi" w:cstheme="minorHAnsi"/>
            <w:i/>
            <w:sz w:val="16"/>
            <w:szCs w:val="16"/>
          </w:rPr>
          <w:t>State ex rel. Cincinnati Enquirer v. Daniels</w:t>
        </w:r>
      </w:hyperlink>
      <w:r w:rsidRPr="00B827C8">
        <w:rPr>
          <w:rFonts w:asciiTheme="minorHAnsi" w:hAnsiTheme="minorHAnsi" w:cstheme="minorHAnsi"/>
          <w:sz w:val="16"/>
          <w:szCs w:val="16"/>
        </w:rPr>
        <w:t>, 108 Ohio St.3d 518, 2006-Ohio-1215, ¶ 25.</w:t>
      </w:r>
    </w:p>
  </w:endnote>
  <w:endnote w:id="748">
    <w:p w14:paraId="4F9C8BA2" w14:textId="77777777" w:rsidR="00857518" w:rsidRPr="00B827C8"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r w:rsidRPr="00B827C8">
        <w:rPr>
          <w:rFonts w:asciiTheme="minorHAnsi" w:hAnsiTheme="minorHAnsi" w:cstheme="minorHAnsi"/>
          <w:sz w:val="16"/>
          <w:szCs w:val="16"/>
        </w:rPr>
        <w:t xml:space="preserve"> </w:t>
      </w:r>
      <w:hyperlink r:id="rId985" w:history="1">
        <w:r w:rsidRPr="00B827C8">
          <w:rPr>
            <w:rStyle w:val="Hyperlink"/>
            <w:rFonts w:asciiTheme="minorHAnsi" w:hAnsiTheme="minorHAnsi" w:cstheme="minorHAnsi"/>
            <w:i/>
            <w:sz w:val="16"/>
            <w:szCs w:val="16"/>
          </w:rPr>
          <w:t>State ex rel. Cincinnati Enquirer v. Daniels</w:t>
        </w:r>
      </w:hyperlink>
      <w:r w:rsidRPr="00B827C8">
        <w:rPr>
          <w:rFonts w:asciiTheme="minorHAnsi" w:hAnsiTheme="minorHAnsi" w:cstheme="minorHAnsi"/>
          <w:sz w:val="16"/>
          <w:szCs w:val="16"/>
        </w:rPr>
        <w:t>, 108 Ohio St.3d 518, 2006-Ohio-1215, ¶ 26, 34.</w:t>
      </w:r>
    </w:p>
  </w:endnote>
  <w:endnote w:id="749">
    <w:p w14:paraId="43A5AE01" w14:textId="7F3B153F" w:rsidR="00857518" w:rsidRPr="00E12499" w:rsidRDefault="00857518" w:rsidP="00B827C8">
      <w:pPr>
        <w:pStyle w:val="EndnoteText"/>
        <w:spacing w:line="160" w:lineRule="exact"/>
        <w:jc w:val="both"/>
        <w:rPr>
          <w:rFonts w:asciiTheme="minorHAnsi" w:hAnsiTheme="minorHAnsi" w:cstheme="minorHAnsi"/>
          <w:sz w:val="16"/>
          <w:szCs w:val="16"/>
        </w:rPr>
      </w:pPr>
      <w:r w:rsidRPr="00B827C8">
        <w:rPr>
          <w:rStyle w:val="EndnoteReference"/>
          <w:rFonts w:asciiTheme="minorHAnsi" w:hAnsiTheme="minorHAnsi" w:cstheme="minorHAnsi"/>
          <w:sz w:val="16"/>
          <w:szCs w:val="16"/>
        </w:rPr>
        <w:endnoteRef/>
      </w:r>
      <w:hyperlink r:id="rId986" w:history="1">
        <w:r w:rsidRPr="00B827C8">
          <w:rPr>
            <w:rStyle w:val="Hyperlink"/>
            <w:rFonts w:asciiTheme="minorHAnsi" w:hAnsiTheme="minorHAnsi" w:cstheme="minorHAnsi"/>
            <w:sz w:val="16"/>
            <w:szCs w:val="16"/>
          </w:rPr>
          <w:t xml:space="preserve"> R.C. 1347.05</w:t>
        </w:r>
      </w:hyperlink>
      <w:r w:rsidRPr="00B827C8">
        <w:rPr>
          <w:rFonts w:asciiTheme="minorHAnsi" w:hAnsiTheme="minorHAnsi" w:cstheme="minorHAnsi"/>
          <w:sz w:val="16"/>
          <w:szCs w:val="16"/>
        </w:rPr>
        <w:t>.</w:t>
      </w:r>
    </w:p>
  </w:endnote>
  <w:endnote w:id="750">
    <w:p w14:paraId="46112245" w14:textId="39281C31" w:rsidR="00857518" w:rsidRPr="00A03E56" w:rsidRDefault="00857518" w:rsidP="00A03E56">
      <w:pPr>
        <w:pStyle w:val="EndnoteText"/>
        <w:spacing w:line="160" w:lineRule="exact"/>
        <w:jc w:val="both"/>
        <w:rPr>
          <w:rFonts w:asciiTheme="minorHAnsi" w:hAnsiTheme="minorHAnsi" w:cstheme="minorHAnsi"/>
          <w:sz w:val="16"/>
          <w:szCs w:val="16"/>
        </w:rPr>
      </w:pPr>
      <w:r w:rsidRPr="00E12499">
        <w:rPr>
          <w:rStyle w:val="EndnoteReference"/>
          <w:rFonts w:asciiTheme="minorHAnsi" w:hAnsiTheme="minorHAnsi" w:cstheme="minorHAnsi"/>
          <w:sz w:val="16"/>
          <w:szCs w:val="16"/>
        </w:rPr>
        <w:endnoteRef/>
      </w:r>
      <w:r w:rsidRPr="00E12499">
        <w:rPr>
          <w:rFonts w:asciiTheme="minorHAnsi" w:hAnsiTheme="minorHAnsi" w:cstheme="minorHAnsi"/>
          <w:sz w:val="16"/>
          <w:szCs w:val="16"/>
        </w:rPr>
        <w:t xml:space="preserve"> </w:t>
      </w:r>
      <w:hyperlink r:id="rId987" w:history="1">
        <w:r w:rsidRPr="00E12499">
          <w:rPr>
            <w:rStyle w:val="Hyperlink"/>
            <w:rFonts w:asciiTheme="minorHAnsi" w:hAnsiTheme="minorHAnsi" w:cstheme="minorHAnsi"/>
            <w:sz w:val="16"/>
            <w:szCs w:val="16"/>
          </w:rPr>
          <w:t>R.C. 149.011(G).</w:t>
        </w:r>
      </w:hyperlink>
    </w:p>
  </w:endnote>
  <w:endnote w:id="751">
    <w:p w14:paraId="1A5C9CF7" w14:textId="18A5F5A6"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88" w:history="1">
        <w:r w:rsidRPr="00A03E56">
          <w:rPr>
            <w:rStyle w:val="Hyperlink"/>
            <w:rFonts w:asciiTheme="minorHAnsi" w:hAnsiTheme="minorHAnsi" w:cstheme="minorHAnsi"/>
            <w:sz w:val="16"/>
            <w:szCs w:val="16"/>
          </w:rPr>
          <w:t>R.C. 1347.04(A)(1)(a).</w:t>
        </w:r>
      </w:hyperlink>
    </w:p>
  </w:endnote>
  <w:endnote w:id="752">
    <w:p w14:paraId="6DFE78C8" w14:textId="34B87E2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89" w:history="1">
        <w:r w:rsidRPr="00A03E56">
          <w:rPr>
            <w:rStyle w:val="Hyperlink"/>
            <w:rFonts w:asciiTheme="minorHAnsi" w:hAnsiTheme="minorHAnsi" w:cstheme="minorHAnsi"/>
            <w:sz w:val="16"/>
            <w:szCs w:val="16"/>
          </w:rPr>
          <w:t>R.C. 1347.04(B).</w:t>
        </w:r>
      </w:hyperlink>
    </w:p>
  </w:endnote>
  <w:endnote w:id="753">
    <w:p w14:paraId="566C94AE" w14:textId="38FABC6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0" w:history="1">
        <w:r w:rsidRPr="00A03E56">
          <w:rPr>
            <w:rStyle w:val="Hyperlink"/>
            <w:rFonts w:asciiTheme="minorHAnsi" w:hAnsiTheme="minorHAnsi" w:cstheme="minorHAnsi"/>
            <w:sz w:val="16"/>
            <w:szCs w:val="16"/>
          </w:rPr>
          <w:t>R.C. 1347.04(B).</w:t>
        </w:r>
      </w:hyperlink>
    </w:p>
  </w:endnote>
  <w:endnote w:id="754">
    <w:p w14:paraId="1E90B326" w14:textId="652318BF"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1" w:history="1">
        <w:r w:rsidRPr="00A03E56">
          <w:rPr>
            <w:rStyle w:val="Hyperlink"/>
            <w:rFonts w:asciiTheme="minorHAnsi" w:hAnsiTheme="minorHAnsi" w:cstheme="minorHAnsi"/>
            <w:sz w:val="16"/>
            <w:szCs w:val="16"/>
          </w:rPr>
          <w:t>R.C. 1347.15(A)(1)</w:t>
        </w:r>
      </w:hyperlink>
      <w:r w:rsidRPr="00A03E56">
        <w:rPr>
          <w:rFonts w:asciiTheme="minorHAnsi" w:hAnsiTheme="minorHAnsi" w:cstheme="minorHAnsi"/>
          <w:sz w:val="16"/>
          <w:szCs w:val="16"/>
        </w:rPr>
        <w:t xml:space="preserve"> (emphasis added).</w:t>
      </w:r>
    </w:p>
  </w:endnote>
  <w:endnote w:id="755">
    <w:p w14:paraId="30358DC6" w14:textId="78B1D29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hyperlink r:id="rId992" w:history="1">
        <w:r w:rsidRPr="00A03E56">
          <w:rPr>
            <w:rStyle w:val="Hyperlink"/>
            <w:rFonts w:asciiTheme="minorHAnsi" w:hAnsiTheme="minorHAnsi" w:cstheme="minorHAnsi"/>
            <w:sz w:val="16"/>
            <w:szCs w:val="16"/>
          </w:rPr>
          <w:t xml:space="preserve"> R.C. 1347.01(E).</w:t>
        </w:r>
      </w:hyperlink>
    </w:p>
  </w:endnote>
  <w:endnote w:id="756">
    <w:p w14:paraId="118CBE06" w14:textId="016141E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3" w:history="1">
        <w:r w:rsidRPr="00A03E56">
          <w:rPr>
            <w:rStyle w:val="Hyperlink"/>
            <w:rFonts w:asciiTheme="minorHAnsi" w:hAnsiTheme="minorHAnsi" w:cstheme="minorHAnsi"/>
            <w:sz w:val="16"/>
            <w:szCs w:val="16"/>
          </w:rPr>
          <w:t>R.C. 1347.15(A)(1)</w:t>
        </w:r>
      </w:hyperlink>
      <w:r w:rsidRPr="00A03E56">
        <w:rPr>
          <w:rFonts w:asciiTheme="minorHAnsi" w:hAnsiTheme="minorHAnsi" w:cstheme="minorHAnsi"/>
          <w:sz w:val="16"/>
          <w:szCs w:val="16"/>
        </w:rPr>
        <w:t xml:space="preserve"> (emphasis added)).</w:t>
      </w:r>
    </w:p>
  </w:endnote>
  <w:endnote w:id="757">
    <w:p w14:paraId="5F629E88" w14:textId="7359EAF1"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4" w:history="1">
        <w:r w:rsidRPr="00A03E56">
          <w:rPr>
            <w:rStyle w:val="Hyperlink"/>
            <w:rFonts w:asciiTheme="minorHAnsi" w:hAnsiTheme="minorHAnsi" w:cstheme="minorHAnsi"/>
            <w:sz w:val="16"/>
            <w:szCs w:val="16"/>
          </w:rPr>
          <w:t>R.C. 1347.01(F).</w:t>
        </w:r>
      </w:hyperlink>
    </w:p>
  </w:endnote>
  <w:endnote w:id="758">
    <w:p w14:paraId="6568A3A4" w14:textId="1556E519"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5" w:history="1">
        <w:r w:rsidRPr="00A03E56">
          <w:rPr>
            <w:rStyle w:val="Hyperlink"/>
            <w:rFonts w:asciiTheme="minorHAnsi" w:hAnsiTheme="minorHAnsi" w:cstheme="minorHAnsi"/>
            <w:sz w:val="16"/>
            <w:szCs w:val="16"/>
          </w:rPr>
          <w:t>R.C. 1347.01(F).</w:t>
        </w:r>
      </w:hyperlink>
    </w:p>
  </w:endnote>
  <w:endnote w:id="759">
    <w:p w14:paraId="7A5ABB6B" w14:textId="424C7DC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6" w:history="1">
        <w:r w:rsidRPr="00A03E56">
          <w:rPr>
            <w:rStyle w:val="Hyperlink"/>
            <w:rFonts w:asciiTheme="minorHAnsi" w:hAnsiTheme="minorHAnsi" w:cstheme="minorHAnsi"/>
            <w:sz w:val="16"/>
            <w:szCs w:val="16"/>
          </w:rPr>
          <w:t xml:space="preserve">R.C. 1347.01 </w:t>
        </w:r>
        <w:r w:rsidRPr="00A03E56">
          <w:rPr>
            <w:rStyle w:val="Hyperlink"/>
            <w:rFonts w:asciiTheme="minorHAnsi" w:hAnsiTheme="minorHAnsi" w:cstheme="minorHAnsi"/>
            <w:i/>
            <w:sz w:val="16"/>
            <w:szCs w:val="16"/>
          </w:rPr>
          <w:t>et seq.</w:t>
        </w:r>
      </w:hyperlink>
    </w:p>
  </w:endnote>
  <w:endnote w:id="760">
    <w:p w14:paraId="05D4E6D8" w14:textId="65A48E3B"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7" w:history="1">
        <w:r w:rsidRPr="00A03E56">
          <w:rPr>
            <w:rStyle w:val="Hyperlink"/>
            <w:rFonts w:asciiTheme="minorHAnsi" w:hAnsiTheme="minorHAnsi" w:cstheme="minorHAnsi"/>
            <w:sz w:val="16"/>
            <w:szCs w:val="16"/>
          </w:rPr>
          <w:t>R.C. 1347.15(A)(2)</w:t>
        </w:r>
      </w:hyperlink>
      <w:r w:rsidRPr="00A03E56">
        <w:rPr>
          <w:rFonts w:asciiTheme="minorHAnsi" w:hAnsiTheme="minorHAnsi" w:cstheme="minorHAnsi"/>
          <w:sz w:val="16"/>
          <w:szCs w:val="16"/>
        </w:rPr>
        <w:t xml:space="preserve"> (excluding from definition of “state agency” courts or any judicial agency, any state-assisted institution of higher education, or any local agency); </w:t>
      </w:r>
      <w:hyperlink r:id="rId998" w:history="1">
        <w:r w:rsidRPr="00B827C8">
          <w:rPr>
            <w:rStyle w:val="Hyperlink"/>
            <w:rFonts w:asciiTheme="minorHAnsi" w:hAnsiTheme="minorHAnsi" w:cstheme="minorHAnsi"/>
            <w:sz w:val="16"/>
            <w:szCs w:val="16"/>
          </w:rPr>
          <w:t xml:space="preserve">2010 Ohio </w:t>
        </w:r>
        <w:r w:rsidRPr="00B827C8">
          <w:rPr>
            <w:rStyle w:val="Hyperlink"/>
            <w:rFonts w:asciiTheme="minorHAnsi" w:hAnsiTheme="minorHAnsi" w:cstheme="minorHAnsi"/>
            <w:sz w:val="16"/>
            <w:szCs w:val="16"/>
          </w:rPr>
          <w:t>Atty.Gen.Ops. No. 016</w:t>
        </w:r>
      </w:hyperlink>
      <w:r w:rsidRPr="00A03E56">
        <w:rPr>
          <w:rFonts w:asciiTheme="minorHAnsi" w:hAnsiTheme="minorHAnsi" w:cstheme="minorHAnsi"/>
          <w:sz w:val="16"/>
          <w:szCs w:val="16"/>
        </w:rPr>
        <w:t xml:space="preserve"> (determining that the Ohio B</w:t>
      </w:r>
      <w:r w:rsidR="00D2464C">
        <w:rPr>
          <w:rFonts w:asciiTheme="minorHAnsi" w:hAnsiTheme="minorHAnsi" w:cstheme="minorHAnsi"/>
          <w:sz w:val="16"/>
          <w:szCs w:val="16"/>
        </w:rPr>
        <w:t>oard</w:t>
      </w:r>
      <w:r w:rsidRPr="00A03E56">
        <w:rPr>
          <w:rFonts w:asciiTheme="minorHAnsi" w:hAnsiTheme="minorHAnsi" w:cstheme="minorHAnsi"/>
          <w:sz w:val="16"/>
          <w:szCs w:val="16"/>
        </w:rPr>
        <w:t xml:space="preserve"> of Tax Appeals is a “judicial agency” for purposes of R.C. 1347.15).</w:t>
      </w:r>
    </w:p>
  </w:endnote>
  <w:endnote w:id="761">
    <w:p w14:paraId="53A8A065" w14:textId="275BB3D2"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999" w:history="1">
        <w:r w:rsidRPr="00A03E56">
          <w:rPr>
            <w:rStyle w:val="Hyperlink"/>
            <w:rFonts w:asciiTheme="minorHAnsi" w:hAnsiTheme="minorHAnsi" w:cstheme="minorHAnsi"/>
            <w:sz w:val="16"/>
            <w:szCs w:val="16"/>
          </w:rPr>
          <w:t>R.C. 1347.15(B).</w:t>
        </w:r>
      </w:hyperlink>
    </w:p>
  </w:endnote>
  <w:endnote w:id="762">
    <w:p w14:paraId="071E17D0" w14:textId="78FE1E95"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0" w:history="1">
        <w:r w:rsidRPr="00A03E56">
          <w:rPr>
            <w:rStyle w:val="Hyperlink"/>
            <w:rFonts w:asciiTheme="minorHAnsi" w:hAnsiTheme="minorHAnsi" w:cstheme="minorHAnsi"/>
            <w:sz w:val="16"/>
            <w:szCs w:val="16"/>
          </w:rPr>
          <w:t>R.C. 1347.15(H)(1).</w:t>
        </w:r>
      </w:hyperlink>
    </w:p>
  </w:endnote>
  <w:endnote w:id="763">
    <w:p w14:paraId="2884473A" w14:textId="6C58A764"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1" w:history="1">
        <w:r w:rsidRPr="00A03E56">
          <w:rPr>
            <w:rStyle w:val="Hyperlink"/>
            <w:rFonts w:asciiTheme="minorHAnsi" w:hAnsiTheme="minorHAnsi" w:cstheme="minorHAnsi"/>
            <w:sz w:val="16"/>
            <w:szCs w:val="16"/>
          </w:rPr>
          <w:t>R.C. 1347.15(H)(2).</w:t>
        </w:r>
      </w:hyperlink>
    </w:p>
  </w:endnote>
  <w:endnote w:id="764">
    <w:p w14:paraId="75AD4C8A" w14:textId="700025A8"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2" w:history="1">
        <w:r w:rsidRPr="00A03E56">
          <w:rPr>
            <w:rStyle w:val="Hyperlink"/>
            <w:rFonts w:asciiTheme="minorHAnsi" w:hAnsiTheme="minorHAnsi" w:cstheme="minorHAnsi"/>
            <w:sz w:val="16"/>
            <w:szCs w:val="16"/>
          </w:rPr>
          <w:t>R.C. 1347.15(H)(3).</w:t>
        </w:r>
      </w:hyperlink>
    </w:p>
  </w:endnote>
  <w:endnote w:id="765">
    <w:p w14:paraId="145E4D7C" w14:textId="3F67EEEE" w:rsidR="00857518" w:rsidRPr="00A03E56" w:rsidRDefault="00857518" w:rsidP="00A03E56">
      <w:pPr>
        <w:pStyle w:val="EndnoteText"/>
        <w:spacing w:line="160" w:lineRule="exact"/>
        <w:jc w:val="both"/>
        <w:rPr>
          <w:rFonts w:asciiTheme="minorHAnsi" w:hAnsiTheme="minorHAnsi" w:cstheme="minorHAnsi"/>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3" w:history="1">
        <w:r w:rsidRPr="00A03E56">
          <w:rPr>
            <w:rStyle w:val="Hyperlink"/>
            <w:rFonts w:asciiTheme="minorHAnsi" w:hAnsiTheme="minorHAnsi" w:cstheme="minorHAnsi"/>
            <w:sz w:val="16"/>
            <w:szCs w:val="16"/>
          </w:rPr>
          <w:t>R.C. 1347.05(G).</w:t>
        </w:r>
      </w:hyperlink>
    </w:p>
  </w:endnote>
  <w:endnote w:id="766">
    <w:p w14:paraId="00CF5190" w14:textId="4D92F027" w:rsidR="00857518" w:rsidRPr="004676AB" w:rsidRDefault="00857518" w:rsidP="00A03E56">
      <w:pPr>
        <w:pStyle w:val="EndnoteText"/>
        <w:spacing w:line="160" w:lineRule="exact"/>
        <w:jc w:val="both"/>
        <w:rPr>
          <w:sz w:val="16"/>
          <w:szCs w:val="16"/>
        </w:rPr>
      </w:pPr>
      <w:r w:rsidRPr="00A03E56">
        <w:rPr>
          <w:rStyle w:val="EndnoteReference"/>
          <w:rFonts w:asciiTheme="minorHAnsi" w:hAnsiTheme="minorHAnsi" w:cstheme="minorHAnsi"/>
          <w:sz w:val="16"/>
          <w:szCs w:val="16"/>
        </w:rPr>
        <w:endnoteRef/>
      </w:r>
      <w:r w:rsidRPr="00A03E56">
        <w:rPr>
          <w:rFonts w:asciiTheme="minorHAnsi" w:hAnsiTheme="minorHAnsi" w:cstheme="minorHAnsi"/>
          <w:sz w:val="16"/>
          <w:szCs w:val="16"/>
        </w:rPr>
        <w:t xml:space="preserve"> </w:t>
      </w:r>
      <w:hyperlink r:id="rId1004" w:history="1">
        <w:r w:rsidRPr="00A03E56">
          <w:rPr>
            <w:rStyle w:val="Hyperlink"/>
            <w:rFonts w:asciiTheme="minorHAnsi" w:hAnsiTheme="minorHAnsi" w:cstheme="minorHAnsi"/>
            <w:sz w:val="16"/>
            <w:szCs w:val="16"/>
          </w:rPr>
          <w:t>R.C. 1347.10</w:t>
        </w:r>
      </w:hyperlink>
      <w:r w:rsidRPr="00A03E56">
        <w:rPr>
          <w:rFonts w:asciiTheme="minorHAnsi" w:hAnsiTheme="minorHAnsi" w:cstheme="minorHAnsi"/>
          <w:sz w:val="16"/>
          <w:szCs w:val="16"/>
        </w:rPr>
        <w:t xml:space="preserve">, </w:t>
      </w:r>
      <w:hyperlink r:id="rId1005" w:history="1">
        <w:r w:rsidRPr="00A03E56">
          <w:rPr>
            <w:rStyle w:val="Hyperlink"/>
            <w:rFonts w:asciiTheme="minorHAnsi" w:hAnsiTheme="minorHAnsi" w:cstheme="minorHAnsi"/>
            <w:sz w:val="16"/>
            <w:szCs w:val="16"/>
          </w:rPr>
          <w:t>1347.15</w:t>
        </w:r>
      </w:hyperlink>
      <w:r w:rsidRPr="00A03E56">
        <w:rPr>
          <w:rFonts w:asciiTheme="minorHAnsi" w:hAnsiTheme="minorHAnsi" w:cstheme="minorHAnsi"/>
          <w:sz w:val="16"/>
          <w:szCs w:val="16"/>
        </w:rPr>
        <w:t xml:space="preserve">, </w:t>
      </w:r>
      <w:hyperlink r:id="rId1006" w:history="1">
        <w:r w:rsidRPr="00A03E56">
          <w:rPr>
            <w:rStyle w:val="Hyperlink"/>
            <w:rFonts w:asciiTheme="minorHAnsi" w:hAnsiTheme="minorHAnsi" w:cstheme="minorHAnsi"/>
            <w:sz w:val="16"/>
            <w:szCs w:val="16"/>
          </w:rPr>
          <w:t>1347.99.</w:t>
        </w:r>
      </w:hyperlink>
    </w:p>
  </w:endnote>
  <w:endnote w:id="767">
    <w:p w14:paraId="0C6167CD" w14:textId="272981C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07" w:history="1">
        <w:r w:rsidRPr="00AB48B2">
          <w:rPr>
            <w:rStyle w:val="Hyperlink"/>
            <w:rFonts w:asciiTheme="minorHAnsi" w:hAnsiTheme="minorHAnsi" w:cstheme="minorHAnsi"/>
            <w:sz w:val="16"/>
            <w:szCs w:val="16"/>
          </w:rPr>
          <w:t>R.C. 149.43(C)(1)</w:t>
        </w:r>
      </w:hyperlink>
      <w:r w:rsidR="00E3206E" w:rsidRPr="00AB48B2">
        <w:rPr>
          <w:rStyle w:val="Hyperlink"/>
          <w:rFonts w:asciiTheme="minorHAnsi" w:hAnsiTheme="minorHAnsi" w:cstheme="minorHAnsi"/>
          <w:sz w:val="16"/>
          <w:szCs w:val="16"/>
        </w:rPr>
        <w:t>(b)</w:t>
      </w:r>
      <w:r w:rsidRPr="00AB48B2">
        <w:rPr>
          <w:rFonts w:asciiTheme="minorHAnsi" w:hAnsiTheme="minorHAnsi" w:cstheme="minorHAnsi"/>
          <w:sz w:val="16"/>
          <w:szCs w:val="16"/>
        </w:rPr>
        <w:t xml:space="preserve">; </w:t>
      </w:r>
      <w:hyperlink r:id="rId1008" w:history="1">
        <w:r w:rsidRPr="00AB48B2">
          <w:rPr>
            <w:rStyle w:val="Hyperlink"/>
            <w:rFonts w:asciiTheme="minorHAnsi" w:hAnsiTheme="minorHAnsi" w:cstheme="minorHAnsi"/>
            <w:i/>
            <w:sz w:val="16"/>
            <w:szCs w:val="16"/>
          </w:rPr>
          <w:t>State ex rel. Glasgow v. Jones</w:t>
        </w:r>
      </w:hyperlink>
      <w:r w:rsidRPr="00AB48B2">
        <w:rPr>
          <w:rFonts w:asciiTheme="minorHAnsi" w:hAnsiTheme="minorHAnsi" w:cstheme="minorHAnsi"/>
          <w:sz w:val="16"/>
          <w:szCs w:val="16"/>
        </w:rPr>
        <w:t>, 119 Ohio St.3d 391, 2008-Ohio-4788, ¶ 12 (“Mandamus is the appropriate remedy to compel compliance with R.C. 149.43, Ohio’s Public Records Act.”).</w:t>
      </w:r>
      <w:r w:rsidR="008D4246" w:rsidRPr="008D4246">
        <w:rPr>
          <w:rFonts w:asciiTheme="minorHAnsi" w:hAnsiTheme="minorHAnsi" w:cstheme="minorHAnsi"/>
          <w:sz w:val="16"/>
          <w:szCs w:val="16"/>
        </w:rPr>
        <w:t xml:space="preserve"> </w:t>
      </w:r>
      <w:r w:rsidR="008D4246" w:rsidRPr="00AB48B2">
        <w:rPr>
          <w:rFonts w:asciiTheme="minorHAnsi" w:hAnsiTheme="minorHAnsi" w:cstheme="minorHAnsi"/>
          <w:sz w:val="16"/>
          <w:szCs w:val="16"/>
        </w:rPr>
        <w:t>“Mandamus” is a court command to a governmental office to correctly perform a mandatory function.  Black’s Law Dictionary (10th Ed. 2014).</w:t>
      </w:r>
    </w:p>
  </w:endnote>
  <w:endnote w:id="768">
    <w:p w14:paraId="0FD7DA79" w14:textId="219329A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State ex rel. Cincinnati Post v. </w:t>
      </w:r>
      <w:r w:rsidRPr="00AB48B2">
        <w:rPr>
          <w:rFonts w:asciiTheme="minorHAnsi" w:hAnsiTheme="minorHAnsi" w:cstheme="minorHAnsi"/>
          <w:i/>
          <w:sz w:val="16"/>
          <w:szCs w:val="16"/>
        </w:rPr>
        <w:t>Schweikert</w:t>
      </w:r>
      <w:r w:rsidRPr="00AB48B2">
        <w:rPr>
          <w:rFonts w:asciiTheme="minorHAnsi" w:hAnsiTheme="minorHAnsi" w:cstheme="minorHAnsi"/>
          <w:sz w:val="16"/>
          <w:szCs w:val="16"/>
        </w:rPr>
        <w:t xml:space="preserve">, 38 Ohio St.3d 170, 174 (1988) (mandamus </w:t>
      </w:r>
      <w:r w:rsidR="00897471">
        <w:rPr>
          <w:rFonts w:asciiTheme="minorHAnsi" w:hAnsiTheme="minorHAnsi" w:cstheme="minorHAnsi"/>
          <w:sz w:val="16"/>
          <w:szCs w:val="16"/>
        </w:rPr>
        <w:t>need not</w:t>
      </w:r>
      <w:r w:rsidRPr="00AB48B2">
        <w:rPr>
          <w:rFonts w:asciiTheme="minorHAnsi" w:hAnsiTheme="minorHAnsi" w:cstheme="minorHAnsi"/>
          <w:sz w:val="16"/>
          <w:szCs w:val="16"/>
        </w:rPr>
        <w:t xml:space="preserve"> be brought against the person who actually withheld the records or committed the violation; it can be brought against any “person responsible” for public records in the public office); </w:t>
      </w:r>
      <w:r w:rsidRPr="00AB48B2">
        <w:rPr>
          <w:rFonts w:asciiTheme="minorHAnsi" w:hAnsiTheme="minorHAnsi" w:cstheme="minorHAnsi"/>
          <w:i/>
          <w:sz w:val="16"/>
          <w:szCs w:val="16"/>
        </w:rPr>
        <w:t>State ex rel. Mothers Against Drunk Drivers v. Gosser</w:t>
      </w:r>
      <w:r w:rsidRPr="00AB48B2">
        <w:rPr>
          <w:rFonts w:asciiTheme="minorHAnsi" w:hAnsiTheme="minorHAnsi" w:cstheme="minorHAnsi"/>
          <w:sz w:val="16"/>
          <w:szCs w:val="16"/>
        </w:rPr>
        <w:t>, 20 Ohio St.3d 30 (1985), paragraph two of the syllabus (“When statutes impose a duty on a particular official to oversee records, that official is the ‘person responsible’ under [the Public Records Act]</w:t>
      </w:r>
      <w:r w:rsidR="00E3206E" w:rsidRPr="00AB48B2">
        <w:rPr>
          <w:rFonts w:asciiTheme="minorHAnsi" w:hAnsiTheme="minorHAnsi" w:cstheme="minorHAnsi"/>
          <w:sz w:val="16"/>
          <w:szCs w:val="16"/>
        </w:rPr>
        <w:t>.</w:t>
      </w:r>
      <w:r w:rsidRPr="00AB48B2">
        <w:rPr>
          <w:rFonts w:asciiTheme="minorHAnsi" w:hAnsiTheme="minorHAnsi" w:cstheme="minorHAnsi"/>
          <w:sz w:val="16"/>
          <w:szCs w:val="16"/>
        </w:rPr>
        <w:t xml:space="preserve">”); </w:t>
      </w:r>
      <w:hyperlink r:id="rId1009" w:history="1">
        <w:r w:rsidRPr="00AB48B2">
          <w:rPr>
            <w:rStyle w:val="Hyperlink"/>
            <w:rFonts w:asciiTheme="minorHAnsi" w:hAnsiTheme="minorHAnsi" w:cstheme="minorHAnsi"/>
            <w:i/>
            <w:sz w:val="16"/>
            <w:szCs w:val="16"/>
          </w:rPr>
          <w:t>State ex rel. Doe v. Tetrault</w:t>
        </w:r>
      </w:hyperlink>
      <w:r w:rsidRPr="00AB48B2">
        <w:rPr>
          <w:rFonts w:asciiTheme="minorHAnsi" w:hAnsiTheme="minorHAnsi" w:cstheme="minorHAnsi"/>
          <w:sz w:val="16"/>
          <w:szCs w:val="16"/>
        </w:rPr>
        <w:t xml:space="preserve">, 12th Dist. Clermont No. CA2011-10-070, 2012-Ohio-3879, ¶ 23-26 (employee who created and disposed of requested notes was not the “particular official” charged with the duty to oversee records); </w:t>
      </w:r>
      <w:r w:rsidRPr="00AB48B2">
        <w:rPr>
          <w:rFonts w:asciiTheme="minorHAnsi" w:hAnsiTheme="minorHAnsi" w:cstheme="minorHAnsi"/>
          <w:i/>
          <w:sz w:val="16"/>
          <w:szCs w:val="16"/>
        </w:rPr>
        <w:t xml:space="preserve">see also </w:t>
      </w:r>
      <w:r w:rsidRPr="00AB48B2">
        <w:rPr>
          <w:rFonts w:asciiTheme="minorHAnsi" w:hAnsiTheme="minorHAnsi" w:cstheme="minorHAnsi"/>
          <w:sz w:val="16"/>
          <w:szCs w:val="16"/>
        </w:rPr>
        <w:t xml:space="preserve">Chapter One: </w:t>
      </w:r>
      <w:r w:rsidR="00E0738B" w:rsidRPr="00AB48B2">
        <w:rPr>
          <w:rFonts w:asciiTheme="minorHAnsi" w:hAnsiTheme="minorHAnsi" w:cstheme="minorHAnsi"/>
          <w:sz w:val="16"/>
          <w:szCs w:val="16"/>
        </w:rPr>
        <w:t>C</w:t>
      </w:r>
      <w:r w:rsidRPr="00AB48B2">
        <w:rPr>
          <w:rFonts w:asciiTheme="minorHAnsi" w:hAnsiTheme="minorHAnsi" w:cstheme="minorHAnsi"/>
          <w:sz w:val="16"/>
          <w:szCs w:val="16"/>
        </w:rPr>
        <w:t>. 3. “Quasi-agency</w:t>
      </w:r>
      <w:r w:rsidR="00E0738B" w:rsidRPr="00AB48B2">
        <w:rPr>
          <w:rFonts w:asciiTheme="minorHAnsi" w:hAnsiTheme="minorHAnsi" w:cstheme="minorHAnsi"/>
          <w:sz w:val="16"/>
          <w:szCs w:val="16"/>
        </w:rPr>
        <w:t>: a</w:t>
      </w:r>
      <w:r w:rsidRPr="00AB48B2">
        <w:rPr>
          <w:rFonts w:asciiTheme="minorHAnsi" w:hAnsiTheme="minorHAnsi" w:cstheme="minorHAnsi"/>
          <w:sz w:val="16"/>
          <w:szCs w:val="16"/>
        </w:rPr>
        <w:t xml:space="preserve"> private entity, even if not a ‘public office,’ can be ‘a person responsible for public records.’”</w:t>
      </w:r>
    </w:p>
  </w:endnote>
  <w:endnote w:id="769">
    <w:p w14:paraId="66E513DE"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0" w:history="1">
        <w:r w:rsidRPr="00AB48B2">
          <w:rPr>
            <w:rStyle w:val="Hyperlink"/>
            <w:rFonts w:asciiTheme="minorHAnsi" w:hAnsiTheme="minorHAnsi" w:cstheme="minorHAnsi"/>
            <w:i/>
            <w:sz w:val="16"/>
            <w:szCs w:val="16"/>
          </w:rPr>
          <w:t xml:space="preserve">State ex rel. Highlander v. </w:t>
        </w:r>
        <w:r w:rsidRPr="00AB48B2">
          <w:rPr>
            <w:rStyle w:val="Hyperlink"/>
            <w:rFonts w:asciiTheme="minorHAnsi" w:hAnsiTheme="minorHAnsi" w:cstheme="minorHAnsi"/>
            <w:i/>
            <w:sz w:val="16"/>
            <w:szCs w:val="16"/>
          </w:rPr>
          <w:t>Rudduck</w:t>
        </w:r>
      </w:hyperlink>
      <w:r w:rsidRPr="00AB48B2">
        <w:rPr>
          <w:rFonts w:asciiTheme="minorHAnsi" w:hAnsiTheme="minorHAnsi" w:cstheme="minorHAnsi"/>
          <w:sz w:val="16"/>
          <w:szCs w:val="16"/>
        </w:rPr>
        <w:t>, 103 Ohio St.3d 370, 2004-Ohio-4952, ¶ 18.</w:t>
      </w:r>
    </w:p>
  </w:endnote>
  <w:endnote w:id="770">
    <w:p w14:paraId="7D382986" w14:textId="0D178AE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1" w:history="1">
        <w:r w:rsidRPr="00AB48B2">
          <w:rPr>
            <w:rStyle w:val="Hyperlink"/>
            <w:rFonts w:asciiTheme="minorHAnsi" w:hAnsiTheme="minorHAnsi" w:cstheme="minorHAnsi"/>
            <w:i/>
            <w:sz w:val="16"/>
            <w:szCs w:val="16"/>
          </w:rPr>
          <w:t>Davis v. Cincinnati Enquirer</w:t>
        </w:r>
      </w:hyperlink>
      <w:r w:rsidRPr="00AB48B2">
        <w:rPr>
          <w:rFonts w:asciiTheme="minorHAnsi" w:hAnsiTheme="minorHAnsi" w:cstheme="minorHAnsi"/>
          <w:sz w:val="16"/>
          <w:szCs w:val="16"/>
        </w:rPr>
        <w:t xml:space="preserve">, 164 Ohio App.3d 36, 2005-Ohio-5719, ¶ 8-17; </w:t>
      </w:r>
      <w:hyperlink r:id="rId1012" w:history="1">
        <w:r w:rsidRPr="00AB48B2">
          <w:rPr>
            <w:rStyle w:val="Hyperlink"/>
            <w:rFonts w:asciiTheme="minorHAnsi" w:hAnsiTheme="minorHAnsi" w:cstheme="minorHAnsi"/>
            <w:i/>
            <w:sz w:val="16"/>
            <w:szCs w:val="16"/>
          </w:rPr>
          <w:t>Reeves v. Chief of Police</w:t>
        </w:r>
      </w:hyperlink>
      <w:r w:rsidRPr="00AB48B2">
        <w:rPr>
          <w:rFonts w:asciiTheme="minorHAnsi" w:hAnsiTheme="minorHAnsi" w:cstheme="minorHAnsi"/>
          <w:sz w:val="16"/>
          <w:szCs w:val="16"/>
        </w:rPr>
        <w:t xml:space="preserve">, 6th Dist. Erie No. E-14-124, 2015-Ohio-3075, ¶ 7-8 (affirming dismissal of a public records case brought as a declaratory judgment action); </w:t>
      </w:r>
      <w:hyperlink r:id="rId1013" w:history="1">
        <w:r w:rsidRPr="00AB48B2">
          <w:rPr>
            <w:rStyle w:val="Hyperlink"/>
            <w:rFonts w:asciiTheme="minorHAnsi" w:hAnsiTheme="minorHAnsi" w:cstheme="minorHAnsi"/>
            <w:i/>
            <w:sz w:val="16"/>
            <w:szCs w:val="16"/>
          </w:rPr>
          <w:t>State ex rel. Meadows v. Louisville City Council</w:t>
        </w:r>
      </w:hyperlink>
      <w:r w:rsidRPr="00AB48B2">
        <w:rPr>
          <w:rFonts w:asciiTheme="minorHAnsi" w:hAnsiTheme="minorHAnsi" w:cstheme="minorHAnsi"/>
          <w:sz w:val="16"/>
          <w:szCs w:val="16"/>
        </w:rPr>
        <w:t>, 5th Stark Dist. No. 2015CA00040, 2015-Ohio-4126, ¶ 26-29.</w:t>
      </w:r>
    </w:p>
  </w:endnote>
  <w:endnote w:id="771">
    <w:p w14:paraId="6E9DFFE0" w14:textId="1A5B887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4" w:history="1">
        <w:r w:rsidRPr="00AB48B2">
          <w:rPr>
            <w:rStyle w:val="Hyperlink"/>
            <w:rFonts w:asciiTheme="minorHAnsi" w:hAnsiTheme="minorHAnsi" w:cstheme="minorHAnsi"/>
            <w:sz w:val="16"/>
            <w:szCs w:val="16"/>
          </w:rPr>
          <w:t>R.C. 149.43(C)(1)</w:t>
        </w:r>
      </w:hyperlink>
      <w:r w:rsidRPr="00AB48B2">
        <w:rPr>
          <w:rFonts w:asciiTheme="minorHAnsi" w:hAnsiTheme="minorHAnsi" w:cstheme="minorHAnsi"/>
          <w:sz w:val="16"/>
          <w:szCs w:val="16"/>
        </w:rPr>
        <w:t xml:space="preserve">; </w:t>
      </w:r>
      <w:hyperlink r:id="rId1015" w:history="1">
        <w:r w:rsidRPr="00AB48B2">
          <w:rPr>
            <w:rStyle w:val="Hyperlink"/>
            <w:rFonts w:asciiTheme="minorHAnsi" w:hAnsiTheme="minorHAnsi" w:cstheme="minorHAnsi"/>
            <w:sz w:val="16"/>
            <w:szCs w:val="16"/>
          </w:rPr>
          <w:t>R.C. 2743.75(C)(1)</w:t>
        </w:r>
      </w:hyperlink>
      <w:r w:rsidR="00DE1C46">
        <w:rPr>
          <w:rFonts w:asciiTheme="minorHAnsi" w:hAnsiTheme="minorHAnsi" w:cstheme="minorHAnsi"/>
          <w:sz w:val="16"/>
          <w:szCs w:val="16"/>
        </w:rPr>
        <w:t>;</w:t>
      </w:r>
      <w:hyperlink r:id="rId1016" w:history="1">
        <w:r w:rsidR="00DE1C46" w:rsidRPr="00C3377D">
          <w:rPr>
            <w:rStyle w:val="Hyperlink"/>
            <w:rFonts w:asciiTheme="minorHAnsi" w:hAnsiTheme="minorHAnsi" w:cstheme="minorHAnsi"/>
            <w:i/>
            <w:iCs/>
            <w:sz w:val="16"/>
            <w:szCs w:val="16"/>
          </w:rPr>
          <w:t xml:space="preserve"> State ex rel. </w:t>
        </w:r>
        <w:r w:rsidR="00DE1C46" w:rsidRPr="00C3377D">
          <w:rPr>
            <w:rStyle w:val="Hyperlink"/>
            <w:rFonts w:asciiTheme="minorHAnsi" w:hAnsiTheme="minorHAnsi" w:cstheme="minorHAnsi"/>
            <w:i/>
            <w:iCs/>
            <w:sz w:val="16"/>
            <w:szCs w:val="16"/>
          </w:rPr>
          <w:t>Sulta</w:t>
        </w:r>
        <w:r w:rsidR="00DE1C46">
          <w:rPr>
            <w:rStyle w:val="Hyperlink"/>
            <w:rFonts w:asciiTheme="minorHAnsi" w:hAnsiTheme="minorHAnsi" w:cstheme="minorHAnsi"/>
            <w:i/>
            <w:iCs/>
            <w:sz w:val="16"/>
            <w:szCs w:val="16"/>
          </w:rPr>
          <w:t>a</w:t>
        </w:r>
        <w:r w:rsidR="00DE1C46" w:rsidRPr="00C3377D">
          <w:rPr>
            <w:rStyle w:val="Hyperlink"/>
            <w:rFonts w:asciiTheme="minorHAnsi" w:hAnsiTheme="minorHAnsi" w:cstheme="minorHAnsi"/>
            <w:i/>
            <w:iCs/>
            <w:sz w:val="16"/>
            <w:szCs w:val="16"/>
          </w:rPr>
          <w:t>na v. Mansfield Corr. Inst</w:t>
        </w:r>
      </w:hyperlink>
      <w:r w:rsidR="00DE1C46" w:rsidRPr="00C3377D">
        <w:rPr>
          <w:rFonts w:asciiTheme="minorHAnsi" w:hAnsiTheme="minorHAnsi" w:cstheme="minorHAnsi"/>
          <w:i/>
          <w:iCs/>
          <w:sz w:val="16"/>
          <w:szCs w:val="16"/>
        </w:rPr>
        <w:t>.</w:t>
      </w:r>
      <w:r w:rsidR="00DE1C46" w:rsidRPr="00C3377D">
        <w:rPr>
          <w:rFonts w:asciiTheme="minorHAnsi" w:hAnsiTheme="minorHAnsi" w:cstheme="minorHAnsi"/>
          <w:sz w:val="16"/>
          <w:szCs w:val="16"/>
        </w:rPr>
        <w:t xml:space="preserve">, 172 Ohio St.3d 438, 2023-Ohio-1177, ¶ </w:t>
      </w:r>
      <w:r w:rsidR="00DE1C46">
        <w:rPr>
          <w:rFonts w:asciiTheme="minorHAnsi" w:hAnsiTheme="minorHAnsi" w:cstheme="minorHAnsi"/>
          <w:sz w:val="16"/>
          <w:szCs w:val="16"/>
        </w:rPr>
        <w:t>10</w:t>
      </w:r>
      <w:r w:rsidR="00DE1C46" w:rsidRPr="00C3377D">
        <w:rPr>
          <w:rFonts w:asciiTheme="minorHAnsi" w:hAnsiTheme="minorHAnsi" w:cstheme="minorHAnsi"/>
          <w:sz w:val="16"/>
          <w:szCs w:val="16"/>
        </w:rPr>
        <w:t xml:space="preserve"> (incident and conduct reports did not fall under any category in R.C. 5120.21 and not exempt).</w:t>
      </w:r>
    </w:p>
  </w:endnote>
  <w:endnote w:id="772">
    <w:p w14:paraId="3E6E1A81" w14:textId="6F39923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7" w:history="1">
        <w:r w:rsidRPr="00AB48B2">
          <w:rPr>
            <w:rStyle w:val="Hyperlink"/>
            <w:rFonts w:asciiTheme="minorHAnsi" w:hAnsiTheme="minorHAnsi" w:cstheme="minorHAnsi"/>
            <w:sz w:val="16"/>
            <w:szCs w:val="16"/>
          </w:rPr>
          <w:t>R.C. 149.43(C)(1)(b)</w:t>
        </w:r>
      </w:hyperlink>
      <w:r w:rsidRPr="00AB48B2">
        <w:rPr>
          <w:rFonts w:asciiTheme="minorHAnsi" w:hAnsiTheme="minorHAnsi" w:cstheme="minorHAnsi"/>
          <w:sz w:val="16"/>
          <w:szCs w:val="16"/>
        </w:rPr>
        <w:t>.</w:t>
      </w:r>
    </w:p>
  </w:endnote>
  <w:endnote w:id="773">
    <w:p w14:paraId="20FB9085" w14:textId="42CCEA2D"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8" w:history="1">
        <w:r w:rsidRPr="00AB48B2">
          <w:rPr>
            <w:rStyle w:val="Hyperlink"/>
            <w:rFonts w:asciiTheme="minorHAnsi" w:hAnsiTheme="minorHAnsi" w:cstheme="minorHAnsi"/>
            <w:sz w:val="16"/>
            <w:szCs w:val="16"/>
          </w:rPr>
          <w:t>S.Ct.Prac.R. 19.01(A)</w:t>
        </w:r>
      </w:hyperlink>
      <w:r w:rsidRPr="00AB48B2">
        <w:rPr>
          <w:rFonts w:asciiTheme="minorHAnsi" w:hAnsiTheme="minorHAnsi" w:cstheme="minorHAnsi"/>
          <w:sz w:val="16"/>
          <w:szCs w:val="16"/>
        </w:rPr>
        <w:t xml:space="preserve"> (the court may, on its own or on motion by a party, refer cases to mediation</w:t>
      </w:r>
      <w:r w:rsidR="00897471">
        <w:rPr>
          <w:rFonts w:asciiTheme="minorHAnsi" w:hAnsiTheme="minorHAnsi" w:cstheme="minorHAnsi"/>
          <w:sz w:val="16"/>
          <w:szCs w:val="16"/>
        </w:rPr>
        <w:t>;</w:t>
      </w:r>
      <w:r w:rsidRPr="00AB48B2">
        <w:rPr>
          <w:rFonts w:asciiTheme="minorHAnsi" w:hAnsiTheme="minorHAnsi" w:cstheme="minorHAnsi"/>
          <w:sz w:val="16"/>
          <w:szCs w:val="16"/>
        </w:rPr>
        <w:t xml:space="preserve"> unless otherwise ordered court, all filing deadlines </w:t>
      </w:r>
      <w:r w:rsidR="00897471">
        <w:rPr>
          <w:rFonts w:asciiTheme="minorHAnsi" w:hAnsiTheme="minorHAnsi" w:cstheme="minorHAnsi"/>
          <w:sz w:val="16"/>
          <w:szCs w:val="16"/>
        </w:rPr>
        <w:t>stayed</w:t>
      </w:r>
      <w:r w:rsidRPr="00AB48B2">
        <w:rPr>
          <w:rFonts w:asciiTheme="minorHAnsi" w:hAnsiTheme="minorHAnsi" w:cstheme="minorHAnsi"/>
          <w:sz w:val="16"/>
          <w:szCs w:val="16"/>
        </w:rPr>
        <w:t>).  Other courts may also offer mediation to facilitate settlement.</w:t>
      </w:r>
    </w:p>
  </w:endnote>
  <w:endnote w:id="774">
    <w:p w14:paraId="6DE406FF"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State ex rel. Multimedia, Inc. v. Whalen</w:t>
      </w:r>
      <w:r w:rsidRPr="00AB48B2">
        <w:rPr>
          <w:rFonts w:asciiTheme="minorHAnsi" w:hAnsiTheme="minorHAnsi" w:cstheme="minorHAnsi"/>
          <w:sz w:val="16"/>
          <w:szCs w:val="16"/>
        </w:rPr>
        <w:t>, 48 Ohio St.3d 41, 42 (1990).</w:t>
      </w:r>
    </w:p>
  </w:endnote>
  <w:endnote w:id="775">
    <w:p w14:paraId="5FED45D1" w14:textId="2D9DA77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19" w:history="1">
        <w:r w:rsidRPr="004D06FD">
          <w:rPr>
            <w:rStyle w:val="Hyperlink"/>
            <w:rFonts w:asciiTheme="minorHAnsi" w:hAnsiTheme="minorHAnsi" w:cstheme="minorHAnsi"/>
            <w:sz w:val="16"/>
            <w:szCs w:val="16"/>
          </w:rPr>
          <w:t>R.C. 2305.14</w:t>
        </w:r>
      </w:hyperlink>
      <w:r w:rsidRPr="00AB48B2">
        <w:rPr>
          <w:rFonts w:asciiTheme="minorHAnsi" w:hAnsiTheme="minorHAnsi" w:cstheme="minorHAnsi"/>
          <w:sz w:val="16"/>
          <w:szCs w:val="16"/>
        </w:rPr>
        <w:t>.</w:t>
      </w:r>
    </w:p>
  </w:endnote>
  <w:endnote w:id="776">
    <w:p w14:paraId="2C9C5365" w14:textId="73298D58"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0" w:history="1">
        <w:r w:rsidRPr="00AB48B2">
          <w:rPr>
            <w:rStyle w:val="Hyperlink"/>
            <w:rFonts w:asciiTheme="minorHAnsi" w:hAnsiTheme="minorHAnsi" w:cstheme="minorHAnsi"/>
            <w:i/>
            <w:sz w:val="16"/>
            <w:szCs w:val="16"/>
          </w:rPr>
          <w:t xml:space="preserve">State ex rel. Clinton v. </w:t>
        </w:r>
        <w:r w:rsidRPr="00AB48B2">
          <w:rPr>
            <w:rStyle w:val="Hyperlink"/>
            <w:rFonts w:asciiTheme="minorHAnsi" w:hAnsiTheme="minorHAnsi" w:cstheme="minorHAnsi"/>
            <w:i/>
            <w:sz w:val="16"/>
            <w:szCs w:val="16"/>
          </w:rPr>
          <w:t>MetroHealth Sys.</w:t>
        </w:r>
      </w:hyperlink>
      <w:r w:rsidRPr="00AB48B2">
        <w:rPr>
          <w:rFonts w:asciiTheme="minorHAnsi" w:hAnsiTheme="minorHAnsi" w:cstheme="minorHAnsi"/>
          <w:sz w:val="16"/>
          <w:szCs w:val="16"/>
        </w:rPr>
        <w:t>, 8th Dist. Cuyahoga No. 100590, 2014-Ohio-4469, ¶ 38-41 (finding three-year delay in filing action to enforce public records request untimely)</w:t>
      </w:r>
      <w:r w:rsidR="00347F65" w:rsidRPr="00AB48B2">
        <w:rPr>
          <w:rFonts w:asciiTheme="minorHAnsi" w:hAnsiTheme="minorHAnsi" w:cstheme="minorHAnsi"/>
          <w:sz w:val="16"/>
          <w:szCs w:val="16"/>
        </w:rPr>
        <w:t>.</w:t>
      </w:r>
    </w:p>
  </w:endnote>
  <w:endnote w:id="777">
    <w:p w14:paraId="043815D3" w14:textId="70D5C468"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See</w:t>
      </w:r>
      <w:r w:rsidRPr="00AB48B2">
        <w:rPr>
          <w:rFonts w:asciiTheme="minorHAnsi" w:hAnsiTheme="minorHAnsi" w:cstheme="minorHAnsi"/>
          <w:sz w:val="16"/>
          <w:szCs w:val="16"/>
        </w:rPr>
        <w:t xml:space="preserve"> </w:t>
      </w:r>
      <w:hyperlink r:id="rId1021" w:history="1">
        <w:r w:rsidRPr="00AB48B2">
          <w:rPr>
            <w:rStyle w:val="Hyperlink"/>
            <w:rFonts w:asciiTheme="minorHAnsi" w:hAnsiTheme="minorHAnsi" w:cstheme="minorHAnsi"/>
            <w:sz w:val="16"/>
            <w:szCs w:val="16"/>
          </w:rPr>
          <w:t>Civ.R. 26-37, 45</w:t>
        </w:r>
      </w:hyperlink>
      <w:r w:rsidRPr="00AB48B2">
        <w:rPr>
          <w:rFonts w:asciiTheme="minorHAnsi" w:hAnsiTheme="minorHAnsi" w:cstheme="minorHAnsi"/>
          <w:sz w:val="16"/>
          <w:szCs w:val="16"/>
        </w:rPr>
        <w:t>.</w:t>
      </w:r>
    </w:p>
  </w:endnote>
  <w:endnote w:id="778">
    <w:p w14:paraId="76A9E1BE"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2" w:history="1">
        <w:r w:rsidRPr="00AB48B2">
          <w:rPr>
            <w:rStyle w:val="Hyperlink"/>
            <w:rFonts w:asciiTheme="minorHAnsi" w:hAnsiTheme="minorHAnsi" w:cstheme="minorHAnsi"/>
            <w:i/>
            <w:sz w:val="16"/>
            <w:szCs w:val="16"/>
          </w:rPr>
          <w:t>Vaught v. Cleveland Clinic Found.</w:t>
        </w:r>
      </w:hyperlink>
      <w:r w:rsidRPr="00AB48B2">
        <w:rPr>
          <w:rFonts w:asciiTheme="minorHAnsi" w:hAnsiTheme="minorHAnsi" w:cstheme="minorHAnsi"/>
          <w:sz w:val="16"/>
          <w:szCs w:val="16"/>
        </w:rPr>
        <w:t>, 98 Ohio St.3d 485, 2003-Ohio-2181, ¶ 25.</w:t>
      </w:r>
    </w:p>
  </w:endnote>
  <w:endnote w:id="779">
    <w:p w14:paraId="6E4628A9" w14:textId="462C95EA" w:rsidR="002F23BE" w:rsidRPr="00AB48B2" w:rsidRDefault="002F23BE" w:rsidP="00AB48B2">
      <w:pPr>
        <w:pStyle w:val="EndnoteText"/>
        <w:spacing w:line="160" w:lineRule="exact"/>
        <w:jc w:val="both"/>
        <w:rPr>
          <w:rFonts w:asciiTheme="minorHAnsi" w:hAnsiTheme="minorHAnsi" w:cstheme="minorHAnsi"/>
          <w:b/>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3"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xml:space="preserve">, 135 Ohio St.3d 191, 2013-Ohio-199, ¶ 22; </w:t>
      </w:r>
      <w:hyperlink r:id="rId1024" w:history="1">
        <w:r w:rsidRPr="00E10B2E">
          <w:rPr>
            <w:rStyle w:val="Hyperlink"/>
            <w:rFonts w:asciiTheme="minorHAnsi" w:hAnsiTheme="minorHAnsi" w:cstheme="minorHAnsi"/>
            <w:i/>
            <w:sz w:val="16"/>
            <w:szCs w:val="16"/>
          </w:rPr>
          <w:t>State ex rel. Hogan Lovells U.S., L.L.P. v. Dept. of Rehab. and Corr.</w:t>
        </w:r>
      </w:hyperlink>
      <w:r w:rsidRPr="00AB48B2">
        <w:rPr>
          <w:rFonts w:asciiTheme="minorHAnsi" w:hAnsiTheme="minorHAnsi" w:cstheme="minorHAnsi"/>
          <w:sz w:val="16"/>
          <w:szCs w:val="16"/>
        </w:rPr>
        <w:t xml:space="preserve">, 156 Ohio St.3d 56, 2018-Ohio-5133, ¶ 6.  </w:t>
      </w:r>
      <w:r w:rsidRPr="00AB48B2">
        <w:rPr>
          <w:rFonts w:asciiTheme="minorHAnsi" w:hAnsiTheme="minorHAnsi" w:cstheme="minorHAnsi"/>
          <w:i/>
          <w:sz w:val="16"/>
          <w:szCs w:val="16"/>
        </w:rPr>
        <w:t xml:space="preserve">But see </w:t>
      </w:r>
      <w:hyperlink r:id="rId1025" w:history="1">
        <w:r w:rsidRPr="00AB48B2">
          <w:rPr>
            <w:rStyle w:val="Hyperlink"/>
            <w:rFonts w:asciiTheme="minorHAnsi" w:hAnsiTheme="minorHAnsi" w:cstheme="minorHAnsi"/>
            <w:i/>
            <w:sz w:val="16"/>
            <w:szCs w:val="16"/>
          </w:rPr>
          <w:t xml:space="preserve">State ex rel. </w:t>
        </w:r>
        <w:r w:rsidRPr="00AB48B2">
          <w:rPr>
            <w:rStyle w:val="Hyperlink"/>
            <w:rFonts w:asciiTheme="minorHAnsi" w:hAnsiTheme="minorHAnsi" w:cstheme="minorHAnsi"/>
            <w:i/>
            <w:sz w:val="16"/>
            <w:szCs w:val="16"/>
          </w:rPr>
          <w:t>Plunderbund v. Born</w:t>
        </w:r>
      </w:hyperlink>
      <w:r w:rsidRPr="00AB48B2">
        <w:rPr>
          <w:rFonts w:asciiTheme="minorHAnsi" w:hAnsiTheme="minorHAnsi" w:cstheme="minorHAnsi"/>
          <w:sz w:val="16"/>
          <w:szCs w:val="16"/>
        </w:rPr>
        <w:t>, 141 Ohio St.3d 422, 2014-Ohio-3679</w:t>
      </w:r>
      <w:r w:rsidR="00347F65" w:rsidRPr="00AB48B2">
        <w:rPr>
          <w:rFonts w:asciiTheme="minorHAnsi" w:hAnsiTheme="minorHAnsi" w:cstheme="minorHAnsi"/>
          <w:sz w:val="16"/>
          <w:szCs w:val="16"/>
        </w:rPr>
        <w:t>, ¶ 31</w:t>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in camera</w:t>
      </w:r>
      <w:r w:rsidRPr="00AB48B2">
        <w:rPr>
          <w:rFonts w:asciiTheme="minorHAnsi" w:hAnsiTheme="minorHAnsi" w:cstheme="minorHAnsi"/>
          <w:sz w:val="16"/>
          <w:szCs w:val="16"/>
        </w:rPr>
        <w:t xml:space="preserve"> review was unnecessary when testimonial evidence sufficiently showed all withheld records were subject to the claimed exemption).</w:t>
      </w:r>
    </w:p>
  </w:endnote>
  <w:endnote w:id="780">
    <w:p w14:paraId="1492D84E" w14:textId="4BA4F26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Black’s Law Dictionary (10th ed. 2014) (defining “in camera inspection” as “[a] trial judge’s private consideration of evidence”).</w:t>
      </w:r>
    </w:p>
  </w:endnote>
  <w:endnote w:id="781">
    <w:p w14:paraId="6080D404"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6"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135 Ohio St.3d 191, 2013-Ohio-199, ¶ 23.</w:t>
      </w:r>
    </w:p>
  </w:endnote>
  <w:endnote w:id="782">
    <w:p w14:paraId="495299AF" w14:textId="711A6511"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7" w:history="1">
        <w:r w:rsidRPr="004D06FD">
          <w:rPr>
            <w:rStyle w:val="Hyperlink"/>
            <w:rFonts w:asciiTheme="minorHAnsi" w:hAnsiTheme="minorHAnsi" w:cstheme="minorHAnsi"/>
            <w:sz w:val="16"/>
            <w:szCs w:val="16"/>
          </w:rPr>
          <w:t>Civ.R. 26(B)(6)</w:t>
        </w:r>
      </w:hyperlink>
      <w:r w:rsidRPr="00AB48B2">
        <w:rPr>
          <w:rFonts w:asciiTheme="minorHAnsi" w:hAnsiTheme="minorHAnsi" w:cstheme="minorHAnsi"/>
          <w:sz w:val="16"/>
          <w:szCs w:val="16"/>
        </w:rPr>
        <w:t xml:space="preserve">; </w:t>
      </w:r>
      <w:hyperlink r:id="rId1028" w:history="1">
        <w:r w:rsidRPr="00AB48B2">
          <w:rPr>
            <w:rStyle w:val="Hyperlink"/>
            <w:rFonts w:asciiTheme="minorHAnsi" w:hAnsiTheme="minorHAnsi" w:cstheme="minorHAnsi"/>
            <w:i/>
            <w:sz w:val="16"/>
            <w:szCs w:val="16"/>
          </w:rPr>
          <w:t>Cargotec, Inc. v. Westchester Fire Ins. Co.</w:t>
        </w:r>
      </w:hyperlink>
      <w:r w:rsidRPr="00AB48B2">
        <w:rPr>
          <w:rFonts w:asciiTheme="minorHAnsi" w:hAnsiTheme="minorHAnsi" w:cstheme="minorHAnsi"/>
          <w:sz w:val="16"/>
          <w:szCs w:val="16"/>
        </w:rPr>
        <w:t>, 155 Ohio App.3d 653, 2003-Ohio-7257, ¶ 10.</w:t>
      </w:r>
    </w:p>
  </w:endnote>
  <w:endnote w:id="783">
    <w:p w14:paraId="00DEAE90" w14:textId="7777777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29"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135 Ohio St.3d 191, 2013-Ohio-199, ¶ 24.</w:t>
      </w:r>
    </w:p>
  </w:endnote>
  <w:endnote w:id="784">
    <w:p w14:paraId="79DB7192" w14:textId="5A8E0291"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Henneman v. Toledo</w:t>
      </w:r>
      <w:r w:rsidRPr="00AB48B2">
        <w:rPr>
          <w:rFonts w:asciiTheme="minorHAnsi" w:hAnsiTheme="minorHAnsi" w:cstheme="minorHAnsi"/>
          <w:sz w:val="16"/>
          <w:szCs w:val="16"/>
        </w:rPr>
        <w:t xml:space="preserve">, 35 Ohio St.3d 241, 245 (1988); </w:t>
      </w:r>
      <w:hyperlink r:id="rId1030" w:history="1">
        <w:r w:rsidRPr="00AB48B2">
          <w:rPr>
            <w:rStyle w:val="Hyperlink"/>
            <w:rFonts w:asciiTheme="minorHAnsi" w:hAnsiTheme="minorHAnsi" w:cstheme="minorHAnsi"/>
            <w:i/>
            <w:sz w:val="16"/>
            <w:szCs w:val="16"/>
          </w:rPr>
          <w:t>J &amp; C Marketing, L.L.C.  v. McGinty</w:t>
        </w:r>
      </w:hyperlink>
      <w:r w:rsidRPr="00AB48B2">
        <w:rPr>
          <w:rFonts w:asciiTheme="minorHAnsi" w:hAnsiTheme="minorHAnsi" w:cstheme="minorHAnsi"/>
          <w:sz w:val="16"/>
          <w:szCs w:val="16"/>
        </w:rPr>
        <w:t>, 143 Ohio St.3d 315, 2015-Ohio-1310</w:t>
      </w:r>
      <w:r w:rsidR="00347F65" w:rsidRPr="00AB48B2">
        <w:rPr>
          <w:rFonts w:asciiTheme="minorHAnsi" w:hAnsiTheme="minorHAnsi" w:cstheme="minorHAnsi"/>
          <w:sz w:val="16"/>
          <w:szCs w:val="16"/>
        </w:rPr>
        <w:t>, ¶ 17-22</w:t>
      </w:r>
      <w:r w:rsidRPr="00AB48B2">
        <w:rPr>
          <w:rFonts w:asciiTheme="minorHAnsi" w:hAnsiTheme="minorHAnsi" w:cstheme="minorHAnsi"/>
          <w:sz w:val="16"/>
          <w:szCs w:val="16"/>
        </w:rPr>
        <w:t>.</w:t>
      </w:r>
    </w:p>
  </w:endnote>
  <w:endnote w:id="785">
    <w:p w14:paraId="72A0F522" w14:textId="5D02DC2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1" w:history="1">
        <w:r w:rsidRPr="00AB48B2">
          <w:rPr>
            <w:rStyle w:val="Hyperlink"/>
            <w:rFonts w:asciiTheme="minorHAnsi" w:hAnsiTheme="minorHAnsi" w:cstheme="minorHAnsi"/>
            <w:i/>
            <w:sz w:val="16"/>
            <w:szCs w:val="16"/>
          </w:rPr>
          <w:t>State ex rel. Taxpayers Coalition v. Lakewood</w:t>
        </w:r>
      </w:hyperlink>
      <w:r w:rsidRPr="00AB48B2">
        <w:rPr>
          <w:rFonts w:asciiTheme="minorHAnsi" w:hAnsiTheme="minorHAnsi" w:cstheme="minorHAnsi"/>
          <w:sz w:val="16"/>
          <w:szCs w:val="16"/>
        </w:rPr>
        <w:t xml:space="preserve">, 86 Ohio St.3d 385, 390 (1999); </w:t>
      </w:r>
      <w:hyperlink r:id="rId1032" w:history="1">
        <w:r w:rsidRPr="00AB48B2">
          <w:rPr>
            <w:rStyle w:val="Hyperlink"/>
            <w:rFonts w:asciiTheme="minorHAnsi" w:hAnsiTheme="minorHAnsi" w:cstheme="minorHAnsi"/>
            <w:i/>
            <w:sz w:val="16"/>
            <w:szCs w:val="16"/>
          </w:rPr>
          <w:t>Strothers v. Norton</w:t>
        </w:r>
      </w:hyperlink>
      <w:r w:rsidRPr="00AB48B2">
        <w:rPr>
          <w:rFonts w:asciiTheme="minorHAnsi" w:hAnsiTheme="minorHAnsi" w:cstheme="minorHAnsi"/>
          <w:sz w:val="16"/>
          <w:szCs w:val="16"/>
        </w:rPr>
        <w:t>, 131 Ohio St.3d 359, 2012-Ohio-1007, ¶ 14.</w:t>
      </w:r>
    </w:p>
  </w:endnote>
  <w:endnote w:id="786">
    <w:p w14:paraId="23E911EA" w14:textId="42A5805D"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3" w:history="1">
        <w:r w:rsidR="00D80C1B" w:rsidRPr="00AB48B2">
          <w:rPr>
            <w:rStyle w:val="Hyperlink"/>
            <w:rFonts w:asciiTheme="minorHAnsi" w:hAnsiTheme="minorHAnsi" w:cstheme="minorHAnsi"/>
            <w:i/>
            <w:iCs/>
            <w:sz w:val="16"/>
            <w:szCs w:val="16"/>
          </w:rPr>
          <w:t>State ex rel. Lanham v. Smith</w:t>
        </w:r>
      </w:hyperlink>
      <w:r w:rsidR="00D80C1B" w:rsidRPr="00AB48B2">
        <w:rPr>
          <w:rFonts w:asciiTheme="minorHAnsi" w:hAnsiTheme="minorHAnsi" w:cstheme="minorHAnsi"/>
          <w:sz w:val="16"/>
          <w:szCs w:val="16"/>
        </w:rPr>
        <w:t xml:space="preserve">, </w:t>
      </w:r>
      <w:r w:rsidRPr="00AB48B2">
        <w:rPr>
          <w:rFonts w:asciiTheme="minorHAnsi" w:hAnsiTheme="minorHAnsi" w:cstheme="minorHAnsi"/>
          <w:sz w:val="16"/>
          <w:szCs w:val="16"/>
        </w:rPr>
        <w:t>112 Ohio St.3d 527, 2007-Ohio-609, ¶ 14 (“R.C. 149.43(C) requires a prior request as a prerequisite to a mandamus action.”)</w:t>
      </w:r>
      <w:r w:rsidR="00347F65" w:rsidRPr="00AB48B2">
        <w:rPr>
          <w:rFonts w:asciiTheme="minorHAnsi" w:hAnsiTheme="minorHAnsi" w:cstheme="minorHAnsi"/>
          <w:sz w:val="16"/>
          <w:szCs w:val="16"/>
        </w:rPr>
        <w:t>.</w:t>
      </w:r>
    </w:p>
  </w:endnote>
  <w:endnote w:id="787">
    <w:p w14:paraId="3F60FB86" w14:textId="7B891E5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4" w:history="1">
        <w:r w:rsidRPr="00AB48B2">
          <w:rPr>
            <w:rStyle w:val="Hyperlink"/>
            <w:rFonts w:asciiTheme="minorHAnsi" w:hAnsiTheme="minorHAnsi" w:cstheme="minorHAnsi"/>
            <w:i/>
            <w:sz w:val="16"/>
            <w:szCs w:val="16"/>
          </w:rPr>
          <w:t>State ex rel. Van Gundy v. Indus. Comm.</w:t>
        </w:r>
      </w:hyperlink>
      <w:r w:rsidRPr="00AB48B2">
        <w:rPr>
          <w:rFonts w:asciiTheme="minorHAnsi" w:hAnsiTheme="minorHAnsi" w:cstheme="minorHAnsi"/>
          <w:sz w:val="16"/>
          <w:szCs w:val="16"/>
        </w:rPr>
        <w:t>, 111 Ohio St.3d 395, 2006-Ohio-5854, ¶ 13 (discussing mandamus requirements).</w:t>
      </w:r>
    </w:p>
  </w:endnote>
  <w:endnote w:id="788">
    <w:p w14:paraId="069E2265" w14:textId="4908695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5" w:history="1">
        <w:r w:rsidRPr="00AB48B2">
          <w:rPr>
            <w:rStyle w:val="Hyperlink"/>
            <w:rFonts w:asciiTheme="minorHAnsi" w:hAnsiTheme="minorHAnsi" w:cstheme="minorHAnsi"/>
            <w:i/>
            <w:sz w:val="16"/>
            <w:szCs w:val="16"/>
          </w:rPr>
          <w:t>State ex rel. Glasgow v. Jones</w:t>
        </w:r>
      </w:hyperlink>
      <w:r w:rsidRPr="00AB48B2">
        <w:rPr>
          <w:rFonts w:asciiTheme="minorHAnsi" w:hAnsiTheme="minorHAnsi" w:cstheme="minorHAnsi"/>
          <w:sz w:val="16"/>
          <w:szCs w:val="16"/>
        </w:rPr>
        <w:t xml:space="preserve">, 119 Ohio St.3d 391, 2008-Ohio-4788, ¶ 17; </w:t>
      </w:r>
      <w:hyperlink r:id="rId1036" w:history="1">
        <w:r w:rsidRPr="00AB48B2">
          <w:rPr>
            <w:rStyle w:val="Hyperlink"/>
            <w:rFonts w:asciiTheme="minorHAnsi" w:hAnsiTheme="minorHAnsi" w:cstheme="minorHAnsi"/>
            <w:i/>
            <w:sz w:val="16"/>
            <w:szCs w:val="16"/>
          </w:rPr>
          <w:t>State ex rel. Morgan v. New Lexington</w:t>
        </w:r>
      </w:hyperlink>
      <w:r w:rsidRPr="00AB48B2">
        <w:rPr>
          <w:rFonts w:asciiTheme="minorHAnsi" w:hAnsiTheme="minorHAnsi" w:cstheme="minorHAnsi"/>
          <w:sz w:val="16"/>
          <w:szCs w:val="16"/>
        </w:rPr>
        <w:t>, 112 Ohio St.3d 33, 2006-Ohio-6365, ¶ 2</w:t>
      </w:r>
      <w:r w:rsidR="00347F65" w:rsidRPr="00AB48B2">
        <w:rPr>
          <w:rFonts w:asciiTheme="minorHAnsi" w:hAnsiTheme="minorHAnsi" w:cstheme="minorHAnsi"/>
          <w:sz w:val="16"/>
          <w:szCs w:val="16"/>
        </w:rPr>
        <w:t>9</w:t>
      </w:r>
      <w:r w:rsidRPr="00AB48B2">
        <w:rPr>
          <w:rFonts w:asciiTheme="minorHAnsi" w:hAnsiTheme="minorHAnsi" w:cstheme="minorHAnsi"/>
          <w:sz w:val="16"/>
          <w:szCs w:val="16"/>
        </w:rPr>
        <w:t xml:space="preserve"> (“[I]t is the responsibility of the person who wishes to inspect and/or copy records to identify with reasonable clarity the records at issue.”)</w:t>
      </w:r>
      <w:r w:rsidR="00347F65" w:rsidRPr="00AB48B2">
        <w:rPr>
          <w:rFonts w:asciiTheme="minorHAnsi" w:hAnsiTheme="minorHAnsi" w:cstheme="minorHAnsi"/>
          <w:sz w:val="16"/>
          <w:szCs w:val="16"/>
        </w:rPr>
        <w:t>.</w:t>
      </w:r>
    </w:p>
  </w:endnote>
  <w:endnote w:id="789">
    <w:p w14:paraId="3A00C28C" w14:textId="326E8BE6" w:rsidR="00162A4D" w:rsidRPr="00AB48B2" w:rsidRDefault="00162A4D"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00347F65" w:rsidRPr="00AB48B2">
        <w:rPr>
          <w:rFonts w:asciiTheme="minorHAnsi" w:hAnsiTheme="minorHAnsi" w:cstheme="minorHAnsi"/>
          <w:i/>
          <w:iCs/>
          <w:sz w:val="16"/>
          <w:szCs w:val="16"/>
        </w:rPr>
        <w:t xml:space="preserve">State ex rel. </w:t>
      </w:r>
      <w:r w:rsidR="00347F65" w:rsidRPr="00AB48B2">
        <w:rPr>
          <w:rFonts w:asciiTheme="minorHAnsi" w:hAnsiTheme="minorHAnsi" w:cstheme="minorHAnsi"/>
          <w:i/>
          <w:iCs/>
          <w:sz w:val="16"/>
          <w:szCs w:val="16"/>
        </w:rPr>
        <w:t xml:space="preserve">Gaydosh v. Twinsburg, </w:t>
      </w:r>
      <w:r w:rsidR="00347F65" w:rsidRPr="00AB48B2">
        <w:rPr>
          <w:rFonts w:asciiTheme="minorHAnsi" w:hAnsiTheme="minorHAnsi" w:cstheme="minorHAnsi"/>
          <w:sz w:val="16"/>
          <w:szCs w:val="16"/>
        </w:rPr>
        <w:t>93 Ohio St.3d 576, 580 (2001).</w:t>
      </w:r>
    </w:p>
  </w:endnote>
  <w:endnote w:id="790">
    <w:p w14:paraId="7B9A2094" w14:textId="612FAE3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7" w:history="1">
        <w:r w:rsidRPr="00AB48B2">
          <w:rPr>
            <w:rStyle w:val="Hyperlink"/>
            <w:rFonts w:asciiTheme="minorHAnsi" w:hAnsiTheme="minorHAnsi" w:cstheme="minorHAnsi"/>
            <w:i/>
            <w:sz w:val="16"/>
            <w:szCs w:val="16"/>
          </w:rPr>
          <w:t xml:space="preserve">Gilbert v. Summit </w:t>
        </w:r>
        <w:r w:rsidRPr="00AB48B2">
          <w:rPr>
            <w:rStyle w:val="Hyperlink"/>
            <w:rFonts w:asciiTheme="minorHAnsi" w:hAnsiTheme="minorHAnsi" w:cstheme="minorHAnsi"/>
            <w:i/>
            <w:sz w:val="16"/>
            <w:szCs w:val="16"/>
          </w:rPr>
          <w:t>Cty.</w:t>
        </w:r>
      </w:hyperlink>
      <w:r w:rsidRPr="00AB48B2">
        <w:rPr>
          <w:rFonts w:asciiTheme="minorHAnsi" w:hAnsiTheme="minorHAnsi" w:cstheme="minorHAnsi"/>
          <w:sz w:val="16"/>
          <w:szCs w:val="16"/>
        </w:rPr>
        <w:t>, 104 Ohio St.3d 660, 2004-Ohio-7108, ¶ 6</w:t>
      </w:r>
      <w:r w:rsidR="00347F65" w:rsidRPr="00AB48B2">
        <w:rPr>
          <w:rFonts w:asciiTheme="minorHAnsi" w:hAnsiTheme="minorHAnsi" w:cstheme="minorHAnsi"/>
          <w:sz w:val="16"/>
          <w:szCs w:val="16"/>
        </w:rPr>
        <w:t>.</w:t>
      </w:r>
    </w:p>
  </w:endnote>
  <w:endnote w:id="791">
    <w:p w14:paraId="62E0CE31" w14:textId="4947581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8" w:history="1">
        <w:r w:rsidRPr="00AB48B2">
          <w:rPr>
            <w:rStyle w:val="Hyperlink"/>
            <w:rFonts w:asciiTheme="minorHAnsi" w:hAnsiTheme="minorHAnsi" w:cstheme="minorHAnsi"/>
            <w:sz w:val="16"/>
            <w:szCs w:val="16"/>
          </w:rPr>
          <w:t>R.C. 149.43(B)(3)</w:t>
        </w:r>
      </w:hyperlink>
      <w:r w:rsidRPr="00AB48B2">
        <w:rPr>
          <w:rFonts w:asciiTheme="minorHAnsi" w:hAnsiTheme="minorHAnsi" w:cstheme="minorHAnsi"/>
          <w:sz w:val="16"/>
          <w:szCs w:val="16"/>
        </w:rPr>
        <w:t>.</w:t>
      </w:r>
    </w:p>
  </w:endnote>
  <w:endnote w:id="792">
    <w:p w14:paraId="1B8772C5" w14:textId="338CDB2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39" w:history="1">
        <w:r w:rsidR="00EA3091" w:rsidRPr="00AB48B2">
          <w:rPr>
            <w:rStyle w:val="Hyperlink"/>
            <w:rFonts w:asciiTheme="minorHAnsi" w:hAnsiTheme="minorHAnsi" w:cstheme="minorHAnsi"/>
            <w:i/>
            <w:iCs/>
            <w:sz w:val="16"/>
            <w:szCs w:val="16"/>
          </w:rPr>
          <w:t xml:space="preserve">State ex rel. </w:t>
        </w:r>
        <w:r w:rsidR="00EA3091" w:rsidRPr="00AB48B2">
          <w:rPr>
            <w:rStyle w:val="Hyperlink"/>
            <w:rFonts w:asciiTheme="minorHAnsi" w:hAnsiTheme="minorHAnsi" w:cstheme="minorHAnsi"/>
            <w:i/>
            <w:iCs/>
            <w:sz w:val="16"/>
            <w:szCs w:val="16"/>
          </w:rPr>
          <w:t>Summers v. Fox</w:t>
        </w:r>
      </w:hyperlink>
      <w:r w:rsidR="00EA3091" w:rsidRPr="00AB48B2">
        <w:rPr>
          <w:rFonts w:asciiTheme="minorHAnsi" w:hAnsiTheme="minorHAnsi" w:cstheme="minorHAnsi"/>
          <w:sz w:val="16"/>
          <w:szCs w:val="16"/>
        </w:rPr>
        <w:t xml:space="preserve">, </w:t>
      </w:r>
      <w:r w:rsidRPr="00AB48B2">
        <w:rPr>
          <w:rFonts w:asciiTheme="minorHAnsi" w:hAnsiTheme="minorHAnsi" w:cstheme="minorHAnsi"/>
          <w:sz w:val="16"/>
          <w:szCs w:val="16"/>
        </w:rPr>
        <w:t xml:space="preserve">163 Ohio St.3d 217, 2020-Ohio-5585, ¶ 74 (public office violated the Public Records Act when it raised overbreadth of request for the first time in litigation because the requester was not given the opportunity to revise the request); </w:t>
      </w:r>
      <w:r w:rsidRPr="00AB48B2">
        <w:rPr>
          <w:rFonts w:asciiTheme="minorHAnsi" w:hAnsiTheme="minorHAnsi" w:cstheme="minorHAnsi"/>
          <w:i/>
          <w:sz w:val="16"/>
          <w:szCs w:val="16"/>
        </w:rPr>
        <w:t xml:space="preserve">see also </w:t>
      </w:r>
      <w:r w:rsidRPr="00AB48B2">
        <w:rPr>
          <w:rFonts w:asciiTheme="minorHAnsi" w:hAnsiTheme="minorHAnsi" w:cstheme="minorHAnsi"/>
          <w:sz w:val="16"/>
          <w:szCs w:val="16"/>
        </w:rPr>
        <w:t>Chapter Two: A.</w:t>
      </w:r>
      <w:r w:rsidR="00E0738B" w:rsidRPr="00AB48B2">
        <w:rPr>
          <w:rFonts w:asciiTheme="minorHAnsi" w:hAnsiTheme="minorHAnsi" w:cstheme="minorHAnsi"/>
          <w:sz w:val="16"/>
          <w:szCs w:val="16"/>
        </w:rPr>
        <w:t>6</w:t>
      </w:r>
      <w:r w:rsidRPr="00AB48B2">
        <w:rPr>
          <w:rFonts w:asciiTheme="minorHAnsi" w:hAnsiTheme="minorHAnsi" w:cstheme="minorHAnsi"/>
          <w:sz w:val="16"/>
          <w:szCs w:val="16"/>
        </w:rPr>
        <w:t>. “Denying, and then clarifying, an overly broad request.”</w:t>
      </w:r>
    </w:p>
  </w:endnote>
  <w:endnote w:id="793">
    <w:p w14:paraId="65531487" w14:textId="48DBC8F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40" w:history="1">
        <w:r w:rsidRPr="00AB48B2">
          <w:rPr>
            <w:rStyle w:val="Hyperlink"/>
            <w:rFonts w:asciiTheme="minorHAnsi" w:hAnsiTheme="minorHAnsi" w:cstheme="minorHAnsi"/>
            <w:i/>
            <w:sz w:val="16"/>
            <w:szCs w:val="16"/>
          </w:rPr>
          <w:t xml:space="preserve">State ex rel. </w:t>
        </w:r>
        <w:r w:rsidRPr="00AB48B2">
          <w:rPr>
            <w:rStyle w:val="Hyperlink"/>
            <w:rFonts w:asciiTheme="minorHAnsi" w:hAnsiTheme="minorHAnsi" w:cstheme="minorHAnsi"/>
            <w:i/>
            <w:sz w:val="16"/>
            <w:szCs w:val="16"/>
          </w:rPr>
          <w:t>Seballos v. School Emp. Retirement Sys.</w:t>
        </w:r>
      </w:hyperlink>
      <w:r w:rsidRPr="00AB48B2">
        <w:rPr>
          <w:rFonts w:asciiTheme="minorHAnsi" w:hAnsiTheme="minorHAnsi" w:cstheme="minorHAnsi"/>
          <w:sz w:val="16"/>
          <w:szCs w:val="16"/>
        </w:rPr>
        <w:t xml:space="preserve">, 70 Ohio St.3d 667, 671 (1994); </w:t>
      </w:r>
      <w:hyperlink r:id="rId1041" w:history="1">
        <w:r w:rsidRPr="00AB48B2">
          <w:rPr>
            <w:rStyle w:val="Hyperlink"/>
            <w:rFonts w:asciiTheme="minorHAnsi" w:hAnsiTheme="minorHAnsi" w:cstheme="minorHAnsi"/>
            <w:i/>
            <w:sz w:val="16"/>
            <w:szCs w:val="16"/>
          </w:rPr>
          <w:t>State ex rel. Lanham v. DeWine</w:t>
        </w:r>
      </w:hyperlink>
      <w:r w:rsidRPr="00AB48B2">
        <w:rPr>
          <w:rFonts w:asciiTheme="minorHAnsi" w:hAnsiTheme="minorHAnsi" w:cstheme="minorHAnsi"/>
          <w:sz w:val="16"/>
          <w:szCs w:val="16"/>
        </w:rPr>
        <w:t>, 135 Ohio St.3d 191, 2013-Ohio-199, ¶ 21-22</w:t>
      </w:r>
      <w:r w:rsidRPr="00AB48B2">
        <w:rPr>
          <w:rFonts w:asciiTheme="minorHAnsi" w:hAnsiTheme="minorHAnsi" w:cstheme="minorHAnsi"/>
          <w:i/>
          <w:sz w:val="16"/>
          <w:szCs w:val="16"/>
        </w:rPr>
        <w:t>.  But see</w:t>
      </w:r>
      <w:r w:rsidRPr="00AB48B2">
        <w:rPr>
          <w:rFonts w:asciiTheme="minorHAnsi" w:hAnsiTheme="minorHAnsi" w:cstheme="minorHAnsi"/>
          <w:sz w:val="16"/>
          <w:szCs w:val="16"/>
        </w:rPr>
        <w:t xml:space="preserve"> </w:t>
      </w:r>
      <w:hyperlink r:id="rId1042" w:history="1">
        <w:r w:rsidRPr="00AB48B2">
          <w:rPr>
            <w:rStyle w:val="Hyperlink"/>
            <w:rFonts w:asciiTheme="minorHAnsi" w:hAnsiTheme="minorHAnsi" w:cstheme="minorHAnsi"/>
            <w:i/>
            <w:sz w:val="16"/>
            <w:szCs w:val="16"/>
          </w:rPr>
          <w:t>State ex rel. Plunderbund v. Born</w:t>
        </w:r>
      </w:hyperlink>
      <w:r w:rsidRPr="00AB48B2">
        <w:rPr>
          <w:rFonts w:asciiTheme="minorHAnsi" w:hAnsiTheme="minorHAnsi" w:cstheme="minorHAnsi"/>
          <w:sz w:val="16"/>
          <w:szCs w:val="16"/>
        </w:rPr>
        <w:t>, 141 Ohio St.3d 422,</w:t>
      </w:r>
      <w:r w:rsidR="004D06FD">
        <w:rPr>
          <w:rFonts w:asciiTheme="minorHAnsi" w:hAnsiTheme="minorHAnsi" w:cstheme="minorHAnsi"/>
          <w:sz w:val="16"/>
          <w:szCs w:val="16"/>
        </w:rPr>
        <w:t xml:space="preserve"> </w:t>
      </w:r>
      <w:r w:rsidRPr="00AB48B2">
        <w:rPr>
          <w:rFonts w:asciiTheme="minorHAnsi" w:hAnsiTheme="minorHAnsi" w:cstheme="minorHAnsi"/>
          <w:sz w:val="16"/>
          <w:szCs w:val="16"/>
        </w:rPr>
        <w:t xml:space="preserve">2014-Ohio-3679, ¶ 29-31 (denying motion to submit documents </w:t>
      </w:r>
      <w:r w:rsidRPr="00AB48B2">
        <w:rPr>
          <w:rFonts w:asciiTheme="minorHAnsi" w:hAnsiTheme="minorHAnsi" w:cstheme="minorHAnsi"/>
          <w:i/>
          <w:sz w:val="16"/>
          <w:szCs w:val="16"/>
        </w:rPr>
        <w:t>in camera</w:t>
      </w:r>
      <w:r w:rsidRPr="00AB48B2">
        <w:rPr>
          <w:rFonts w:asciiTheme="minorHAnsi" w:hAnsiTheme="minorHAnsi" w:cstheme="minorHAnsi"/>
          <w:sz w:val="16"/>
          <w:szCs w:val="16"/>
        </w:rPr>
        <w:t xml:space="preserve"> when respondents showed that all withheld documents were “security records” under R.C. 149.433).</w:t>
      </w:r>
    </w:p>
  </w:endnote>
  <w:endnote w:id="794">
    <w:p w14:paraId="3F475A02" w14:textId="5EFA5F6F" w:rsidR="002F23BE" w:rsidRPr="00BB1631" w:rsidRDefault="002F23BE" w:rsidP="00BB1631">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43" w:history="1">
        <w:r w:rsidRPr="00BB1631">
          <w:rPr>
            <w:rStyle w:val="Hyperlink"/>
            <w:rFonts w:asciiTheme="minorHAnsi" w:hAnsiTheme="minorHAnsi" w:cstheme="minorHAnsi"/>
            <w:i/>
            <w:sz w:val="16"/>
            <w:szCs w:val="16"/>
          </w:rPr>
          <w:t xml:space="preserve">State ex rel. Bardwell v. Cuyahoga </w:t>
        </w:r>
        <w:r w:rsidRPr="00BB1631">
          <w:rPr>
            <w:rStyle w:val="Hyperlink"/>
            <w:rFonts w:asciiTheme="minorHAnsi" w:hAnsiTheme="minorHAnsi" w:cstheme="minorHAnsi"/>
            <w:i/>
            <w:sz w:val="16"/>
            <w:szCs w:val="16"/>
          </w:rPr>
          <w:t>Cty. Bd. of Commrs.</w:t>
        </w:r>
      </w:hyperlink>
      <w:r w:rsidRPr="00BB1631">
        <w:rPr>
          <w:rFonts w:asciiTheme="minorHAnsi" w:hAnsiTheme="minorHAnsi" w:cstheme="minorHAnsi"/>
          <w:sz w:val="16"/>
          <w:szCs w:val="16"/>
        </w:rPr>
        <w:t>, 127 Ohio St.3d 202, 2010-Ohio-5073, ¶ 10</w:t>
      </w:r>
      <w:r w:rsidR="00347F65" w:rsidRPr="00BB1631">
        <w:rPr>
          <w:rFonts w:asciiTheme="minorHAnsi" w:hAnsiTheme="minorHAnsi" w:cstheme="minorHAnsi"/>
          <w:sz w:val="16"/>
          <w:szCs w:val="16"/>
        </w:rPr>
        <w:t>.</w:t>
      </w:r>
    </w:p>
  </w:endnote>
  <w:endnote w:id="795">
    <w:p w14:paraId="623664AD" w14:textId="26C7AEA3"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4" w:history="1">
        <w:r w:rsidRPr="00BB1631">
          <w:rPr>
            <w:rStyle w:val="Hyperlink"/>
            <w:rFonts w:asciiTheme="minorHAnsi" w:hAnsiTheme="minorHAnsi" w:cstheme="minorHAnsi"/>
            <w:i/>
            <w:sz w:val="16"/>
            <w:szCs w:val="16"/>
          </w:rPr>
          <w:t>State ex rel. Pietrangelo v. Avon Lake</w:t>
        </w:r>
      </w:hyperlink>
      <w:r w:rsidRPr="00BB1631">
        <w:rPr>
          <w:rFonts w:asciiTheme="minorHAnsi" w:hAnsiTheme="minorHAnsi" w:cstheme="minorHAnsi"/>
          <w:sz w:val="16"/>
          <w:szCs w:val="16"/>
        </w:rPr>
        <w:t>, 149 Ohio St.3d 273, 2016-Ohio-5725, ¶ 15-22</w:t>
      </w:r>
      <w:r w:rsidR="007C6CD8" w:rsidRPr="00BB1631">
        <w:rPr>
          <w:rFonts w:asciiTheme="minorHAnsi" w:hAnsiTheme="minorHAnsi" w:cstheme="minorHAnsi"/>
          <w:sz w:val="16"/>
          <w:szCs w:val="16"/>
        </w:rPr>
        <w:t>.</w:t>
      </w:r>
    </w:p>
  </w:endnote>
  <w:endnote w:id="796">
    <w:p w14:paraId="5BC13B0E" w14:textId="799AF5FC"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5" w:history="1">
        <w:r w:rsidR="004D06FD" w:rsidRPr="00BB1631">
          <w:rPr>
            <w:rStyle w:val="Hyperlink"/>
            <w:rFonts w:asciiTheme="minorHAnsi" w:hAnsiTheme="minorHAnsi" w:cstheme="minorHAnsi"/>
            <w:sz w:val="16"/>
            <w:szCs w:val="16"/>
          </w:rPr>
          <w:t>R.C. 149.43(C)(2)</w:t>
        </w:r>
      </w:hyperlink>
      <w:r w:rsidRPr="00BB1631">
        <w:rPr>
          <w:rFonts w:asciiTheme="minorHAnsi" w:hAnsiTheme="minorHAnsi" w:cstheme="minorHAnsi"/>
          <w:sz w:val="16"/>
          <w:szCs w:val="16"/>
        </w:rPr>
        <w:t xml:space="preserve"> (statutory damages); </w:t>
      </w:r>
      <w:hyperlink r:id="rId1046" w:history="1">
        <w:r w:rsidRPr="00BB1631">
          <w:rPr>
            <w:rStyle w:val="Hyperlink"/>
            <w:rFonts w:asciiTheme="minorHAnsi" w:hAnsiTheme="minorHAnsi" w:cstheme="minorHAnsi"/>
            <w:sz w:val="16"/>
            <w:szCs w:val="16"/>
          </w:rPr>
          <w:t>R.C. 149.43(C)(3)(b)</w:t>
        </w:r>
      </w:hyperlink>
      <w:r w:rsidRPr="00BB1631">
        <w:rPr>
          <w:rFonts w:asciiTheme="minorHAnsi" w:hAnsiTheme="minorHAnsi" w:cstheme="minorHAnsi"/>
          <w:sz w:val="16"/>
          <w:szCs w:val="16"/>
        </w:rPr>
        <w:t xml:space="preserve">.  </w:t>
      </w:r>
    </w:p>
  </w:endnote>
  <w:endnote w:id="797">
    <w:p w14:paraId="1F036BBE" w14:textId="3055D447"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7" w:history="1">
        <w:r w:rsidRPr="00BB1631">
          <w:rPr>
            <w:rStyle w:val="Hyperlink"/>
            <w:rFonts w:asciiTheme="minorHAnsi" w:hAnsiTheme="minorHAnsi" w:cstheme="minorHAnsi"/>
            <w:i/>
            <w:sz w:val="16"/>
            <w:szCs w:val="16"/>
          </w:rPr>
          <w:t>State ex rel. Cincinnati Enquirer v. Ohio Dept. of Public Safety</w:t>
        </w:r>
      </w:hyperlink>
      <w:r w:rsidRPr="00BB1631">
        <w:rPr>
          <w:rFonts w:asciiTheme="minorHAnsi" w:hAnsiTheme="minorHAnsi" w:cstheme="minorHAnsi"/>
          <w:sz w:val="16"/>
          <w:szCs w:val="16"/>
        </w:rPr>
        <w:t>, 148 Ohio St.3d 433, 2016-Ohio-7987, ¶ 29-31</w:t>
      </w:r>
      <w:r w:rsidR="007C6CD8" w:rsidRPr="00BB1631">
        <w:rPr>
          <w:rFonts w:asciiTheme="minorHAnsi" w:hAnsiTheme="minorHAnsi" w:cstheme="minorHAnsi"/>
          <w:sz w:val="16"/>
          <w:szCs w:val="16"/>
        </w:rPr>
        <w:t>.</w:t>
      </w:r>
    </w:p>
  </w:endnote>
  <w:endnote w:id="798">
    <w:p w14:paraId="1B69AD82" w14:textId="7144B29F" w:rsidR="00BB1631" w:rsidRPr="00BB1631" w:rsidRDefault="00BB1631" w:rsidP="00BB1631">
      <w:pPr>
        <w:pStyle w:val="EndnoteText"/>
        <w:spacing w:line="160" w:lineRule="exact"/>
        <w:jc w:val="both"/>
        <w:rPr>
          <w:sz w:val="16"/>
          <w:szCs w:val="16"/>
        </w:rPr>
      </w:pPr>
      <w:r w:rsidRPr="00BB1631">
        <w:rPr>
          <w:rStyle w:val="EndnoteReference"/>
          <w:sz w:val="16"/>
          <w:szCs w:val="16"/>
        </w:rPr>
        <w:endnoteRef/>
      </w:r>
      <w:r w:rsidRPr="00BB1631">
        <w:rPr>
          <w:sz w:val="16"/>
          <w:szCs w:val="16"/>
        </w:rPr>
        <w:t xml:space="preserve"> </w:t>
      </w:r>
      <w:r w:rsidRPr="00BB1631">
        <w:rPr>
          <w:rFonts w:asciiTheme="minorHAnsi" w:hAnsiTheme="minorHAnsi" w:cstheme="minorHAnsi"/>
          <w:sz w:val="16"/>
          <w:szCs w:val="16"/>
        </w:rPr>
        <w:t xml:space="preserve">Public offices may still be liable for the content of public records they release, </w:t>
      </w:r>
      <w:r w:rsidRPr="00BB1631">
        <w:rPr>
          <w:rFonts w:asciiTheme="minorHAnsi" w:hAnsiTheme="minorHAnsi" w:cstheme="minorHAnsi"/>
          <w:i/>
          <w:sz w:val="16"/>
          <w:szCs w:val="16"/>
        </w:rPr>
        <w:t>e.g.</w:t>
      </w:r>
      <w:r w:rsidRPr="00BB1631">
        <w:rPr>
          <w:rFonts w:asciiTheme="minorHAnsi" w:hAnsiTheme="minorHAnsi" w:cstheme="minorHAnsi"/>
          <w:sz w:val="16"/>
          <w:szCs w:val="16"/>
        </w:rPr>
        <w:t xml:space="preserve">, in a defamation action against an office.  </w:t>
      </w:r>
      <w:r w:rsidRPr="00BB1631">
        <w:rPr>
          <w:rFonts w:asciiTheme="minorHAnsi" w:hAnsiTheme="minorHAnsi" w:cstheme="minorHAnsi"/>
          <w:i/>
          <w:sz w:val="16"/>
          <w:szCs w:val="16"/>
        </w:rPr>
        <w:t>See</w:t>
      </w:r>
      <w:r w:rsidRPr="00BB1631">
        <w:rPr>
          <w:rFonts w:asciiTheme="minorHAnsi" w:hAnsiTheme="minorHAnsi" w:cstheme="minorHAnsi"/>
          <w:sz w:val="16"/>
          <w:szCs w:val="16"/>
        </w:rPr>
        <w:t xml:space="preserve"> </w:t>
      </w:r>
      <w:hyperlink r:id="rId1048" w:history="1">
        <w:r w:rsidRPr="00BB1631">
          <w:rPr>
            <w:rStyle w:val="Hyperlink"/>
            <w:rFonts w:asciiTheme="minorHAnsi" w:hAnsiTheme="minorHAnsi" w:cstheme="minorHAnsi"/>
            <w:i/>
            <w:sz w:val="16"/>
            <w:szCs w:val="16"/>
          </w:rPr>
          <w:t>Mehta v. Ohio Univ.</w:t>
        </w:r>
      </w:hyperlink>
      <w:r w:rsidRPr="00BB1631">
        <w:rPr>
          <w:rFonts w:asciiTheme="minorHAnsi" w:hAnsiTheme="minorHAnsi" w:cstheme="minorHAnsi"/>
          <w:sz w:val="16"/>
          <w:szCs w:val="16"/>
        </w:rPr>
        <w:t>, 194 Ohio App.3d 844, 2011-Ohio-3484, ¶ 63 (10th Dist.) (“[T]here is no legal authority in Ohio providing for blanket immunity from defamation for any and all content included within a public record.”).</w:t>
      </w:r>
    </w:p>
  </w:endnote>
  <w:endnote w:id="799">
    <w:p w14:paraId="182357CB" w14:textId="516EE1E1" w:rsidR="002F23BE" w:rsidRPr="00BB1631" w:rsidRDefault="002F23BE" w:rsidP="00BB1631">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49" w:history="1">
        <w:r w:rsidRPr="00BB1631">
          <w:rPr>
            <w:rStyle w:val="Hyperlink"/>
            <w:rFonts w:asciiTheme="minorHAnsi" w:hAnsiTheme="minorHAnsi" w:cstheme="minorHAnsi"/>
            <w:sz w:val="16"/>
            <w:szCs w:val="16"/>
          </w:rPr>
          <w:t>R.C. 149.43(C)(3)(b)</w:t>
        </w:r>
      </w:hyperlink>
      <w:r w:rsidRPr="00BB1631">
        <w:rPr>
          <w:rFonts w:asciiTheme="minorHAnsi" w:hAnsiTheme="minorHAnsi" w:cstheme="minorHAnsi"/>
          <w:sz w:val="16"/>
          <w:szCs w:val="16"/>
        </w:rPr>
        <w:t xml:space="preserve"> (stating “the court may award” attorney fees). </w:t>
      </w:r>
    </w:p>
  </w:endnote>
  <w:endnote w:id="800">
    <w:p w14:paraId="74D72C17" w14:textId="32B8C441" w:rsidR="00F56211" w:rsidRPr="00BB1631" w:rsidRDefault="00F56211" w:rsidP="00B001F2">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50" w:history="1">
        <w:r w:rsidR="007C6CD8" w:rsidRPr="00BB1631">
          <w:rPr>
            <w:rStyle w:val="Hyperlink"/>
            <w:rFonts w:asciiTheme="minorHAnsi" w:hAnsiTheme="minorHAnsi" w:cstheme="minorHAnsi"/>
            <w:sz w:val="16"/>
            <w:szCs w:val="16"/>
          </w:rPr>
          <w:t>R.C. 149.43(C)(3)(b)</w:t>
        </w:r>
      </w:hyperlink>
      <w:r w:rsidR="004D06FD" w:rsidRPr="00BB1631">
        <w:rPr>
          <w:rStyle w:val="Hyperlink"/>
          <w:rFonts w:asciiTheme="minorHAnsi" w:hAnsiTheme="minorHAnsi" w:cstheme="minorHAnsi"/>
          <w:sz w:val="16"/>
          <w:szCs w:val="16"/>
        </w:rPr>
        <w:t>.</w:t>
      </w:r>
    </w:p>
  </w:endnote>
  <w:endnote w:id="801">
    <w:p w14:paraId="1EEBD187" w14:textId="458A7BCF" w:rsidR="002F23BE" w:rsidRPr="00BB1631" w:rsidRDefault="002F23BE" w:rsidP="00B001F2">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51" w:history="1">
        <w:r w:rsidRPr="00BB1631">
          <w:rPr>
            <w:rStyle w:val="Hyperlink"/>
            <w:rFonts w:asciiTheme="minorHAnsi" w:hAnsiTheme="minorHAnsi" w:cstheme="minorHAnsi"/>
            <w:sz w:val="16"/>
            <w:szCs w:val="16"/>
          </w:rPr>
          <w:t>R.C. 149.43(C)(3)(b)(</w:t>
        </w:r>
        <w:r w:rsidRPr="00BB1631">
          <w:rPr>
            <w:rStyle w:val="Hyperlink"/>
            <w:rFonts w:asciiTheme="minorHAnsi" w:hAnsiTheme="minorHAnsi" w:cstheme="minorHAnsi"/>
            <w:sz w:val="16"/>
            <w:szCs w:val="16"/>
          </w:rPr>
          <w:t>i)</w:t>
        </w:r>
      </w:hyperlink>
      <w:r w:rsidRPr="00BB1631">
        <w:rPr>
          <w:rFonts w:asciiTheme="minorHAnsi" w:hAnsiTheme="minorHAnsi" w:cstheme="minorHAnsi"/>
          <w:sz w:val="16"/>
          <w:szCs w:val="16"/>
        </w:rPr>
        <w:t xml:space="preserve">; </w:t>
      </w:r>
      <w:hyperlink r:id="rId1052" w:history="1">
        <w:r w:rsidRPr="00BB1631">
          <w:rPr>
            <w:rStyle w:val="Hyperlink"/>
            <w:rFonts w:asciiTheme="minorHAnsi" w:hAnsiTheme="minorHAnsi" w:cstheme="minorHAnsi"/>
            <w:i/>
            <w:sz w:val="16"/>
            <w:szCs w:val="16"/>
          </w:rPr>
          <w:t>State ex rel. Caster v. Columbus</w:t>
        </w:r>
      </w:hyperlink>
      <w:r w:rsidRPr="00BB1631">
        <w:rPr>
          <w:rFonts w:asciiTheme="minorHAnsi" w:hAnsiTheme="minorHAnsi" w:cstheme="minorHAnsi"/>
          <w:sz w:val="16"/>
          <w:szCs w:val="16"/>
        </w:rPr>
        <w:t xml:space="preserve">, 151 Ohio St.3d 425, 2016-Ohio-8394, ¶ 49-51 (awarding attorney fees because public office failed to respond to request); </w:t>
      </w:r>
      <w:hyperlink r:id="rId1053" w:history="1">
        <w:r w:rsidR="003B5A06" w:rsidRPr="00BB1631">
          <w:rPr>
            <w:rStyle w:val="Hyperlink"/>
            <w:rFonts w:asciiTheme="minorHAnsi" w:hAnsiTheme="minorHAnsi" w:cstheme="minorHAnsi"/>
            <w:i/>
            <w:sz w:val="16"/>
            <w:szCs w:val="16"/>
          </w:rPr>
          <w:t>Cleveland Assn. of Rescue Employees/ILA Local 1975 v. City of Cleveland</w:t>
        </w:r>
      </w:hyperlink>
      <w:r w:rsidR="003B5A06" w:rsidRPr="00BB1631">
        <w:rPr>
          <w:rFonts w:asciiTheme="minorHAnsi" w:hAnsiTheme="minorHAnsi" w:cstheme="minorHAnsi"/>
          <w:sz w:val="16"/>
          <w:szCs w:val="16"/>
        </w:rPr>
        <w:t xml:space="preserve">, </w:t>
      </w:r>
      <w:r w:rsidR="00367F58" w:rsidRPr="00BB1631">
        <w:rPr>
          <w:rFonts w:asciiTheme="minorHAnsi" w:hAnsiTheme="minorHAnsi" w:cstheme="minorHAnsi"/>
          <w:sz w:val="16"/>
          <w:szCs w:val="16"/>
        </w:rPr>
        <w:t xml:space="preserve">8th Dist. Cuyahoga No. 106783, </w:t>
      </w:r>
      <w:r w:rsidRPr="00BB1631">
        <w:rPr>
          <w:rFonts w:asciiTheme="minorHAnsi" w:hAnsiTheme="minorHAnsi" w:cstheme="minorHAnsi"/>
          <w:sz w:val="16"/>
          <w:szCs w:val="16"/>
        </w:rPr>
        <w:t>2018-Ohio-4602</w:t>
      </w:r>
      <w:r w:rsidR="007C6CD8" w:rsidRPr="00BB1631">
        <w:rPr>
          <w:rFonts w:asciiTheme="minorHAnsi" w:hAnsiTheme="minorHAnsi" w:cstheme="minorHAnsi"/>
          <w:sz w:val="16"/>
          <w:szCs w:val="16"/>
        </w:rPr>
        <w:t>,</w:t>
      </w:r>
      <w:r w:rsidRPr="00BB1631">
        <w:rPr>
          <w:rFonts w:asciiTheme="minorHAnsi" w:hAnsiTheme="minorHAnsi" w:cstheme="minorHAnsi"/>
          <w:sz w:val="16"/>
          <w:szCs w:val="16"/>
        </w:rPr>
        <w:t xml:space="preserve"> ¶ 4, 19</w:t>
      </w:r>
      <w:r w:rsidR="007C6CD8" w:rsidRPr="00BB1631">
        <w:rPr>
          <w:rFonts w:asciiTheme="minorHAnsi" w:hAnsiTheme="minorHAnsi" w:cstheme="minorHAnsi"/>
          <w:sz w:val="16"/>
          <w:szCs w:val="16"/>
        </w:rPr>
        <w:t xml:space="preserve"> </w:t>
      </w:r>
      <w:r w:rsidRPr="00BB1631">
        <w:rPr>
          <w:rFonts w:asciiTheme="minorHAnsi" w:hAnsiTheme="minorHAnsi" w:cstheme="minorHAnsi"/>
          <w:sz w:val="16"/>
          <w:szCs w:val="16"/>
        </w:rPr>
        <w:t>(awarding attorney fees because request went unanswered until mandamus action was filed, and the public office’s two-month delay in responding to part of the request and a five-month delay to answer the entire request were unreasonable).</w:t>
      </w:r>
    </w:p>
  </w:endnote>
  <w:endnote w:id="802">
    <w:p w14:paraId="57D1E628" w14:textId="3789B390" w:rsidR="002F23BE" w:rsidRPr="00AB48B2" w:rsidRDefault="002F23BE" w:rsidP="00B001F2">
      <w:pPr>
        <w:pStyle w:val="EndnoteText"/>
        <w:spacing w:line="160" w:lineRule="exact"/>
        <w:jc w:val="both"/>
        <w:rPr>
          <w:rFonts w:asciiTheme="minorHAnsi" w:hAnsiTheme="minorHAnsi" w:cstheme="minorHAnsi"/>
          <w:sz w:val="16"/>
          <w:szCs w:val="16"/>
        </w:rPr>
      </w:pPr>
      <w:r w:rsidRPr="00BB1631">
        <w:rPr>
          <w:rStyle w:val="EndnoteReference"/>
          <w:rFonts w:asciiTheme="minorHAnsi" w:hAnsiTheme="minorHAnsi" w:cstheme="minorHAnsi"/>
          <w:sz w:val="16"/>
          <w:szCs w:val="16"/>
        </w:rPr>
        <w:endnoteRef/>
      </w:r>
      <w:r w:rsidRPr="00BB1631">
        <w:rPr>
          <w:rFonts w:asciiTheme="minorHAnsi" w:hAnsiTheme="minorHAnsi" w:cstheme="minorHAnsi"/>
          <w:sz w:val="16"/>
          <w:szCs w:val="16"/>
        </w:rPr>
        <w:t xml:space="preserve"> </w:t>
      </w:r>
      <w:hyperlink r:id="rId1054" w:history="1">
        <w:r w:rsidRPr="00BB1631">
          <w:rPr>
            <w:rStyle w:val="Hyperlink"/>
            <w:rFonts w:asciiTheme="minorHAnsi" w:hAnsiTheme="minorHAnsi" w:cstheme="minorHAnsi"/>
            <w:sz w:val="16"/>
            <w:szCs w:val="16"/>
          </w:rPr>
          <w:t>R.C. 149.43(C)(3)(b)(ii)</w:t>
        </w:r>
      </w:hyperlink>
      <w:r w:rsidRPr="00BB1631">
        <w:rPr>
          <w:rFonts w:asciiTheme="minorHAnsi" w:hAnsiTheme="minorHAnsi" w:cstheme="minorHAnsi"/>
          <w:sz w:val="16"/>
          <w:szCs w:val="16"/>
        </w:rPr>
        <w:t>.</w:t>
      </w:r>
    </w:p>
  </w:endnote>
  <w:endnote w:id="803">
    <w:p w14:paraId="2A777CA0" w14:textId="5840F0B2"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55" w:history="1">
        <w:r w:rsidRPr="00AB48B2">
          <w:rPr>
            <w:rStyle w:val="Hyperlink"/>
            <w:rFonts w:asciiTheme="minorHAnsi" w:hAnsiTheme="minorHAnsi" w:cstheme="minorHAnsi"/>
            <w:sz w:val="16"/>
            <w:szCs w:val="16"/>
          </w:rPr>
          <w:t>R.C. 149.43(C)(3)(b)(iii)</w:t>
        </w:r>
      </w:hyperlink>
      <w:r w:rsidRPr="00AB48B2">
        <w:rPr>
          <w:rFonts w:asciiTheme="minorHAnsi" w:hAnsiTheme="minorHAnsi" w:cstheme="minorHAnsi"/>
          <w:sz w:val="16"/>
          <w:szCs w:val="16"/>
        </w:rPr>
        <w:t>.</w:t>
      </w:r>
    </w:p>
  </w:endnote>
  <w:endnote w:id="804">
    <w:p w14:paraId="7FB9E9FD" w14:textId="49D1C029" w:rsidR="002F23BE" w:rsidRPr="004B3626" w:rsidRDefault="002F23BE" w:rsidP="00B001F2">
      <w:pPr>
        <w:pStyle w:val="EndnoteText"/>
        <w:spacing w:line="160" w:lineRule="exact"/>
        <w:jc w:val="both"/>
        <w:rPr>
          <w:rFonts w:asciiTheme="minorHAnsi" w:hAnsiTheme="minorHAnsi" w:cstheme="minorHAnsi"/>
          <w:sz w:val="16"/>
          <w:szCs w:val="16"/>
        </w:rPr>
      </w:pPr>
      <w:r w:rsidRPr="004B3626">
        <w:rPr>
          <w:rStyle w:val="EndnoteReference"/>
          <w:rFonts w:asciiTheme="minorHAnsi" w:hAnsiTheme="minorHAnsi" w:cstheme="minorHAnsi"/>
          <w:sz w:val="16"/>
          <w:szCs w:val="16"/>
        </w:rPr>
        <w:endnoteRef/>
      </w:r>
      <w:r w:rsidRPr="004B3626">
        <w:rPr>
          <w:rFonts w:asciiTheme="minorHAnsi" w:hAnsiTheme="minorHAnsi" w:cstheme="minorHAnsi"/>
          <w:sz w:val="16"/>
          <w:szCs w:val="16"/>
        </w:rPr>
        <w:t xml:space="preserve"> </w:t>
      </w:r>
      <w:hyperlink r:id="rId1056" w:history="1">
        <w:r w:rsidRPr="004B3626">
          <w:rPr>
            <w:rStyle w:val="Hyperlink"/>
            <w:rFonts w:asciiTheme="minorHAnsi" w:hAnsiTheme="minorHAnsi" w:cstheme="minorHAnsi"/>
            <w:sz w:val="16"/>
            <w:szCs w:val="16"/>
          </w:rPr>
          <w:t>R.C. 149.43(C)(3)(b)(iii)</w:t>
        </w:r>
      </w:hyperlink>
      <w:r w:rsidRPr="004B3626">
        <w:rPr>
          <w:rFonts w:asciiTheme="minorHAnsi" w:hAnsiTheme="minorHAnsi" w:cstheme="minorHAnsi"/>
          <w:sz w:val="16"/>
          <w:szCs w:val="16"/>
        </w:rPr>
        <w:t>.</w:t>
      </w:r>
    </w:p>
  </w:endnote>
  <w:endnote w:id="805">
    <w:p w14:paraId="1D639E49" w14:textId="77777777" w:rsidR="002B2620" w:rsidRPr="004B3626" w:rsidRDefault="002B2620" w:rsidP="00B001F2">
      <w:pPr>
        <w:pStyle w:val="EndnoteText"/>
        <w:spacing w:line="160" w:lineRule="exact"/>
        <w:jc w:val="both"/>
        <w:rPr>
          <w:rFonts w:asciiTheme="minorHAnsi" w:hAnsiTheme="minorHAnsi" w:cstheme="minorHAnsi"/>
          <w:sz w:val="16"/>
          <w:szCs w:val="16"/>
        </w:rPr>
      </w:pPr>
      <w:r w:rsidRPr="004B3626">
        <w:rPr>
          <w:rStyle w:val="EndnoteReference"/>
          <w:rFonts w:asciiTheme="minorHAnsi" w:hAnsiTheme="minorHAnsi" w:cstheme="minorHAnsi"/>
          <w:sz w:val="16"/>
          <w:szCs w:val="16"/>
        </w:rPr>
        <w:endnoteRef/>
      </w:r>
      <w:r w:rsidRPr="004B3626">
        <w:rPr>
          <w:rFonts w:asciiTheme="minorHAnsi" w:hAnsiTheme="minorHAnsi" w:cstheme="minorHAnsi"/>
          <w:sz w:val="16"/>
          <w:szCs w:val="16"/>
        </w:rPr>
        <w:t xml:space="preserve"> </w:t>
      </w:r>
      <w:hyperlink r:id="rId1057" w:history="1">
        <w:r w:rsidRPr="004B3626">
          <w:rPr>
            <w:rStyle w:val="Hyperlink"/>
            <w:rFonts w:asciiTheme="minorHAnsi" w:hAnsiTheme="minorHAnsi" w:cstheme="minorHAnsi"/>
            <w:sz w:val="16"/>
            <w:szCs w:val="16"/>
          </w:rPr>
          <w:t>R.C. 149.43(C)(4)(a)</w:t>
        </w:r>
      </w:hyperlink>
      <w:r w:rsidRPr="004B3626">
        <w:rPr>
          <w:rFonts w:asciiTheme="minorHAnsi" w:hAnsiTheme="minorHAnsi" w:cstheme="minorHAnsi"/>
          <w:sz w:val="16"/>
          <w:szCs w:val="16"/>
        </w:rPr>
        <w:t xml:space="preserve">; </w:t>
      </w:r>
      <w:hyperlink r:id="rId1058" w:history="1">
        <w:r w:rsidRPr="004B3626">
          <w:rPr>
            <w:rStyle w:val="Hyperlink"/>
            <w:rFonts w:asciiTheme="minorHAnsi" w:hAnsiTheme="minorHAnsi" w:cstheme="minorHAnsi"/>
            <w:sz w:val="16"/>
            <w:szCs w:val="16"/>
          </w:rPr>
          <w:t>R.C. 149.43(C)(3)(a)(</w:t>
        </w:r>
        <w:r w:rsidRPr="004B3626">
          <w:rPr>
            <w:rStyle w:val="Hyperlink"/>
            <w:rFonts w:asciiTheme="minorHAnsi" w:hAnsiTheme="minorHAnsi" w:cstheme="minorHAnsi"/>
            <w:sz w:val="16"/>
            <w:szCs w:val="16"/>
          </w:rPr>
          <w:t>i)</w:t>
        </w:r>
      </w:hyperlink>
      <w:r w:rsidRPr="004B3626">
        <w:rPr>
          <w:rFonts w:asciiTheme="minorHAnsi" w:hAnsiTheme="minorHAnsi" w:cstheme="minorHAnsi"/>
          <w:sz w:val="16"/>
          <w:szCs w:val="16"/>
        </w:rPr>
        <w:t>.</w:t>
      </w:r>
    </w:p>
  </w:endnote>
  <w:endnote w:id="806">
    <w:p w14:paraId="477FBA06" w14:textId="2B2AE5B7" w:rsidR="00434F09" w:rsidRPr="004B3626" w:rsidRDefault="00434F09" w:rsidP="00B001F2">
      <w:pPr>
        <w:pStyle w:val="EndnoteText"/>
        <w:spacing w:line="160" w:lineRule="exact"/>
        <w:jc w:val="both"/>
        <w:rPr>
          <w:sz w:val="16"/>
          <w:szCs w:val="16"/>
        </w:rPr>
      </w:pPr>
      <w:r w:rsidRPr="004B3626">
        <w:rPr>
          <w:rStyle w:val="EndnoteReference"/>
          <w:sz w:val="16"/>
          <w:szCs w:val="16"/>
        </w:rPr>
        <w:endnoteRef/>
      </w:r>
      <w:r w:rsidRPr="004B3626">
        <w:rPr>
          <w:sz w:val="16"/>
          <w:szCs w:val="16"/>
        </w:rPr>
        <w:t xml:space="preserve"> </w:t>
      </w:r>
      <w:hyperlink r:id="rId1059" w:history="1">
        <w:r w:rsidRPr="004B3626">
          <w:rPr>
            <w:rStyle w:val="Hyperlink"/>
            <w:i/>
            <w:iCs/>
            <w:sz w:val="16"/>
            <w:szCs w:val="16"/>
            <w:bdr w:val="none" w:sz="0" w:space="0" w:color="auto" w:frame="1"/>
            <w:shd w:val="clear" w:color="auto" w:fill="FFFFFF"/>
          </w:rPr>
          <w:t>State ex rel. Pool v. City of Sheffield Lake</w:t>
        </w:r>
      </w:hyperlink>
      <w:r w:rsidRPr="004B3626">
        <w:rPr>
          <w:color w:val="000000"/>
          <w:sz w:val="16"/>
          <w:szCs w:val="16"/>
          <w:bdr w:val="none" w:sz="0" w:space="0" w:color="auto" w:frame="1"/>
          <w:shd w:val="clear" w:color="auto" w:fill="FFFFFF"/>
        </w:rPr>
        <w:t xml:space="preserve">, 172 Ohio St.3d 453, 2023-Ohio-1204, </w:t>
      </w:r>
      <w:r w:rsidRPr="004B3626">
        <w:rPr>
          <w:rFonts w:asciiTheme="minorHAnsi" w:hAnsiTheme="minorHAnsi" w:cstheme="minorHAnsi"/>
          <w:sz w:val="16"/>
          <w:szCs w:val="16"/>
        </w:rPr>
        <w:t xml:space="preserve">¶ </w:t>
      </w:r>
      <w:r w:rsidRPr="004B3626">
        <w:rPr>
          <w:sz w:val="16"/>
          <w:szCs w:val="16"/>
        </w:rPr>
        <w:t xml:space="preserve">31-32 (declining to award fees </w:t>
      </w:r>
      <w:r w:rsidR="00602B77">
        <w:rPr>
          <w:sz w:val="16"/>
          <w:szCs w:val="16"/>
        </w:rPr>
        <w:t>claimed for</w:t>
      </w:r>
      <w:r w:rsidRPr="004B3626">
        <w:rPr>
          <w:sz w:val="16"/>
          <w:szCs w:val="16"/>
        </w:rPr>
        <w:t xml:space="preserve"> the public office’s three-day delay in making a supplemental production of records because “any harm or inconvenience [the requester] suffered…presumably represents a small fraction of the total fees and expenses he</w:t>
      </w:r>
      <w:r w:rsidR="004B3626">
        <w:rPr>
          <w:sz w:val="16"/>
          <w:szCs w:val="16"/>
        </w:rPr>
        <w:t xml:space="preserve"> </w:t>
      </w:r>
      <w:r w:rsidRPr="004B3626">
        <w:rPr>
          <w:sz w:val="16"/>
          <w:szCs w:val="16"/>
        </w:rPr>
        <w:t xml:space="preserve">incurred throughout this litigation” and would be disproportionate); </w:t>
      </w:r>
      <w:hyperlink r:id="rId1060" w:history="1">
        <w:r w:rsidRPr="004B3626">
          <w:rPr>
            <w:rStyle w:val="Hyperlink"/>
            <w:rFonts w:asciiTheme="minorHAnsi" w:hAnsiTheme="minorHAnsi" w:cstheme="minorHAnsi"/>
            <w:i/>
            <w:iCs/>
            <w:sz w:val="16"/>
            <w:szCs w:val="16"/>
          </w:rPr>
          <w:t>State ex rel. Gilreath v. Cuyahoga Job &amp; Family Servs</w:t>
        </w:r>
        <w:r w:rsidRPr="004B3626">
          <w:rPr>
            <w:rStyle w:val="Hyperlink"/>
            <w:rFonts w:asciiTheme="minorHAnsi" w:hAnsiTheme="minorHAnsi" w:cstheme="minorHAnsi"/>
            <w:sz w:val="16"/>
            <w:szCs w:val="16"/>
          </w:rPr>
          <w:t>.</w:t>
        </w:r>
      </w:hyperlink>
      <w:r w:rsidRPr="004B3626">
        <w:rPr>
          <w:rFonts w:asciiTheme="minorHAnsi" w:hAnsiTheme="minorHAnsi" w:cstheme="minorHAnsi"/>
          <w:sz w:val="16"/>
          <w:szCs w:val="16"/>
        </w:rPr>
        <w:t xml:space="preserve">, S. Ct. No, 2022-0824, 2024-Ohio-103, ¶ </w:t>
      </w:r>
      <w:r w:rsidR="004B3626" w:rsidRPr="004B3626">
        <w:rPr>
          <w:rFonts w:asciiTheme="minorHAnsi" w:hAnsiTheme="minorHAnsi" w:cstheme="minorHAnsi"/>
          <w:sz w:val="16"/>
          <w:szCs w:val="16"/>
        </w:rPr>
        <w:t>50</w:t>
      </w:r>
      <w:r w:rsidR="002B2620" w:rsidRPr="004B3626">
        <w:rPr>
          <w:rFonts w:asciiTheme="minorHAnsi" w:hAnsiTheme="minorHAnsi" w:cstheme="minorHAnsi"/>
          <w:sz w:val="16"/>
          <w:szCs w:val="16"/>
        </w:rPr>
        <w:t xml:space="preserve"> (</w:t>
      </w:r>
      <w:r w:rsidR="004B3626" w:rsidRPr="004B3626">
        <w:rPr>
          <w:rFonts w:asciiTheme="minorHAnsi" w:hAnsiTheme="minorHAnsi" w:cstheme="minorHAnsi"/>
          <w:sz w:val="16"/>
          <w:szCs w:val="16"/>
        </w:rPr>
        <w:t>declining to award fees because, even after the public office produced all responsive records and informed requester that it had no additional records, requester “</w:t>
      </w:r>
      <w:r w:rsidR="002B2620" w:rsidRPr="004B3626">
        <w:rPr>
          <w:rFonts w:asciiTheme="minorHAnsi" w:hAnsiTheme="minorHAnsi" w:cstheme="minorHAnsi"/>
          <w:sz w:val="16"/>
          <w:szCs w:val="16"/>
        </w:rPr>
        <w:t>proceeded to conduct extensive discovery in the case</w:t>
      </w:r>
      <w:r w:rsidR="004B3626">
        <w:rPr>
          <w:sz w:val="16"/>
          <w:szCs w:val="16"/>
        </w:rPr>
        <w:t xml:space="preserve"> </w:t>
      </w:r>
      <w:r w:rsidR="002B2620" w:rsidRPr="004B3626">
        <w:rPr>
          <w:rFonts w:asciiTheme="minorHAnsi" w:hAnsiTheme="minorHAnsi" w:cstheme="minorHAnsi"/>
          <w:sz w:val="16"/>
          <w:szCs w:val="16"/>
        </w:rPr>
        <w:t>by propounding numerous interrogatories, requests for</w:t>
      </w:r>
      <w:r w:rsidR="004B3626" w:rsidRPr="004B3626">
        <w:rPr>
          <w:rFonts w:asciiTheme="minorHAnsi" w:hAnsiTheme="minorHAnsi" w:cstheme="minorHAnsi"/>
          <w:sz w:val="16"/>
          <w:szCs w:val="16"/>
        </w:rPr>
        <w:t xml:space="preserve"> </w:t>
      </w:r>
      <w:r w:rsidR="002B2620" w:rsidRPr="004B3626">
        <w:rPr>
          <w:rFonts w:asciiTheme="minorHAnsi" w:hAnsiTheme="minorHAnsi" w:cstheme="minorHAnsi"/>
          <w:sz w:val="16"/>
          <w:szCs w:val="16"/>
        </w:rPr>
        <w:t>admissions, and requests for production of documents</w:t>
      </w:r>
      <w:r w:rsidR="004B3626" w:rsidRPr="004B3626">
        <w:rPr>
          <w:rFonts w:asciiTheme="minorHAnsi" w:hAnsiTheme="minorHAnsi" w:cstheme="minorHAnsi"/>
          <w:sz w:val="16"/>
          <w:szCs w:val="16"/>
        </w:rPr>
        <w:t xml:space="preserve"> </w:t>
      </w:r>
      <w:r w:rsidR="002B2620" w:rsidRPr="004B3626">
        <w:rPr>
          <w:rFonts w:asciiTheme="minorHAnsi" w:hAnsiTheme="minorHAnsi" w:cstheme="minorHAnsi"/>
          <w:sz w:val="16"/>
          <w:szCs w:val="16"/>
        </w:rPr>
        <w:t xml:space="preserve">and by deposing three </w:t>
      </w:r>
      <w:r w:rsidR="004B3626" w:rsidRPr="004B3626">
        <w:rPr>
          <w:rFonts w:asciiTheme="minorHAnsi" w:hAnsiTheme="minorHAnsi" w:cstheme="minorHAnsi"/>
          <w:sz w:val="16"/>
          <w:szCs w:val="16"/>
        </w:rPr>
        <w:t>[public office]</w:t>
      </w:r>
      <w:r w:rsidR="002B2620" w:rsidRPr="004B3626">
        <w:rPr>
          <w:rFonts w:asciiTheme="minorHAnsi" w:hAnsiTheme="minorHAnsi" w:cstheme="minorHAnsi"/>
          <w:sz w:val="16"/>
          <w:szCs w:val="16"/>
        </w:rPr>
        <w:t xml:space="preserve"> employees</w:t>
      </w:r>
      <w:r w:rsidR="004B3626" w:rsidRPr="004B3626">
        <w:rPr>
          <w:rFonts w:asciiTheme="minorHAnsi" w:hAnsiTheme="minorHAnsi" w:cstheme="minorHAnsi"/>
          <w:sz w:val="16"/>
          <w:szCs w:val="16"/>
        </w:rPr>
        <w:t>”</w:t>
      </w:r>
      <w:r w:rsidR="002B2620" w:rsidRPr="004B3626">
        <w:rPr>
          <w:rFonts w:asciiTheme="minorHAnsi" w:hAnsiTheme="minorHAnsi" w:cstheme="minorHAnsi"/>
          <w:sz w:val="16"/>
          <w:szCs w:val="16"/>
        </w:rPr>
        <w:t>).</w:t>
      </w:r>
    </w:p>
  </w:endnote>
  <w:endnote w:id="807">
    <w:p w14:paraId="08664123"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1" w:history="1">
        <w:r w:rsidRPr="00AB48B2">
          <w:rPr>
            <w:rStyle w:val="Hyperlink"/>
            <w:rFonts w:asciiTheme="minorHAnsi" w:hAnsiTheme="minorHAnsi" w:cstheme="minorHAnsi"/>
            <w:sz w:val="16"/>
            <w:szCs w:val="16"/>
          </w:rPr>
          <w:t>R.C. 149.43(C)(4)(d)</w:t>
        </w:r>
      </w:hyperlink>
      <w:r w:rsidRPr="00AB48B2">
        <w:rPr>
          <w:rFonts w:asciiTheme="minorHAnsi" w:hAnsiTheme="minorHAnsi" w:cstheme="minorHAnsi"/>
          <w:sz w:val="16"/>
          <w:szCs w:val="16"/>
        </w:rPr>
        <w:t>.</w:t>
      </w:r>
    </w:p>
  </w:endnote>
  <w:endnote w:id="808">
    <w:p w14:paraId="69F8F7EC" w14:textId="696BFE4A"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2" w:history="1">
        <w:r w:rsidRPr="00AB48B2">
          <w:rPr>
            <w:rStyle w:val="Hyperlink"/>
            <w:rFonts w:asciiTheme="minorHAnsi" w:hAnsiTheme="minorHAnsi" w:cstheme="minorHAnsi"/>
            <w:i/>
            <w:sz w:val="16"/>
            <w:szCs w:val="16"/>
          </w:rPr>
          <w:t>State ex rel. Gannett Satellite Information Network v. Petro</w:t>
        </w:r>
      </w:hyperlink>
      <w:r w:rsidRPr="00AB48B2">
        <w:rPr>
          <w:rFonts w:asciiTheme="minorHAnsi" w:hAnsiTheme="minorHAnsi" w:cstheme="minorHAnsi"/>
          <w:sz w:val="16"/>
          <w:szCs w:val="16"/>
        </w:rPr>
        <w:t xml:space="preserve">, 81 Ohio St.3d 1234, 1236 (1998) (determining that fees incurred as a result of other efforts to obtain the same records were not related to the mandamus action and were excluded from the award); </w:t>
      </w:r>
      <w:hyperlink r:id="rId1063" w:history="1">
        <w:r w:rsidRPr="00AB48B2">
          <w:rPr>
            <w:rStyle w:val="Hyperlink"/>
            <w:rFonts w:asciiTheme="minorHAnsi" w:hAnsiTheme="minorHAnsi" w:cstheme="minorHAnsi"/>
            <w:i/>
            <w:sz w:val="16"/>
            <w:szCs w:val="16"/>
          </w:rPr>
          <w:t xml:space="preserve">State ex rel. </w:t>
        </w:r>
        <w:r w:rsidRPr="00AB48B2">
          <w:rPr>
            <w:rStyle w:val="Hyperlink"/>
            <w:rFonts w:asciiTheme="minorHAnsi" w:hAnsiTheme="minorHAnsi" w:cstheme="minorHAnsi"/>
            <w:i/>
            <w:sz w:val="16"/>
            <w:szCs w:val="16"/>
          </w:rPr>
          <w:t>Quolke v. Strongsville City School Dist. Bd. of Edn.</w:t>
        </w:r>
      </w:hyperlink>
      <w:r w:rsidRPr="00AB48B2">
        <w:rPr>
          <w:rFonts w:asciiTheme="minorHAnsi" w:hAnsiTheme="minorHAnsi" w:cstheme="minorHAnsi"/>
          <w:sz w:val="16"/>
          <w:szCs w:val="16"/>
        </w:rPr>
        <w:t>, 8th Dist. Cuyahoga No. 99733, 2013-Ohio-4481, ¶ 10-11 (reducing attorney fees award because counsel billed for time that did not advance public records case or was extraneous to the case).</w:t>
      </w:r>
    </w:p>
  </w:endnote>
  <w:endnote w:id="809">
    <w:p w14:paraId="36D2775B"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4" w:history="1">
        <w:r w:rsidRPr="00AB48B2">
          <w:rPr>
            <w:rStyle w:val="Hyperlink"/>
            <w:rFonts w:asciiTheme="minorHAnsi" w:hAnsiTheme="minorHAnsi" w:cstheme="minorHAnsi"/>
            <w:i/>
            <w:sz w:val="16"/>
            <w:szCs w:val="16"/>
          </w:rPr>
          <w:t>State ex rel. Cranford v. Cleveland</w:t>
        </w:r>
      </w:hyperlink>
      <w:r w:rsidRPr="00AB48B2">
        <w:rPr>
          <w:rFonts w:asciiTheme="minorHAnsi" w:hAnsiTheme="minorHAnsi" w:cstheme="minorHAnsi"/>
          <w:sz w:val="16"/>
          <w:szCs w:val="16"/>
        </w:rPr>
        <w:t>, 103 Ohio St.3d 196, 2004-Ohio-4884, ¶ 25 (denying relator attorney fees based on “meritless request”).</w:t>
      </w:r>
    </w:p>
  </w:endnote>
  <w:endnote w:id="810">
    <w:p w14:paraId="4339AE75"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5" w:history="1">
        <w:r w:rsidRPr="00AB48B2">
          <w:rPr>
            <w:rStyle w:val="Hyperlink"/>
            <w:rFonts w:asciiTheme="minorHAnsi" w:hAnsiTheme="minorHAnsi" w:cstheme="minorHAnsi"/>
            <w:sz w:val="16"/>
            <w:szCs w:val="16"/>
          </w:rPr>
          <w:t>R.C. 149.43(C)(4)(c)</w:t>
        </w:r>
      </w:hyperlink>
      <w:r w:rsidRPr="00AB48B2">
        <w:rPr>
          <w:rFonts w:asciiTheme="minorHAnsi" w:hAnsiTheme="minorHAnsi" w:cstheme="minorHAnsi"/>
          <w:sz w:val="16"/>
          <w:szCs w:val="16"/>
        </w:rPr>
        <w:t xml:space="preserve">; </w:t>
      </w:r>
      <w:hyperlink r:id="rId1066" w:history="1">
        <w:r w:rsidRPr="00AB48B2">
          <w:rPr>
            <w:rStyle w:val="Hyperlink"/>
            <w:rFonts w:asciiTheme="minorHAnsi" w:hAnsiTheme="minorHAnsi" w:cstheme="minorHAnsi"/>
            <w:i/>
            <w:sz w:val="16"/>
            <w:szCs w:val="16"/>
          </w:rPr>
          <w:t>State ex rel. Miller v. Brady</w:t>
        </w:r>
      </w:hyperlink>
      <w:r w:rsidRPr="00AB48B2">
        <w:rPr>
          <w:rFonts w:asciiTheme="minorHAnsi" w:hAnsiTheme="minorHAnsi" w:cstheme="minorHAnsi"/>
          <w:sz w:val="16"/>
          <w:szCs w:val="16"/>
        </w:rPr>
        <w:t>, 123 Ohio St.3d 255, 2009-Ohio-4942, ¶ 19.</w:t>
      </w:r>
    </w:p>
  </w:endnote>
  <w:endnote w:id="811">
    <w:p w14:paraId="16E69486"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7" w:history="1">
        <w:r w:rsidRPr="00AB48B2">
          <w:rPr>
            <w:rStyle w:val="Hyperlink"/>
            <w:rFonts w:asciiTheme="minorHAnsi" w:hAnsiTheme="minorHAnsi" w:cstheme="minorHAnsi"/>
            <w:sz w:val="16"/>
            <w:szCs w:val="16"/>
          </w:rPr>
          <w:t>R.C. 149.43(C)(4)(b), (c)</w:t>
        </w:r>
      </w:hyperlink>
      <w:r w:rsidRPr="00AB48B2">
        <w:rPr>
          <w:rFonts w:asciiTheme="minorHAnsi" w:hAnsiTheme="minorHAnsi" w:cstheme="minorHAnsi"/>
          <w:sz w:val="16"/>
          <w:szCs w:val="16"/>
        </w:rPr>
        <w:t>.</w:t>
      </w:r>
    </w:p>
  </w:endnote>
  <w:endnote w:id="812">
    <w:p w14:paraId="457E29F1"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68" w:history="1">
        <w:r w:rsidRPr="00AB48B2">
          <w:rPr>
            <w:rStyle w:val="Hyperlink"/>
            <w:rFonts w:asciiTheme="minorHAnsi" w:hAnsiTheme="minorHAnsi" w:cstheme="minorHAnsi"/>
            <w:sz w:val="16"/>
            <w:szCs w:val="16"/>
          </w:rPr>
          <w:t>R.C. 149.43(C)(3)(c)</w:t>
        </w:r>
      </w:hyperlink>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see</w:t>
      </w:r>
      <w:r w:rsidRPr="00AB48B2">
        <w:rPr>
          <w:rFonts w:asciiTheme="minorHAnsi" w:hAnsiTheme="minorHAnsi" w:cstheme="minorHAnsi"/>
          <w:sz w:val="16"/>
          <w:szCs w:val="16"/>
        </w:rPr>
        <w:t xml:space="preserve"> </w:t>
      </w:r>
      <w:hyperlink r:id="rId1069" w:history="1">
        <w:r w:rsidRPr="00AB48B2">
          <w:rPr>
            <w:rStyle w:val="Hyperlink"/>
            <w:rFonts w:asciiTheme="minorHAnsi" w:hAnsiTheme="minorHAnsi" w:cstheme="minorHAnsi"/>
            <w:i/>
            <w:sz w:val="16"/>
            <w:szCs w:val="16"/>
          </w:rPr>
          <w:t>State ex rel. Cincinnati Enquirer v. Ronan</w:t>
        </w:r>
      </w:hyperlink>
      <w:r w:rsidRPr="00AB48B2">
        <w:rPr>
          <w:rFonts w:asciiTheme="minorHAnsi" w:hAnsiTheme="minorHAnsi" w:cstheme="minorHAnsi"/>
          <w:sz w:val="16"/>
          <w:szCs w:val="16"/>
        </w:rPr>
        <w:t xml:space="preserve">, 127 Ohio St.3d 236, 2010-Ohio-5680, ¶ 17 (even if court had found denial of request contrary to statute, requester would not have been entitled to attorney fees because the public office’s conduct was reasonable); </w:t>
      </w:r>
      <w:hyperlink r:id="rId1070" w:history="1">
        <w:r w:rsidRPr="00AB48B2">
          <w:rPr>
            <w:rStyle w:val="Hyperlink"/>
            <w:rFonts w:asciiTheme="minorHAnsi" w:hAnsiTheme="minorHAnsi" w:cstheme="minorHAnsi"/>
            <w:i/>
            <w:sz w:val="16"/>
            <w:szCs w:val="16"/>
          </w:rPr>
          <w:t>State ex rel. Cincinnati Enquirer v. Sage</w:t>
        </w:r>
      </w:hyperlink>
      <w:r w:rsidRPr="00AB48B2">
        <w:rPr>
          <w:rFonts w:asciiTheme="minorHAnsi" w:hAnsiTheme="minorHAnsi" w:cstheme="minorHAnsi"/>
          <w:sz w:val="16"/>
          <w:szCs w:val="16"/>
        </w:rPr>
        <w:t>, 143 Ohio St.3d 392, 2015-Ohio-974, ¶ 37 (courts first decide whether to award attorney fees and then conduct analysis of factors outlined in statute to determine amount of fees).</w:t>
      </w:r>
    </w:p>
  </w:endnote>
  <w:endnote w:id="813">
    <w:p w14:paraId="141BD187"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1" w:history="1">
        <w:r w:rsidRPr="00AB48B2">
          <w:rPr>
            <w:rStyle w:val="Hyperlink"/>
            <w:rFonts w:asciiTheme="minorHAnsi" w:hAnsiTheme="minorHAnsi" w:cstheme="minorHAnsi"/>
            <w:i/>
            <w:sz w:val="16"/>
            <w:szCs w:val="16"/>
          </w:rPr>
          <w:t>State ex rel. Anderson v. Vermilion</w:t>
        </w:r>
      </w:hyperlink>
      <w:r w:rsidRPr="00AB48B2">
        <w:rPr>
          <w:rFonts w:asciiTheme="minorHAnsi" w:hAnsiTheme="minorHAnsi" w:cstheme="minorHAnsi"/>
          <w:sz w:val="16"/>
          <w:szCs w:val="16"/>
        </w:rPr>
        <w:t xml:space="preserve">, 134 Ohio St.3d 120, 2012-Ohio-5320, ¶ 26; </w:t>
      </w:r>
      <w:hyperlink r:id="rId1072" w:history="1">
        <w:r w:rsidRPr="00AB48B2">
          <w:rPr>
            <w:rStyle w:val="Hyperlink"/>
            <w:rFonts w:asciiTheme="minorHAnsi" w:hAnsiTheme="minorHAnsi" w:cstheme="minorHAnsi"/>
            <w:i/>
            <w:sz w:val="16"/>
            <w:szCs w:val="16"/>
          </w:rPr>
          <w:t>State ex rel. Doe v. Smith</w:t>
        </w:r>
      </w:hyperlink>
      <w:r w:rsidRPr="00AB48B2">
        <w:rPr>
          <w:rFonts w:asciiTheme="minorHAnsi" w:hAnsiTheme="minorHAnsi" w:cstheme="minorHAnsi"/>
          <w:sz w:val="16"/>
          <w:szCs w:val="16"/>
        </w:rPr>
        <w:t xml:space="preserve">, 123 Ohio St.3d 44, 2009-Ohio-4149, ¶ 39; </w:t>
      </w:r>
      <w:hyperlink r:id="rId1073" w:history="1">
        <w:r w:rsidRPr="00561EB5">
          <w:rPr>
            <w:rStyle w:val="Hyperlink"/>
            <w:rFonts w:asciiTheme="minorHAnsi" w:hAnsiTheme="minorHAnsi" w:cstheme="minorHAnsi"/>
            <w:i/>
            <w:sz w:val="16"/>
            <w:szCs w:val="16"/>
          </w:rPr>
          <w:t>State ex rel. Hicks v. Fraley</w:t>
        </w:r>
      </w:hyperlink>
      <w:r w:rsidRPr="00AB48B2">
        <w:rPr>
          <w:rFonts w:asciiTheme="minorHAnsi" w:hAnsiTheme="minorHAnsi" w:cstheme="minorHAnsi"/>
          <w:sz w:val="16"/>
          <w:szCs w:val="16"/>
        </w:rPr>
        <w:t xml:space="preserve">, 166 Ohio St.3d 141, 2021-Ohio-2724, ¶ 27 (denying award of attorney fees because a well-informed public official would have believed the letter at issue was protected under attorney-client privilege). </w:t>
      </w:r>
    </w:p>
  </w:endnote>
  <w:endnote w:id="814">
    <w:p w14:paraId="0A41ECC1"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4" w:history="1">
        <w:r w:rsidRPr="00AB48B2">
          <w:rPr>
            <w:rStyle w:val="Hyperlink"/>
            <w:rFonts w:asciiTheme="minorHAnsi" w:hAnsiTheme="minorHAnsi" w:cstheme="minorHAnsi"/>
            <w:i/>
            <w:sz w:val="16"/>
            <w:szCs w:val="16"/>
          </w:rPr>
          <w:t>State ex rel. Rogers v. Dept. of Rehab. and Corr.</w:t>
        </w:r>
      </w:hyperlink>
      <w:r w:rsidRPr="00AB48B2">
        <w:rPr>
          <w:rFonts w:asciiTheme="minorHAnsi" w:hAnsiTheme="minorHAnsi" w:cstheme="minorHAnsi"/>
          <w:sz w:val="16"/>
          <w:szCs w:val="16"/>
        </w:rPr>
        <w:t>, 155 Ohio St.3d 545, 2018-Ohio-5111, ¶ 36 (attorney fees awarded because withholding security-camera video documenting guard-prisoner interaction was unreasonable and release of records benefits the public by allowing public to “receive at least some information about prisoner behavior and prisoners’ treatment”);</w:t>
      </w:r>
      <w:r w:rsidRPr="00AB48B2">
        <w:rPr>
          <w:rFonts w:asciiTheme="minorHAnsi" w:hAnsiTheme="minorHAnsi" w:cstheme="minorHAnsi"/>
          <w:i/>
          <w:sz w:val="16"/>
          <w:szCs w:val="16"/>
        </w:rPr>
        <w:t xml:space="preserve"> </w:t>
      </w:r>
      <w:hyperlink r:id="rId1075" w:history="1">
        <w:r w:rsidRPr="00AB48B2">
          <w:rPr>
            <w:rStyle w:val="Hyperlink"/>
            <w:rFonts w:asciiTheme="minorHAnsi" w:hAnsiTheme="minorHAnsi" w:cstheme="minorHAnsi"/>
            <w:i/>
            <w:sz w:val="16"/>
            <w:szCs w:val="16"/>
          </w:rPr>
          <w:t>State ex rel. Doe v. Smith</w:t>
        </w:r>
      </w:hyperlink>
      <w:r w:rsidRPr="00AB48B2">
        <w:rPr>
          <w:rFonts w:asciiTheme="minorHAnsi" w:hAnsiTheme="minorHAnsi" w:cstheme="minorHAnsi"/>
          <w:sz w:val="16"/>
          <w:szCs w:val="16"/>
        </w:rPr>
        <w:t>, 123 Ohio St.3d 44, 2009-Ohio-4149, ¶ 40.</w:t>
      </w:r>
    </w:p>
  </w:endnote>
  <w:endnote w:id="815">
    <w:p w14:paraId="03A4EFA9" w14:textId="77777777" w:rsidR="00FD2550" w:rsidRPr="00AB48B2" w:rsidRDefault="00FD2550"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6" w:history="1">
        <w:r w:rsidRPr="00AB48B2">
          <w:rPr>
            <w:rStyle w:val="Hyperlink"/>
            <w:rFonts w:asciiTheme="minorHAnsi" w:hAnsiTheme="minorHAnsi" w:cstheme="minorHAnsi"/>
            <w:i/>
            <w:sz w:val="16"/>
            <w:szCs w:val="16"/>
          </w:rPr>
          <w:t xml:space="preserve">State ex rel. O’Shea &amp; Assocs. Co., L.P.A v. Cuyahoga Metro. </w:t>
        </w:r>
        <w:r w:rsidRPr="00AB48B2">
          <w:rPr>
            <w:rStyle w:val="Hyperlink"/>
            <w:rFonts w:asciiTheme="minorHAnsi" w:hAnsiTheme="minorHAnsi" w:cstheme="minorHAnsi"/>
            <w:i/>
            <w:sz w:val="16"/>
            <w:szCs w:val="16"/>
          </w:rPr>
          <w:t>Hous. Auth.</w:t>
        </w:r>
      </w:hyperlink>
      <w:r w:rsidRPr="00AB48B2">
        <w:rPr>
          <w:rFonts w:asciiTheme="minorHAnsi" w:hAnsiTheme="minorHAnsi" w:cstheme="minorHAnsi"/>
          <w:sz w:val="16"/>
          <w:szCs w:val="16"/>
        </w:rPr>
        <w:t>, 131 Ohio St.3d 149, 2012-Ohio-115, ¶ 45.</w:t>
      </w:r>
    </w:p>
  </w:endnote>
  <w:endnote w:id="816">
    <w:p w14:paraId="698AD479" w14:textId="77777777" w:rsidR="00FD2550" w:rsidRPr="00AB48B2" w:rsidRDefault="00FD2550"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7" w:history="1">
        <w:r w:rsidRPr="00AB48B2">
          <w:rPr>
            <w:rStyle w:val="Hyperlink"/>
            <w:rFonts w:asciiTheme="minorHAnsi" w:hAnsiTheme="minorHAnsi" w:cstheme="minorHAnsi"/>
            <w:i/>
            <w:sz w:val="16"/>
            <w:szCs w:val="16"/>
          </w:rPr>
          <w:t>State ex rel. Beacon Journal Publishing Co. v. Akron</w:t>
        </w:r>
      </w:hyperlink>
      <w:r w:rsidRPr="00AB48B2">
        <w:rPr>
          <w:rFonts w:asciiTheme="minorHAnsi" w:hAnsiTheme="minorHAnsi" w:cstheme="minorHAnsi"/>
          <w:sz w:val="16"/>
          <w:szCs w:val="16"/>
        </w:rPr>
        <w:t xml:space="preserve">, 104 Ohio St.3d 399, 2004-Ohio-6557, ¶ 62; </w:t>
      </w:r>
      <w:hyperlink r:id="rId1078" w:history="1">
        <w:r w:rsidRPr="00AB48B2">
          <w:rPr>
            <w:rStyle w:val="Hyperlink"/>
            <w:rFonts w:asciiTheme="minorHAnsi" w:hAnsiTheme="minorHAnsi" w:cstheme="minorHAnsi"/>
            <w:i/>
            <w:sz w:val="16"/>
            <w:szCs w:val="16"/>
          </w:rPr>
          <w:t>State ex rel. Bott Law Group, L.L.C. v. Ohio Dept. of Natural Resources</w:t>
        </w:r>
      </w:hyperlink>
      <w:r w:rsidRPr="00AB48B2">
        <w:rPr>
          <w:rFonts w:asciiTheme="minorHAnsi" w:hAnsiTheme="minorHAnsi" w:cstheme="minorHAnsi"/>
          <w:sz w:val="16"/>
          <w:szCs w:val="16"/>
        </w:rPr>
        <w:t>, 10th Dist. Franklin No. 12AP-448, 2013-Ohio-5219, ¶ 46 (award of attorney fees not available to relator law firm when no evidence that the firm paid or was obligated to pay any attorney to pursue the public records action).</w:t>
      </w:r>
    </w:p>
  </w:endnote>
  <w:endnote w:id="817">
    <w:p w14:paraId="0E061B00" w14:textId="77777777" w:rsidR="00FD2550" w:rsidRPr="00AB48B2" w:rsidRDefault="00FD2550"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79" w:history="1">
        <w:r w:rsidRPr="00AB48B2">
          <w:rPr>
            <w:rStyle w:val="Hyperlink"/>
            <w:rFonts w:asciiTheme="minorHAnsi" w:hAnsiTheme="minorHAnsi" w:cstheme="minorHAnsi"/>
            <w:i/>
            <w:sz w:val="16"/>
            <w:szCs w:val="16"/>
          </w:rPr>
          <w:t xml:space="preserve">State ex rel. </w:t>
        </w:r>
        <w:r w:rsidRPr="00AB48B2">
          <w:rPr>
            <w:rStyle w:val="Hyperlink"/>
            <w:rFonts w:asciiTheme="minorHAnsi" w:hAnsiTheme="minorHAnsi" w:cstheme="minorHAnsi"/>
            <w:i/>
            <w:sz w:val="16"/>
            <w:szCs w:val="16"/>
          </w:rPr>
          <w:t>Hous. Advocates, Inc. v. Cleveland</w:t>
        </w:r>
      </w:hyperlink>
      <w:r w:rsidRPr="00AB48B2">
        <w:rPr>
          <w:rFonts w:asciiTheme="minorHAnsi" w:hAnsiTheme="minorHAnsi" w:cstheme="minorHAnsi"/>
          <w:sz w:val="16"/>
          <w:szCs w:val="16"/>
        </w:rPr>
        <w:t>, 8th Dist. Cuyahoga No. 96243, 2012-Ohio-1187, ¶ 6-7 (in-house counsel taking case on contingent fee basis not entitled to award of attorney fees).</w:t>
      </w:r>
    </w:p>
  </w:endnote>
  <w:endnote w:id="818">
    <w:p w14:paraId="1A01C732" w14:textId="77777777" w:rsidR="00E00CA8" w:rsidRPr="00AB48B2" w:rsidRDefault="00E00CA8"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80" w:history="1">
        <w:r w:rsidRPr="00AB48B2">
          <w:rPr>
            <w:rStyle w:val="Hyperlink"/>
            <w:rFonts w:asciiTheme="minorHAnsi" w:hAnsiTheme="minorHAnsi" w:cstheme="minorHAnsi"/>
            <w:i/>
            <w:sz w:val="16"/>
            <w:szCs w:val="16"/>
          </w:rPr>
          <w:t xml:space="preserve">State ex rel. Data Trace Information Servs., L.L.C. v. Cuyahoga </w:t>
        </w:r>
        <w:r w:rsidRPr="00AB48B2">
          <w:rPr>
            <w:rStyle w:val="Hyperlink"/>
            <w:rFonts w:asciiTheme="minorHAnsi" w:hAnsiTheme="minorHAnsi" w:cstheme="minorHAnsi"/>
            <w:i/>
            <w:sz w:val="16"/>
            <w:szCs w:val="16"/>
          </w:rPr>
          <w:t>Cty. Fiscal Officer</w:t>
        </w:r>
      </w:hyperlink>
      <w:r w:rsidRPr="00AB48B2">
        <w:rPr>
          <w:rFonts w:asciiTheme="minorHAnsi" w:hAnsiTheme="minorHAnsi" w:cstheme="minorHAnsi"/>
          <w:sz w:val="16"/>
          <w:szCs w:val="16"/>
        </w:rPr>
        <w:t xml:space="preserve">, 131 Ohio St.3d 255, 2012-Ohio-753, ¶ 69, citing </w:t>
      </w:r>
      <w:hyperlink r:id="rId1081" w:history="1">
        <w:r w:rsidRPr="00AB48B2">
          <w:rPr>
            <w:rStyle w:val="Hyperlink"/>
            <w:rFonts w:asciiTheme="minorHAnsi" w:hAnsiTheme="minorHAnsi" w:cstheme="minorHAnsi"/>
            <w:i/>
            <w:sz w:val="16"/>
            <w:szCs w:val="16"/>
          </w:rPr>
          <w:t>State ex rel.</w:t>
        </w:r>
        <w:r w:rsidRPr="00AB48B2">
          <w:rPr>
            <w:rStyle w:val="Hyperlink"/>
            <w:rFonts w:asciiTheme="minorHAnsi" w:hAnsiTheme="minorHAnsi" w:cstheme="minorHAnsi"/>
            <w:sz w:val="16"/>
            <w:szCs w:val="16"/>
          </w:rPr>
          <w:t xml:space="preserve"> </w:t>
        </w:r>
        <w:r w:rsidRPr="00AB48B2">
          <w:rPr>
            <w:rStyle w:val="Hyperlink"/>
            <w:rFonts w:asciiTheme="minorHAnsi" w:hAnsiTheme="minorHAnsi" w:cstheme="minorHAnsi"/>
            <w:i/>
            <w:sz w:val="16"/>
            <w:szCs w:val="16"/>
          </w:rPr>
          <w:t>Mun. Constr. Equip. Operators’ Labor Council v. Cleveland</w:t>
        </w:r>
      </w:hyperlink>
      <w:r w:rsidRPr="00AB48B2">
        <w:rPr>
          <w:rFonts w:asciiTheme="minorHAnsi" w:hAnsiTheme="minorHAnsi" w:cstheme="minorHAnsi"/>
          <w:sz w:val="16"/>
          <w:szCs w:val="16"/>
        </w:rPr>
        <w:t>, 114 Ohio St.3d 183, 2007-Ohio-3831, ¶ 83.</w:t>
      </w:r>
    </w:p>
  </w:endnote>
  <w:endnote w:id="819">
    <w:p w14:paraId="63E737C1" w14:textId="1E3AB7AE"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82" w:history="1">
        <w:r w:rsidRPr="00AB48B2">
          <w:rPr>
            <w:rStyle w:val="Hyperlink"/>
            <w:rFonts w:asciiTheme="minorHAnsi" w:hAnsiTheme="minorHAnsi" w:cstheme="minorHAnsi"/>
            <w:i/>
            <w:sz w:val="16"/>
            <w:szCs w:val="16"/>
          </w:rPr>
          <w:t>State ex rel. Pietrangelo v. Avon Lake</w:t>
        </w:r>
      </w:hyperlink>
      <w:r w:rsidRPr="00AB48B2">
        <w:rPr>
          <w:rFonts w:asciiTheme="minorHAnsi" w:hAnsiTheme="minorHAnsi" w:cstheme="minorHAnsi"/>
          <w:sz w:val="16"/>
          <w:szCs w:val="16"/>
        </w:rPr>
        <w:t xml:space="preserve">, 149 Ohio St.3d 273, 2016-Ohio-5725, ¶ 23-27 (examining evidence of hand delivery); </w:t>
      </w:r>
      <w:hyperlink r:id="rId1083" w:history="1">
        <w:r w:rsidRPr="00561EB5">
          <w:rPr>
            <w:rStyle w:val="Hyperlink"/>
            <w:rFonts w:asciiTheme="minorHAnsi" w:hAnsiTheme="minorHAnsi" w:cstheme="minorHAnsi"/>
            <w:i/>
            <w:sz w:val="16"/>
            <w:szCs w:val="16"/>
          </w:rPr>
          <w:t>State ex rel. McDougald v. Greene</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161 Ohio St.3d 130, 2020-Ohio-3686, ¶ 18 (denying award of statutory damages when relator delivered public records request through prison “kite system” (system of delivering written messages between prison inmates and staff)); </w:t>
      </w:r>
      <w:r w:rsidRPr="00AB48B2">
        <w:rPr>
          <w:rFonts w:asciiTheme="minorHAnsi" w:hAnsiTheme="minorHAnsi" w:cstheme="minorHAnsi"/>
          <w:i/>
          <w:sz w:val="16"/>
          <w:szCs w:val="16"/>
        </w:rPr>
        <w:t xml:space="preserve">see also </w:t>
      </w:r>
      <w:hyperlink r:id="rId1084" w:history="1">
        <w:r w:rsidRPr="00AB48B2">
          <w:rPr>
            <w:rStyle w:val="Hyperlink"/>
            <w:rFonts w:asciiTheme="minorHAnsi" w:hAnsiTheme="minorHAnsi" w:cstheme="minorHAnsi"/>
            <w:i/>
            <w:sz w:val="16"/>
            <w:szCs w:val="16"/>
          </w:rPr>
          <w:t xml:space="preserve">State ex rel. </w:t>
        </w:r>
        <w:r w:rsidRPr="00AB48B2">
          <w:rPr>
            <w:rStyle w:val="Hyperlink"/>
            <w:rFonts w:asciiTheme="minorHAnsi" w:hAnsiTheme="minorHAnsi" w:cstheme="minorHAnsi"/>
            <w:i/>
            <w:sz w:val="16"/>
            <w:szCs w:val="16"/>
          </w:rPr>
          <w:t>Petranek v. Cleveland</w:t>
        </w:r>
      </w:hyperlink>
      <w:r w:rsidRPr="00AB48B2">
        <w:rPr>
          <w:rFonts w:asciiTheme="minorHAnsi" w:hAnsiTheme="minorHAnsi" w:cstheme="minorHAnsi"/>
          <w:sz w:val="16"/>
          <w:szCs w:val="16"/>
        </w:rPr>
        <w:t xml:space="preserve">, 8th Dist. Cuyahoga No. 98026, 2012-Ohio-2396, ¶ 8 (later repeat request by certified mail does not trigger entitlement to statutory damages); </w:t>
      </w:r>
      <w:hyperlink r:id="rId1085" w:history="1">
        <w:r w:rsidR="00EA3091" w:rsidRPr="00AB48B2">
          <w:rPr>
            <w:rStyle w:val="Hyperlink"/>
            <w:rFonts w:asciiTheme="minorHAnsi" w:hAnsiTheme="minorHAnsi" w:cstheme="minorHAnsi"/>
            <w:i/>
            <w:iCs/>
            <w:sz w:val="16"/>
            <w:szCs w:val="16"/>
          </w:rPr>
          <w:t>State ex rel. Summers v. Fox</w:t>
        </w:r>
      </w:hyperlink>
      <w:r w:rsidR="00EA3091" w:rsidRPr="00AB48B2">
        <w:rPr>
          <w:rFonts w:asciiTheme="minorHAnsi" w:hAnsiTheme="minorHAnsi" w:cstheme="minorHAnsi"/>
          <w:sz w:val="16"/>
          <w:szCs w:val="16"/>
        </w:rPr>
        <w:t xml:space="preserve">, </w:t>
      </w:r>
      <w:r w:rsidRPr="00AB48B2">
        <w:rPr>
          <w:rFonts w:asciiTheme="minorHAnsi" w:hAnsiTheme="minorHAnsi" w:cstheme="minorHAnsi"/>
          <w:sz w:val="16"/>
          <w:szCs w:val="16"/>
        </w:rPr>
        <w:t>164 Ohio St.3d 583, 2021-Ohio-2061, ¶ 24 (letter sent by certified mail that only generally described previous requests was not a qualifying communication for purposes of statutory damages)</w:t>
      </w:r>
      <w:r w:rsidR="00D93FE8">
        <w:rPr>
          <w:rFonts w:asciiTheme="minorHAnsi" w:hAnsiTheme="minorHAnsi" w:cstheme="minorHAnsi"/>
          <w:sz w:val="16"/>
          <w:szCs w:val="16"/>
        </w:rPr>
        <w:t xml:space="preserve">; </w:t>
      </w:r>
      <w:hyperlink r:id="rId1086" w:history="1">
        <w:r w:rsidR="00D93FE8" w:rsidRPr="00DE1C46">
          <w:rPr>
            <w:rStyle w:val="Hyperlink"/>
            <w:rFonts w:asciiTheme="minorHAnsi" w:hAnsiTheme="minorHAnsi" w:cstheme="minorHAnsi"/>
            <w:i/>
            <w:iCs/>
            <w:sz w:val="16"/>
            <w:szCs w:val="16"/>
          </w:rPr>
          <w:t>State ex rel. Sultaana v. Mansfield Corr. Inst</w:t>
        </w:r>
      </w:hyperlink>
      <w:r w:rsidR="00D93FE8" w:rsidRPr="00DE1C46">
        <w:rPr>
          <w:rFonts w:asciiTheme="minorHAnsi" w:hAnsiTheme="minorHAnsi" w:cstheme="minorHAnsi"/>
          <w:i/>
          <w:iCs/>
          <w:sz w:val="16"/>
          <w:szCs w:val="16"/>
        </w:rPr>
        <w:t xml:space="preserve">., </w:t>
      </w:r>
      <w:r w:rsidR="00D93FE8" w:rsidRPr="00DE1C46">
        <w:rPr>
          <w:rFonts w:asciiTheme="minorHAnsi" w:hAnsiTheme="minorHAnsi" w:cstheme="minorHAnsi"/>
          <w:sz w:val="16"/>
          <w:szCs w:val="16"/>
        </w:rPr>
        <w:t xml:space="preserve">Slip. Op. No. 2022-0702, 2023-Ohio-1177, ¶ </w:t>
      </w:r>
      <w:r w:rsidR="00D93FE8">
        <w:rPr>
          <w:rFonts w:asciiTheme="minorHAnsi" w:hAnsiTheme="minorHAnsi" w:cstheme="minorHAnsi"/>
          <w:sz w:val="16"/>
          <w:szCs w:val="16"/>
        </w:rPr>
        <w:t>49</w:t>
      </w:r>
      <w:r w:rsidR="00D93FE8" w:rsidRPr="00DE1C46">
        <w:rPr>
          <w:rFonts w:asciiTheme="minorHAnsi" w:hAnsiTheme="minorHAnsi" w:cstheme="minorHAnsi"/>
          <w:sz w:val="16"/>
          <w:szCs w:val="16"/>
        </w:rPr>
        <w:t xml:space="preserve"> </w:t>
      </w:r>
      <w:r w:rsidR="00D93FE8">
        <w:rPr>
          <w:rFonts w:asciiTheme="minorHAnsi" w:hAnsiTheme="minorHAnsi" w:cstheme="minorHAnsi"/>
          <w:sz w:val="16"/>
          <w:szCs w:val="16"/>
        </w:rPr>
        <w:t>(delivery by fax is not an authorized method of delivery for purposes of statutory damages).</w:t>
      </w:r>
    </w:p>
  </w:endnote>
  <w:endnote w:id="820">
    <w:p w14:paraId="3852C380" w14:textId="7BD47A01"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87" w:history="1">
        <w:r w:rsidRPr="00AB48B2">
          <w:rPr>
            <w:rStyle w:val="Hyperlink"/>
            <w:rFonts w:asciiTheme="minorHAnsi" w:hAnsiTheme="minorHAnsi" w:cstheme="minorHAnsi"/>
            <w:sz w:val="16"/>
            <w:szCs w:val="16"/>
          </w:rPr>
          <w:t>R.C. 149.43(C)(2)</w:t>
        </w:r>
      </w:hyperlink>
      <w:r w:rsidR="007C6CD8" w:rsidRPr="00AB48B2">
        <w:rPr>
          <w:rFonts w:asciiTheme="minorHAnsi" w:hAnsiTheme="minorHAnsi" w:cstheme="minorHAnsi"/>
          <w:sz w:val="16"/>
          <w:szCs w:val="16"/>
        </w:rPr>
        <w:t>. Compare</w:t>
      </w:r>
      <w:r w:rsidRPr="00AB48B2">
        <w:rPr>
          <w:rFonts w:asciiTheme="minorHAnsi" w:hAnsiTheme="minorHAnsi" w:cstheme="minorHAnsi"/>
          <w:sz w:val="16"/>
          <w:szCs w:val="16"/>
        </w:rPr>
        <w:t xml:space="preserve"> </w:t>
      </w:r>
      <w:hyperlink r:id="rId1088" w:history="1">
        <w:r w:rsidRPr="00AB48B2">
          <w:rPr>
            <w:rStyle w:val="Hyperlink"/>
            <w:rFonts w:asciiTheme="minorHAnsi" w:hAnsiTheme="minorHAnsi" w:cstheme="minorHAnsi"/>
            <w:i/>
            <w:sz w:val="16"/>
            <w:szCs w:val="16"/>
          </w:rPr>
          <w:t>State ex rel. Caster v. Columbus</w:t>
        </w:r>
      </w:hyperlink>
      <w:r w:rsidRPr="00AB48B2">
        <w:rPr>
          <w:rFonts w:asciiTheme="minorHAnsi" w:hAnsiTheme="minorHAnsi" w:cstheme="minorHAnsi"/>
          <w:sz w:val="16"/>
          <w:szCs w:val="16"/>
        </w:rPr>
        <w:t>, 151 Ohio St.3d 425, 2016-Ohio-8394, ¶ 52 (awarding statutory damages)</w:t>
      </w:r>
      <w:r w:rsidR="007C6CD8" w:rsidRPr="00AB48B2">
        <w:rPr>
          <w:rFonts w:asciiTheme="minorHAnsi" w:hAnsiTheme="minorHAnsi" w:cstheme="minorHAnsi"/>
          <w:sz w:val="16"/>
          <w:szCs w:val="16"/>
        </w:rPr>
        <w:t xml:space="preserve"> with </w:t>
      </w:r>
      <w:hyperlink r:id="rId1089" w:history="1">
        <w:r w:rsidRPr="00AB48B2">
          <w:rPr>
            <w:rStyle w:val="Hyperlink"/>
            <w:rFonts w:asciiTheme="minorHAnsi" w:hAnsiTheme="minorHAnsi" w:cstheme="minorHAnsi"/>
            <w:i/>
            <w:sz w:val="16"/>
            <w:szCs w:val="16"/>
          </w:rPr>
          <w:t>State ex rel. Ware v. DeWine</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163 Ohio St.3d 332, 2020-Ohio-5148, ¶ 24-25 (upholding denial of statutory damages when evidence showed that public office satisfied duty to make records available by mailing them to relator in correctional institution; relator’s claim that he did not receive the records was beyond control of the public office and not a basis for awarding statutory damages)</w:t>
      </w:r>
      <w:r w:rsidR="00014197" w:rsidRPr="00AB48B2">
        <w:rPr>
          <w:rFonts w:asciiTheme="minorHAnsi" w:hAnsiTheme="minorHAnsi" w:cstheme="minorHAnsi"/>
          <w:sz w:val="16"/>
          <w:szCs w:val="16"/>
        </w:rPr>
        <w:t>.</w:t>
      </w:r>
    </w:p>
  </w:endnote>
  <w:endnote w:id="821">
    <w:p w14:paraId="1708EF21" w14:textId="081514FB"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i/>
          <w:sz w:val="16"/>
          <w:szCs w:val="16"/>
        </w:rPr>
        <w:t xml:space="preserve"> </w:t>
      </w:r>
      <w:hyperlink r:id="rId1090" w:history="1">
        <w:r w:rsidR="00561EB5" w:rsidRPr="00561EB5">
          <w:rPr>
            <w:rStyle w:val="Hyperlink"/>
            <w:rFonts w:asciiTheme="minorHAnsi" w:hAnsiTheme="minorHAnsi" w:cstheme="minorHAnsi"/>
            <w:i/>
            <w:sz w:val="16"/>
            <w:szCs w:val="16"/>
          </w:rPr>
          <w:t>State ex rel. McDougald v. Greene</w:t>
        </w:r>
      </w:hyperlink>
      <w:r w:rsidR="00561EB5"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161 Ohio St.3d 130, 2020-Ohio-3686, ¶ 27; </w:t>
      </w:r>
      <w:hyperlink r:id="rId1091" w:history="1">
        <w:r w:rsidRPr="00AB48B2">
          <w:rPr>
            <w:rStyle w:val="Hyperlink"/>
            <w:rFonts w:asciiTheme="minorHAnsi" w:hAnsiTheme="minorHAnsi" w:cstheme="minorHAnsi"/>
            <w:i/>
            <w:sz w:val="16"/>
            <w:szCs w:val="16"/>
          </w:rPr>
          <w:t>State ex rel. Ware v. Walsh</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9th Dist. Summit No. 30051, 2021-Ohio-4585, ¶ 21 (requester not entitled to statutory damages because he did not show, by clear and convincing evidence, that he sent request by certified mail; time stamp on certified mail receipt did not match date of mailing and there was no evidence of a signed return receipt). </w:t>
      </w:r>
    </w:p>
  </w:endnote>
  <w:endnote w:id="822">
    <w:p w14:paraId="5A22DDEA" w14:textId="2B7C4C03" w:rsidR="002F23BE" w:rsidRPr="00AB48B2" w:rsidRDefault="002F23BE"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92" w:history="1">
        <w:r w:rsidRPr="00AB48B2">
          <w:rPr>
            <w:rStyle w:val="Hyperlink"/>
            <w:rFonts w:asciiTheme="minorHAnsi" w:hAnsiTheme="minorHAnsi" w:cstheme="minorHAnsi"/>
            <w:sz w:val="16"/>
            <w:szCs w:val="16"/>
          </w:rPr>
          <w:t>R.C. 149.43(C)(2)</w:t>
        </w:r>
      </w:hyperlink>
      <w:r w:rsidRPr="00AB48B2">
        <w:rPr>
          <w:rFonts w:asciiTheme="minorHAnsi" w:hAnsiTheme="minorHAnsi" w:cstheme="minorHAnsi"/>
          <w:sz w:val="16"/>
          <w:szCs w:val="16"/>
        </w:rPr>
        <w:t xml:space="preserve">; </w:t>
      </w:r>
      <w:hyperlink r:id="rId1093" w:history="1">
        <w:r w:rsidRPr="00AB48B2">
          <w:rPr>
            <w:rStyle w:val="Hyperlink"/>
            <w:rFonts w:asciiTheme="minorHAnsi" w:hAnsiTheme="minorHAnsi" w:cstheme="minorHAnsi"/>
            <w:i/>
            <w:sz w:val="16"/>
            <w:szCs w:val="16"/>
          </w:rPr>
          <w:t>State ex rel. Ware v. City of Akron</w:t>
        </w:r>
      </w:hyperlink>
      <w:r w:rsidRPr="00AB48B2">
        <w:rPr>
          <w:rFonts w:asciiTheme="minorHAnsi" w:hAnsiTheme="minorHAnsi" w:cstheme="minorHAnsi"/>
          <w:i/>
          <w:sz w:val="16"/>
          <w:szCs w:val="16"/>
        </w:rPr>
        <w:t xml:space="preserve">, </w:t>
      </w:r>
      <w:r w:rsidRPr="00AB48B2">
        <w:rPr>
          <w:rFonts w:asciiTheme="minorHAnsi" w:hAnsiTheme="minorHAnsi" w:cstheme="minorHAnsi"/>
          <w:sz w:val="16"/>
          <w:szCs w:val="16"/>
        </w:rPr>
        <w:t xml:space="preserve">164 Ohio St.3d 557, 2021-Ohio-624, ¶ 19 (requester does not have to show an actual injury connected to the loss of records to be awarded statutory damages; “requiring a requester to make even a minimal showing of actual injury would be contrary to the statutory command that injury is conclusively presumed”). </w:t>
      </w:r>
    </w:p>
  </w:endnote>
  <w:endnote w:id="823">
    <w:p w14:paraId="5B2BFFEE" w14:textId="6A323439" w:rsidR="00F56211" w:rsidRPr="00AB48B2" w:rsidRDefault="00F56211"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94" w:history="1">
        <w:r w:rsidR="00014197" w:rsidRPr="00AB48B2">
          <w:rPr>
            <w:rStyle w:val="Hyperlink"/>
            <w:rFonts w:asciiTheme="minorHAnsi" w:hAnsiTheme="minorHAnsi" w:cstheme="minorHAnsi"/>
            <w:i/>
            <w:iCs/>
            <w:sz w:val="16"/>
            <w:szCs w:val="16"/>
          </w:rPr>
          <w:t xml:space="preserve">State ex rel. Ames v. Portage </w:t>
        </w:r>
        <w:r w:rsidR="00014197" w:rsidRPr="00AB48B2">
          <w:rPr>
            <w:rStyle w:val="Hyperlink"/>
            <w:rFonts w:asciiTheme="minorHAnsi" w:hAnsiTheme="minorHAnsi" w:cstheme="minorHAnsi"/>
            <w:i/>
            <w:iCs/>
            <w:sz w:val="16"/>
            <w:szCs w:val="16"/>
          </w:rPr>
          <w:t xml:space="preserve">Cty. Bd. </w:t>
        </w:r>
        <w:r w:rsidR="003B5A06" w:rsidRPr="00AB48B2">
          <w:rPr>
            <w:rStyle w:val="Hyperlink"/>
            <w:rFonts w:asciiTheme="minorHAnsi" w:hAnsiTheme="minorHAnsi" w:cstheme="minorHAnsi"/>
            <w:i/>
            <w:iCs/>
            <w:sz w:val="16"/>
            <w:szCs w:val="16"/>
          </w:rPr>
          <w:t>o</w:t>
        </w:r>
        <w:r w:rsidR="00014197" w:rsidRPr="00AB48B2">
          <w:rPr>
            <w:rStyle w:val="Hyperlink"/>
            <w:rFonts w:asciiTheme="minorHAnsi" w:hAnsiTheme="minorHAnsi" w:cstheme="minorHAnsi"/>
            <w:i/>
            <w:iCs/>
            <w:sz w:val="16"/>
            <w:szCs w:val="16"/>
          </w:rPr>
          <w:t>f Commrs</w:t>
        </w:r>
      </w:hyperlink>
      <w:r w:rsidR="003B5A06" w:rsidRPr="00AB48B2">
        <w:rPr>
          <w:rFonts w:asciiTheme="minorHAnsi" w:hAnsiTheme="minorHAnsi" w:cstheme="minorHAnsi"/>
          <w:i/>
          <w:iCs/>
          <w:sz w:val="16"/>
          <w:szCs w:val="16"/>
        </w:rPr>
        <w:t>.</w:t>
      </w:r>
      <w:r w:rsidR="00014197" w:rsidRPr="00AB48B2">
        <w:rPr>
          <w:rFonts w:asciiTheme="minorHAnsi" w:hAnsiTheme="minorHAnsi" w:cstheme="minorHAnsi"/>
          <w:i/>
          <w:iCs/>
          <w:sz w:val="16"/>
          <w:szCs w:val="16"/>
        </w:rPr>
        <w:t xml:space="preserve">, </w:t>
      </w:r>
      <w:r w:rsidR="00014197" w:rsidRPr="00AB48B2">
        <w:rPr>
          <w:rFonts w:asciiTheme="minorHAnsi" w:hAnsiTheme="minorHAnsi" w:cstheme="minorHAnsi"/>
          <w:sz w:val="16"/>
          <w:szCs w:val="16"/>
        </w:rPr>
        <w:t>Slip Op. No. 2022-0148, 2023-Ohio-3382, ¶ 42.</w:t>
      </w:r>
    </w:p>
  </w:endnote>
  <w:endnote w:id="824">
    <w:p w14:paraId="4E3FF937" w14:textId="60B2A4CF" w:rsidR="00F56211" w:rsidRPr="00AB48B2" w:rsidRDefault="00F56211" w:rsidP="00B001F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095" w:history="1">
        <w:r w:rsidR="00014197" w:rsidRPr="00AB48B2">
          <w:rPr>
            <w:rStyle w:val="Hyperlink"/>
            <w:rFonts w:asciiTheme="minorHAnsi" w:hAnsiTheme="minorHAnsi" w:cstheme="minorHAnsi"/>
            <w:i/>
            <w:iCs/>
            <w:sz w:val="16"/>
            <w:szCs w:val="16"/>
          </w:rPr>
          <w:t xml:space="preserve">State ex rel. Ames v. Portage </w:t>
        </w:r>
        <w:r w:rsidR="00014197" w:rsidRPr="00AB48B2">
          <w:rPr>
            <w:rStyle w:val="Hyperlink"/>
            <w:rFonts w:asciiTheme="minorHAnsi" w:hAnsiTheme="minorHAnsi" w:cstheme="minorHAnsi"/>
            <w:i/>
            <w:iCs/>
            <w:sz w:val="16"/>
            <w:szCs w:val="16"/>
          </w:rPr>
          <w:t xml:space="preserve">Cty. Bd. </w:t>
        </w:r>
        <w:r w:rsidR="003B5A06" w:rsidRPr="00AB48B2">
          <w:rPr>
            <w:rStyle w:val="Hyperlink"/>
            <w:rFonts w:asciiTheme="minorHAnsi" w:hAnsiTheme="minorHAnsi" w:cstheme="minorHAnsi"/>
            <w:i/>
            <w:iCs/>
            <w:sz w:val="16"/>
            <w:szCs w:val="16"/>
          </w:rPr>
          <w:t>o</w:t>
        </w:r>
        <w:r w:rsidR="00014197" w:rsidRPr="00AB48B2">
          <w:rPr>
            <w:rStyle w:val="Hyperlink"/>
            <w:rFonts w:asciiTheme="minorHAnsi" w:hAnsiTheme="minorHAnsi" w:cstheme="minorHAnsi"/>
            <w:i/>
            <w:iCs/>
            <w:sz w:val="16"/>
            <w:szCs w:val="16"/>
          </w:rPr>
          <w:t>f Commrs</w:t>
        </w:r>
      </w:hyperlink>
      <w:r w:rsidR="003B5A06" w:rsidRPr="00AB48B2">
        <w:rPr>
          <w:rFonts w:asciiTheme="minorHAnsi" w:hAnsiTheme="minorHAnsi" w:cstheme="minorHAnsi"/>
          <w:i/>
          <w:iCs/>
          <w:sz w:val="16"/>
          <w:szCs w:val="16"/>
        </w:rPr>
        <w:t>.</w:t>
      </w:r>
      <w:r w:rsidR="00014197" w:rsidRPr="00AB48B2">
        <w:rPr>
          <w:rFonts w:asciiTheme="minorHAnsi" w:hAnsiTheme="minorHAnsi" w:cstheme="minorHAnsi"/>
          <w:i/>
          <w:iCs/>
          <w:sz w:val="16"/>
          <w:szCs w:val="16"/>
        </w:rPr>
        <w:t xml:space="preserve">, </w:t>
      </w:r>
      <w:r w:rsidR="00014197" w:rsidRPr="00AB48B2">
        <w:rPr>
          <w:rFonts w:asciiTheme="minorHAnsi" w:hAnsiTheme="minorHAnsi" w:cstheme="minorHAnsi"/>
          <w:sz w:val="16"/>
          <w:szCs w:val="16"/>
        </w:rPr>
        <w:t>Slip. Op. No. 2022-0148, 2023-Ohio-3382, ¶ 41.</w:t>
      </w:r>
    </w:p>
  </w:endnote>
  <w:endnote w:id="825">
    <w:p w14:paraId="06A840BD" w14:textId="71F1C382" w:rsidR="002F23BE" w:rsidRPr="00E0038E" w:rsidRDefault="002F23BE"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096" w:history="1">
        <w:r w:rsidRPr="00E0038E">
          <w:rPr>
            <w:rStyle w:val="Hyperlink"/>
            <w:rFonts w:asciiTheme="minorHAnsi" w:hAnsiTheme="minorHAnsi" w:cstheme="minorHAnsi"/>
            <w:sz w:val="16"/>
            <w:szCs w:val="16"/>
          </w:rPr>
          <w:t>R.C. 149.43(C)(2)</w:t>
        </w:r>
      </w:hyperlink>
      <w:r w:rsidRPr="00E0038E">
        <w:rPr>
          <w:rFonts w:asciiTheme="minorHAnsi" w:hAnsiTheme="minorHAnsi" w:cstheme="minorHAnsi"/>
          <w:sz w:val="16"/>
          <w:szCs w:val="16"/>
        </w:rPr>
        <w:t xml:space="preserve">; </w:t>
      </w:r>
      <w:r w:rsidRPr="00E0038E">
        <w:rPr>
          <w:rFonts w:asciiTheme="minorHAnsi" w:hAnsiTheme="minorHAnsi" w:cstheme="minorHAnsi"/>
          <w:i/>
          <w:sz w:val="16"/>
          <w:szCs w:val="16"/>
        </w:rPr>
        <w:t xml:space="preserve">see also </w:t>
      </w:r>
      <w:hyperlink r:id="rId1097" w:history="1">
        <w:r w:rsidRPr="00E0038E">
          <w:rPr>
            <w:rStyle w:val="Hyperlink"/>
            <w:rFonts w:asciiTheme="minorHAnsi" w:hAnsiTheme="minorHAnsi" w:cstheme="minorHAnsi"/>
            <w:i/>
            <w:sz w:val="16"/>
            <w:szCs w:val="16"/>
          </w:rPr>
          <w:t xml:space="preserve">State ex rel. Miller v. Ohio Dept. of </w:t>
        </w:r>
        <w:r w:rsidRPr="00E0038E">
          <w:rPr>
            <w:rStyle w:val="Hyperlink"/>
            <w:rFonts w:asciiTheme="minorHAnsi" w:hAnsiTheme="minorHAnsi" w:cstheme="minorHAnsi"/>
            <w:i/>
            <w:sz w:val="16"/>
            <w:szCs w:val="16"/>
          </w:rPr>
          <w:t>Edn.</w:t>
        </w:r>
      </w:hyperlink>
      <w:r w:rsidRPr="00E0038E">
        <w:rPr>
          <w:rFonts w:asciiTheme="minorHAnsi" w:hAnsiTheme="minorHAnsi" w:cstheme="minorHAnsi"/>
          <w:sz w:val="16"/>
          <w:szCs w:val="16"/>
        </w:rPr>
        <w:t>, 10th Dist. Franklin No. 15AP-1168, 2016-Ohio-8534, ¶ 9-13 (statutory damages begin accruing on day mandamus action is filed but does not include day records are provided).</w:t>
      </w:r>
    </w:p>
  </w:endnote>
  <w:endnote w:id="826">
    <w:p w14:paraId="7FC84742" w14:textId="3617B9F7" w:rsidR="002F23BE" w:rsidRPr="00E0038E" w:rsidRDefault="002F23BE"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098" w:history="1">
        <w:r w:rsidRPr="00E0038E">
          <w:rPr>
            <w:rStyle w:val="Hyperlink"/>
            <w:rFonts w:asciiTheme="minorHAnsi" w:hAnsiTheme="minorHAnsi" w:cstheme="minorHAnsi"/>
            <w:i/>
            <w:sz w:val="16"/>
            <w:szCs w:val="16"/>
          </w:rPr>
          <w:t xml:space="preserve">State ex rel. </w:t>
        </w:r>
        <w:r w:rsidRPr="00E0038E">
          <w:rPr>
            <w:rStyle w:val="Hyperlink"/>
            <w:rFonts w:asciiTheme="minorHAnsi" w:hAnsiTheme="minorHAnsi" w:cstheme="minorHAnsi"/>
            <w:i/>
            <w:sz w:val="16"/>
            <w:szCs w:val="16"/>
          </w:rPr>
          <w:t>Dehler v. Kelly</w:t>
        </w:r>
      </w:hyperlink>
      <w:r w:rsidRPr="00E0038E">
        <w:rPr>
          <w:rFonts w:asciiTheme="minorHAnsi" w:hAnsiTheme="minorHAnsi" w:cstheme="minorHAnsi"/>
          <w:sz w:val="16"/>
          <w:szCs w:val="16"/>
        </w:rPr>
        <w:t>, 127 Ohio St.3d 309, 2010-Ohio-5724, ¶ 4;</w:t>
      </w:r>
      <w:r w:rsidR="00561EB5" w:rsidRPr="00E0038E">
        <w:rPr>
          <w:rFonts w:asciiTheme="minorHAnsi" w:hAnsiTheme="minorHAnsi" w:cstheme="minorHAnsi"/>
          <w:sz w:val="16"/>
          <w:szCs w:val="16"/>
        </w:rPr>
        <w:t xml:space="preserve"> </w:t>
      </w:r>
      <w:r w:rsidR="00014197" w:rsidRPr="00E0038E">
        <w:rPr>
          <w:rFonts w:asciiTheme="minorHAnsi" w:hAnsiTheme="minorHAnsi" w:cstheme="minorHAnsi"/>
          <w:i/>
          <w:iCs/>
          <w:sz w:val="16"/>
          <w:szCs w:val="16"/>
        </w:rPr>
        <w:t xml:space="preserve">State ex rel. Ware v. Parikh, </w:t>
      </w:r>
      <w:r w:rsidR="00014197" w:rsidRPr="00E0038E">
        <w:rPr>
          <w:rFonts w:asciiTheme="minorHAnsi" w:hAnsiTheme="minorHAnsi" w:cstheme="minorHAnsi"/>
          <w:sz w:val="16"/>
          <w:szCs w:val="16"/>
        </w:rPr>
        <w:t>172 Ohio St.3d 49, 2023-Ohio-2536, ¶ 31 (holding that eight requests submitted by the same requester on the same day were a single request for purposes of statutory damages);</w:t>
      </w:r>
      <w:r w:rsidRPr="00E0038E">
        <w:rPr>
          <w:rFonts w:asciiTheme="minorHAnsi" w:hAnsiTheme="minorHAnsi" w:cstheme="minorHAnsi"/>
          <w:sz w:val="16"/>
          <w:szCs w:val="16"/>
        </w:rPr>
        <w:t xml:space="preserve"> </w:t>
      </w:r>
      <w:r w:rsidRPr="00E0038E">
        <w:rPr>
          <w:rFonts w:asciiTheme="minorHAnsi" w:hAnsiTheme="minorHAnsi" w:cstheme="minorHAnsi"/>
          <w:i/>
          <w:sz w:val="16"/>
          <w:szCs w:val="16"/>
        </w:rPr>
        <w:t xml:space="preserve">State ex rel. Bristow v. Baxter, </w:t>
      </w:r>
      <w:r w:rsidRPr="00E0038E">
        <w:rPr>
          <w:rFonts w:asciiTheme="minorHAnsi" w:hAnsiTheme="minorHAnsi" w:cstheme="minorHAnsi"/>
          <w:sz w:val="16"/>
          <w:szCs w:val="16"/>
        </w:rPr>
        <w:t>6th Dist. Erie No. E-18-026, 2019-Ohio-214, ¶ 43 (while the Public Records Act does not permit stacking of statutory damages based on what is essentially the same records request, relator was entitled to the maximum award of $1,000 per category of requested records -- personnel files, time-off requests, and public records policy</w:t>
      </w:r>
      <w:r w:rsidR="00014197" w:rsidRPr="00E0038E">
        <w:rPr>
          <w:rFonts w:asciiTheme="minorHAnsi" w:hAnsiTheme="minorHAnsi" w:cstheme="minorHAnsi"/>
          <w:sz w:val="16"/>
          <w:szCs w:val="16"/>
        </w:rPr>
        <w:t xml:space="preserve"> </w:t>
      </w:r>
      <w:r w:rsidRPr="00E0038E">
        <w:rPr>
          <w:rFonts w:asciiTheme="minorHAnsi" w:hAnsiTheme="minorHAnsi" w:cstheme="minorHAnsi"/>
          <w:sz w:val="16"/>
          <w:szCs w:val="16"/>
        </w:rPr>
        <w:t>-- for a total statutory damages award of $3,000).</w:t>
      </w:r>
    </w:p>
  </w:endnote>
  <w:endnote w:id="827">
    <w:p w14:paraId="70684B4B" w14:textId="6250B9DB" w:rsidR="002F23BE" w:rsidRPr="00E0038E" w:rsidRDefault="002F23BE"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099" w:history="1">
        <w:r w:rsidRPr="00E0038E">
          <w:rPr>
            <w:rStyle w:val="Hyperlink"/>
            <w:rFonts w:asciiTheme="minorHAnsi" w:hAnsiTheme="minorHAnsi" w:cstheme="minorHAnsi"/>
            <w:sz w:val="16"/>
            <w:szCs w:val="16"/>
          </w:rPr>
          <w:t>R.C. 149.43(C)(2)</w:t>
        </w:r>
      </w:hyperlink>
      <w:r w:rsidRPr="00E0038E">
        <w:rPr>
          <w:rFonts w:asciiTheme="minorHAnsi" w:hAnsiTheme="minorHAnsi" w:cstheme="minorHAnsi"/>
          <w:sz w:val="16"/>
          <w:szCs w:val="16"/>
        </w:rPr>
        <w:t xml:space="preserve">; </w:t>
      </w:r>
      <w:hyperlink r:id="rId1100" w:history="1">
        <w:r w:rsidRPr="00E0038E">
          <w:rPr>
            <w:rStyle w:val="Hyperlink"/>
            <w:rFonts w:asciiTheme="minorHAnsi" w:hAnsiTheme="minorHAnsi" w:cstheme="minorHAnsi"/>
            <w:i/>
            <w:sz w:val="16"/>
            <w:szCs w:val="16"/>
          </w:rPr>
          <w:t>State ex rel. Rogers v. Dept. of Rehab. and Corr.</w:t>
        </w:r>
      </w:hyperlink>
      <w:r w:rsidRPr="00E0038E">
        <w:rPr>
          <w:rFonts w:asciiTheme="minorHAnsi" w:hAnsiTheme="minorHAnsi" w:cstheme="minorHAnsi"/>
          <w:sz w:val="16"/>
          <w:szCs w:val="16"/>
        </w:rPr>
        <w:t xml:space="preserve">, 155 Ohio St.3d 545, 2018-Ohio-5111, ¶ 25 (declining to reduce statutory damages award, in part because “there was no statutory or precedential force behind [public office’s] arguments that the security footage was an exception to the definition of a ‘public record’”); </w:t>
      </w:r>
      <w:hyperlink r:id="rId1101" w:history="1">
        <w:r w:rsidR="009074BD" w:rsidRPr="00E0038E">
          <w:rPr>
            <w:rStyle w:val="Hyperlink"/>
            <w:rFonts w:asciiTheme="minorHAnsi" w:hAnsiTheme="minorHAnsi" w:cstheme="minorHAnsi"/>
            <w:i/>
            <w:sz w:val="16"/>
            <w:szCs w:val="16"/>
          </w:rPr>
          <w:t>State ex rel. Hicks v. Fraley</w:t>
        </w:r>
      </w:hyperlink>
      <w:r w:rsidR="009074BD" w:rsidRPr="00E0038E">
        <w:rPr>
          <w:rFonts w:asciiTheme="minorHAnsi" w:hAnsiTheme="minorHAnsi" w:cstheme="minorHAnsi"/>
          <w:sz w:val="16"/>
          <w:szCs w:val="16"/>
        </w:rPr>
        <w:t xml:space="preserve">, </w:t>
      </w:r>
      <w:r w:rsidRPr="00E0038E">
        <w:rPr>
          <w:rFonts w:asciiTheme="minorHAnsi" w:hAnsiTheme="minorHAnsi" w:cstheme="minorHAnsi"/>
          <w:sz w:val="16"/>
          <w:szCs w:val="16"/>
        </w:rPr>
        <w:t>166 Ohio St. 3d 141, 2021-Ohio-2724, ¶ 28 (denying award of statutory damages because a well-informed public official would have believed the letter at issue was protected by attorney-client privilege).</w:t>
      </w:r>
    </w:p>
  </w:endnote>
  <w:endnote w:id="828">
    <w:p w14:paraId="6D09E37D" w14:textId="09AE22B9" w:rsidR="00A0683B" w:rsidRPr="00E0038E" w:rsidRDefault="00A0683B" w:rsidP="00B001F2">
      <w:pPr>
        <w:pStyle w:val="EndnoteText"/>
        <w:spacing w:line="160" w:lineRule="exact"/>
        <w:jc w:val="both"/>
        <w:rPr>
          <w:sz w:val="16"/>
          <w:szCs w:val="16"/>
        </w:rPr>
      </w:pPr>
      <w:r w:rsidRPr="00E0038E">
        <w:rPr>
          <w:rStyle w:val="EndnoteReference"/>
          <w:sz w:val="16"/>
          <w:szCs w:val="16"/>
        </w:rPr>
        <w:endnoteRef/>
      </w:r>
      <w:r w:rsidRPr="00E0038E">
        <w:rPr>
          <w:sz w:val="16"/>
          <w:szCs w:val="16"/>
        </w:rPr>
        <w:t xml:space="preserve"> </w:t>
      </w:r>
      <w:hyperlink r:id="rId1102" w:history="1">
        <w:r w:rsidRPr="00E0038E">
          <w:rPr>
            <w:rStyle w:val="Hyperlink"/>
            <w:rFonts w:asciiTheme="minorHAnsi" w:hAnsiTheme="minorHAnsi" w:cstheme="minorHAnsi"/>
            <w:sz w:val="16"/>
            <w:szCs w:val="16"/>
          </w:rPr>
          <w:t>R.C. 149.43(C)(3)(a)(</w:t>
        </w:r>
        <w:r w:rsidRPr="00E0038E">
          <w:rPr>
            <w:rStyle w:val="Hyperlink"/>
            <w:rFonts w:asciiTheme="minorHAnsi" w:hAnsiTheme="minorHAnsi" w:cstheme="minorHAnsi"/>
            <w:sz w:val="16"/>
            <w:szCs w:val="16"/>
          </w:rPr>
          <w:t>i)</w:t>
        </w:r>
      </w:hyperlink>
      <w:r w:rsidRPr="00E0038E">
        <w:rPr>
          <w:rFonts w:asciiTheme="minorHAnsi" w:hAnsiTheme="minorHAnsi" w:cstheme="minorHAnsi"/>
          <w:sz w:val="16"/>
          <w:szCs w:val="16"/>
        </w:rPr>
        <w:t>.</w:t>
      </w:r>
    </w:p>
  </w:endnote>
  <w:endnote w:id="829">
    <w:p w14:paraId="01BC21B6" w14:textId="026136E3" w:rsidR="00A0683B" w:rsidRPr="00E0038E" w:rsidRDefault="00A0683B" w:rsidP="00B001F2">
      <w:pPr>
        <w:pStyle w:val="EndnoteText"/>
        <w:spacing w:line="160" w:lineRule="exact"/>
        <w:jc w:val="both"/>
        <w:rPr>
          <w:sz w:val="16"/>
          <w:szCs w:val="16"/>
        </w:rPr>
      </w:pPr>
      <w:r w:rsidRPr="00E0038E">
        <w:rPr>
          <w:rStyle w:val="EndnoteReference"/>
          <w:sz w:val="16"/>
          <w:szCs w:val="16"/>
        </w:rPr>
        <w:endnoteRef/>
      </w:r>
      <w:r w:rsidRPr="00E0038E">
        <w:rPr>
          <w:sz w:val="16"/>
          <w:szCs w:val="16"/>
        </w:rPr>
        <w:t xml:space="preserve"> </w:t>
      </w:r>
      <w:hyperlink r:id="rId1103" w:history="1">
        <w:r w:rsidRPr="00E0038E">
          <w:rPr>
            <w:rStyle w:val="Hyperlink"/>
            <w:rFonts w:asciiTheme="minorHAnsi" w:hAnsiTheme="minorHAnsi" w:cstheme="minorHAnsi"/>
            <w:sz w:val="16"/>
            <w:szCs w:val="16"/>
          </w:rPr>
          <w:t>R.C. 149.43(C)(3)(a)(ii)</w:t>
        </w:r>
      </w:hyperlink>
      <w:r w:rsidR="00310038">
        <w:rPr>
          <w:rFonts w:asciiTheme="minorHAnsi" w:hAnsiTheme="minorHAnsi" w:cstheme="minorHAnsi"/>
          <w:sz w:val="16"/>
          <w:szCs w:val="16"/>
        </w:rPr>
        <w:t xml:space="preserve">; </w:t>
      </w:r>
      <w:hyperlink r:id="rId1104" w:history="1">
        <w:r w:rsidR="00310038" w:rsidRPr="00AB48B2">
          <w:rPr>
            <w:rStyle w:val="Hyperlink"/>
            <w:rFonts w:asciiTheme="minorHAnsi" w:hAnsiTheme="minorHAnsi" w:cstheme="minorHAnsi"/>
            <w:i/>
            <w:sz w:val="16"/>
            <w:szCs w:val="16"/>
          </w:rPr>
          <w:t xml:space="preserve">State ex rel. Ware v. </w:t>
        </w:r>
        <w:r w:rsidR="00310038" w:rsidRPr="00AB48B2">
          <w:rPr>
            <w:rStyle w:val="Hyperlink"/>
            <w:rFonts w:asciiTheme="minorHAnsi" w:hAnsiTheme="minorHAnsi" w:cstheme="minorHAnsi"/>
            <w:i/>
            <w:sz w:val="16"/>
            <w:szCs w:val="16"/>
          </w:rPr>
          <w:t>Funkhauser</w:t>
        </w:r>
      </w:hyperlink>
      <w:r w:rsidR="00310038" w:rsidRPr="00AB48B2">
        <w:rPr>
          <w:rFonts w:asciiTheme="minorHAnsi" w:hAnsiTheme="minorHAnsi" w:cstheme="minorHAnsi"/>
          <w:i/>
          <w:sz w:val="16"/>
          <w:szCs w:val="16"/>
        </w:rPr>
        <w:t xml:space="preserve">, </w:t>
      </w:r>
      <w:r w:rsidR="00310038" w:rsidRPr="00AB48B2">
        <w:rPr>
          <w:rFonts w:asciiTheme="minorHAnsi" w:hAnsiTheme="minorHAnsi" w:cstheme="minorHAnsi"/>
          <w:sz w:val="16"/>
          <w:szCs w:val="16"/>
        </w:rPr>
        <w:t>11th Dist. Portage No. 2021-P-0056, 2022-Ohio-172, ¶ 9 (awarding court costs because public office acted in bad faith when it “consciously disregarded” the requests for over one year and complied over two months after requester filed a mandamus complaint).</w:t>
      </w:r>
    </w:p>
  </w:endnote>
  <w:endnote w:id="830">
    <w:p w14:paraId="552A6F06" w14:textId="77777777" w:rsidR="00A0683B" w:rsidRPr="00E0038E" w:rsidRDefault="00A0683B"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5" w:history="1">
        <w:r w:rsidRPr="00E0038E">
          <w:rPr>
            <w:rStyle w:val="Hyperlink"/>
            <w:rFonts w:asciiTheme="minorHAnsi" w:hAnsiTheme="minorHAnsi" w:cstheme="minorHAnsi"/>
            <w:sz w:val="16"/>
            <w:szCs w:val="16"/>
          </w:rPr>
          <w:t>R.C. 149.43(C)(4)(a)</w:t>
        </w:r>
      </w:hyperlink>
      <w:r w:rsidRPr="00E0038E">
        <w:rPr>
          <w:rFonts w:asciiTheme="minorHAnsi" w:hAnsiTheme="minorHAnsi" w:cstheme="minorHAnsi"/>
          <w:sz w:val="16"/>
          <w:szCs w:val="16"/>
        </w:rPr>
        <w:t xml:space="preserve">; </w:t>
      </w:r>
      <w:hyperlink r:id="rId1106" w:history="1">
        <w:r w:rsidRPr="00E0038E">
          <w:rPr>
            <w:rStyle w:val="Hyperlink"/>
            <w:rFonts w:asciiTheme="minorHAnsi" w:hAnsiTheme="minorHAnsi" w:cstheme="minorHAnsi"/>
            <w:sz w:val="16"/>
            <w:szCs w:val="16"/>
          </w:rPr>
          <w:t>R.C. 149.43(C)(3)(a)(</w:t>
        </w:r>
        <w:r w:rsidRPr="00E0038E">
          <w:rPr>
            <w:rStyle w:val="Hyperlink"/>
            <w:rFonts w:asciiTheme="minorHAnsi" w:hAnsiTheme="minorHAnsi" w:cstheme="minorHAnsi"/>
            <w:sz w:val="16"/>
            <w:szCs w:val="16"/>
          </w:rPr>
          <w:t>i)</w:t>
        </w:r>
      </w:hyperlink>
      <w:r w:rsidRPr="00E0038E">
        <w:rPr>
          <w:rFonts w:asciiTheme="minorHAnsi" w:hAnsiTheme="minorHAnsi" w:cstheme="minorHAnsi"/>
          <w:sz w:val="16"/>
          <w:szCs w:val="16"/>
        </w:rPr>
        <w:t>.</w:t>
      </w:r>
    </w:p>
  </w:endnote>
  <w:endnote w:id="831">
    <w:p w14:paraId="43F2E946" w14:textId="77777777" w:rsidR="00E00CA8" w:rsidRPr="00E0038E" w:rsidRDefault="00E00CA8"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7" w:history="1">
        <w:r w:rsidRPr="00E0038E">
          <w:rPr>
            <w:rStyle w:val="Hyperlink"/>
            <w:rFonts w:asciiTheme="minorHAnsi" w:hAnsiTheme="minorHAnsi" w:cstheme="minorHAnsi"/>
            <w:i/>
            <w:sz w:val="16"/>
            <w:szCs w:val="16"/>
          </w:rPr>
          <w:t>State ex rel. Doe v. Smith</w:t>
        </w:r>
      </w:hyperlink>
      <w:r w:rsidRPr="00E0038E">
        <w:rPr>
          <w:rFonts w:asciiTheme="minorHAnsi" w:hAnsiTheme="minorHAnsi" w:cstheme="minorHAnsi"/>
          <w:sz w:val="16"/>
          <w:szCs w:val="16"/>
        </w:rPr>
        <w:t>, 123 Ohio St.3d 44, 2009-Ohio-4149, ¶ 10, 46 (reversing award of litigation expenses).</w:t>
      </w:r>
    </w:p>
  </w:endnote>
  <w:endnote w:id="832">
    <w:p w14:paraId="381456BA" w14:textId="77777777" w:rsidR="00AA576F" w:rsidRPr="00E0038E" w:rsidRDefault="00AA576F" w:rsidP="00B001F2">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8" w:history="1">
        <w:r w:rsidRPr="00E0038E">
          <w:rPr>
            <w:rStyle w:val="Hyperlink"/>
            <w:rFonts w:asciiTheme="minorHAnsi" w:hAnsiTheme="minorHAnsi" w:cstheme="minorHAnsi"/>
            <w:i/>
            <w:sz w:val="16"/>
            <w:szCs w:val="16"/>
          </w:rPr>
          <w:t xml:space="preserve">State ex rel. Toledo Blade Co. v. Seneca </w:t>
        </w:r>
        <w:r w:rsidRPr="00E0038E">
          <w:rPr>
            <w:rStyle w:val="Hyperlink"/>
            <w:rFonts w:asciiTheme="minorHAnsi" w:hAnsiTheme="minorHAnsi" w:cstheme="minorHAnsi"/>
            <w:i/>
            <w:sz w:val="16"/>
            <w:szCs w:val="16"/>
          </w:rPr>
          <w:t>Cty. Bd. of Commrs.</w:t>
        </w:r>
      </w:hyperlink>
      <w:r w:rsidRPr="00E0038E">
        <w:rPr>
          <w:rFonts w:asciiTheme="minorHAnsi" w:hAnsiTheme="minorHAnsi" w:cstheme="minorHAnsi"/>
          <w:sz w:val="16"/>
          <w:szCs w:val="16"/>
        </w:rPr>
        <w:t>, 120 Ohio St.3d 372, 2008-Ohio-6253, ¶ 31-32, 41 (noting that board did not contest the status of the requested emails as public records).</w:t>
      </w:r>
    </w:p>
  </w:endnote>
  <w:endnote w:id="833">
    <w:p w14:paraId="7F4FFCF3" w14:textId="77777777" w:rsidR="00AA576F" w:rsidRPr="00E0038E" w:rsidRDefault="00AA576F"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09" w:history="1">
        <w:r w:rsidRPr="00E0038E">
          <w:rPr>
            <w:rStyle w:val="Hyperlink"/>
            <w:rFonts w:asciiTheme="minorHAnsi" w:hAnsiTheme="minorHAnsi" w:cstheme="minorHAnsi"/>
            <w:i/>
            <w:sz w:val="16"/>
            <w:szCs w:val="16"/>
          </w:rPr>
          <w:t xml:space="preserve">State ex rel. Toledo Blade Co. v. Seneca </w:t>
        </w:r>
        <w:r w:rsidRPr="00E0038E">
          <w:rPr>
            <w:rStyle w:val="Hyperlink"/>
            <w:rFonts w:asciiTheme="minorHAnsi" w:hAnsiTheme="minorHAnsi" w:cstheme="minorHAnsi"/>
            <w:i/>
            <w:sz w:val="16"/>
            <w:szCs w:val="16"/>
          </w:rPr>
          <w:t>Cty. Bd. of Commrs.</w:t>
        </w:r>
      </w:hyperlink>
      <w:r w:rsidRPr="00E0038E">
        <w:rPr>
          <w:rFonts w:asciiTheme="minorHAnsi" w:hAnsiTheme="minorHAnsi" w:cstheme="minorHAnsi"/>
          <w:sz w:val="16"/>
          <w:szCs w:val="16"/>
        </w:rPr>
        <w:t>, 120 Ohio St.3d 372, 2008-Ohio-6253, ¶ 51 (when newspaper sought to inspect improperly deleted emails, the public office had to bear the expense of forensic recovery).</w:t>
      </w:r>
    </w:p>
  </w:endnote>
  <w:endnote w:id="834">
    <w:p w14:paraId="3F7059CD" w14:textId="7BDA572F" w:rsidR="002F23BE" w:rsidRPr="00E0038E" w:rsidRDefault="002F23BE"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10" w:history="1">
        <w:r w:rsidRPr="00E0038E">
          <w:rPr>
            <w:rStyle w:val="Hyperlink"/>
            <w:rFonts w:asciiTheme="minorHAnsi" w:hAnsiTheme="minorHAnsi" w:cstheme="minorHAnsi"/>
            <w:sz w:val="16"/>
            <w:szCs w:val="16"/>
          </w:rPr>
          <w:t>R.C. 149.43(C)(5)</w:t>
        </w:r>
      </w:hyperlink>
      <w:r w:rsidRPr="00E0038E">
        <w:rPr>
          <w:rFonts w:asciiTheme="minorHAnsi" w:hAnsiTheme="minorHAnsi" w:cstheme="minorHAnsi"/>
          <w:sz w:val="16"/>
          <w:szCs w:val="16"/>
        </w:rPr>
        <w:t>.</w:t>
      </w:r>
    </w:p>
  </w:endnote>
  <w:endnote w:id="835">
    <w:p w14:paraId="5431EB35" w14:textId="55B298F4" w:rsidR="002F23BE" w:rsidRPr="00E0038E" w:rsidRDefault="002F23BE"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11" w:history="1">
        <w:r w:rsidRPr="00E0038E">
          <w:rPr>
            <w:rStyle w:val="Hyperlink"/>
            <w:rFonts w:asciiTheme="minorHAnsi" w:hAnsiTheme="minorHAnsi" w:cstheme="minorHAnsi"/>
            <w:i/>
            <w:sz w:val="16"/>
            <w:szCs w:val="16"/>
          </w:rPr>
          <w:t>State ex rel. DiFranco v. S. Euclid</w:t>
        </w:r>
      </w:hyperlink>
      <w:r w:rsidRPr="00E0038E">
        <w:rPr>
          <w:rFonts w:asciiTheme="minorHAnsi" w:hAnsiTheme="minorHAnsi" w:cstheme="minorHAnsi"/>
          <w:sz w:val="16"/>
          <w:szCs w:val="16"/>
        </w:rPr>
        <w:t>, 144 Ohio St.3d 571, 2015-Ohio-4915, ¶ 10-12 (motion filed pursuant to R.C. 2323.51 must be rejected if not filed within 30 days).</w:t>
      </w:r>
    </w:p>
  </w:endnote>
  <w:endnote w:id="836">
    <w:p w14:paraId="1A193303" w14:textId="1B2AB3EC" w:rsidR="002F23BE" w:rsidRPr="00AB48B2" w:rsidRDefault="002F23BE" w:rsidP="00E0038E">
      <w:pPr>
        <w:pStyle w:val="EndnoteText"/>
        <w:spacing w:line="160" w:lineRule="exact"/>
        <w:jc w:val="both"/>
        <w:rPr>
          <w:rFonts w:asciiTheme="minorHAnsi" w:hAnsiTheme="minorHAnsi" w:cstheme="minorHAnsi"/>
          <w:sz w:val="16"/>
          <w:szCs w:val="16"/>
        </w:rPr>
      </w:pPr>
      <w:r w:rsidRPr="00E0038E">
        <w:rPr>
          <w:rStyle w:val="EndnoteReference"/>
          <w:rFonts w:asciiTheme="minorHAnsi" w:hAnsiTheme="minorHAnsi" w:cstheme="minorHAnsi"/>
          <w:sz w:val="16"/>
          <w:szCs w:val="16"/>
        </w:rPr>
        <w:endnoteRef/>
      </w:r>
      <w:r w:rsidRPr="00E0038E">
        <w:rPr>
          <w:rFonts w:asciiTheme="minorHAnsi" w:hAnsiTheme="minorHAnsi" w:cstheme="minorHAnsi"/>
          <w:sz w:val="16"/>
          <w:szCs w:val="16"/>
        </w:rPr>
        <w:t xml:space="preserve"> </w:t>
      </w:r>
      <w:hyperlink r:id="rId1112" w:history="1">
        <w:r w:rsidRPr="00E0038E">
          <w:rPr>
            <w:rStyle w:val="Hyperlink"/>
            <w:rFonts w:asciiTheme="minorHAnsi" w:hAnsiTheme="minorHAnsi" w:cstheme="minorHAnsi"/>
            <w:sz w:val="16"/>
            <w:szCs w:val="16"/>
          </w:rPr>
          <w:t>R.C. 2323.51</w:t>
        </w:r>
      </w:hyperlink>
      <w:r w:rsidRPr="00E0038E">
        <w:rPr>
          <w:rFonts w:asciiTheme="minorHAnsi" w:hAnsiTheme="minorHAnsi" w:cstheme="minorHAnsi"/>
          <w:sz w:val="16"/>
          <w:szCs w:val="16"/>
        </w:rPr>
        <w:t xml:space="preserve">; </w:t>
      </w:r>
      <w:hyperlink r:id="rId1113" w:history="1">
        <w:r w:rsidRPr="00E0038E">
          <w:rPr>
            <w:rStyle w:val="Hyperlink"/>
            <w:rFonts w:asciiTheme="minorHAnsi" w:hAnsiTheme="minorHAnsi" w:cstheme="minorHAnsi"/>
            <w:i/>
            <w:sz w:val="16"/>
            <w:szCs w:val="16"/>
          </w:rPr>
          <w:t>State ex rel. Davis v. Metzger</w:t>
        </w:r>
      </w:hyperlink>
      <w:r w:rsidRPr="00E0038E">
        <w:rPr>
          <w:rFonts w:asciiTheme="minorHAnsi" w:hAnsiTheme="minorHAnsi" w:cstheme="minorHAnsi"/>
          <w:sz w:val="16"/>
          <w:szCs w:val="16"/>
        </w:rPr>
        <w:t>, 145 Ohio St.3d 405, 2016-Ohio-1026, ¶ 9-13 (affirming sanctions against requester’s attorney for frivolous mandamus action and discovery)</w:t>
      </w:r>
      <w:r w:rsidR="00014197" w:rsidRPr="00E0038E">
        <w:rPr>
          <w:rFonts w:asciiTheme="minorHAnsi" w:hAnsiTheme="minorHAnsi" w:cstheme="minorHAnsi"/>
          <w:sz w:val="16"/>
          <w:szCs w:val="16"/>
        </w:rPr>
        <w:t>.</w:t>
      </w:r>
    </w:p>
  </w:endnote>
  <w:endnote w:id="837">
    <w:p w14:paraId="53C6BD00" w14:textId="23A9317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14" w:history="1">
        <w:r w:rsidRPr="00AB48B2">
          <w:rPr>
            <w:rStyle w:val="Hyperlink"/>
            <w:rFonts w:asciiTheme="minorHAnsi" w:hAnsiTheme="minorHAnsi" w:cstheme="minorHAnsi"/>
            <w:i/>
            <w:sz w:val="16"/>
            <w:szCs w:val="16"/>
          </w:rPr>
          <w:t>State ex rel. Striker v. Cline</w:t>
        </w:r>
      </w:hyperlink>
      <w:r w:rsidRPr="00AB48B2">
        <w:rPr>
          <w:rFonts w:asciiTheme="minorHAnsi" w:hAnsiTheme="minorHAnsi" w:cstheme="minorHAnsi"/>
          <w:sz w:val="16"/>
          <w:szCs w:val="16"/>
        </w:rPr>
        <w:t xml:space="preserve">, 130 Ohio St.3d 214, 2011-Ohio-5350, ¶ 7, 23-25; </w:t>
      </w:r>
      <w:hyperlink r:id="rId1115" w:history="1">
        <w:r w:rsidRPr="00AB48B2">
          <w:rPr>
            <w:rStyle w:val="Hyperlink"/>
            <w:rFonts w:asciiTheme="minorHAnsi" w:hAnsiTheme="minorHAnsi" w:cstheme="minorHAnsi"/>
            <w:i/>
            <w:sz w:val="16"/>
            <w:szCs w:val="16"/>
          </w:rPr>
          <w:t>State ex rel. Davis v. Metzger</w:t>
        </w:r>
      </w:hyperlink>
      <w:r w:rsidRPr="00AB48B2">
        <w:rPr>
          <w:rFonts w:asciiTheme="minorHAnsi" w:hAnsiTheme="minorHAnsi" w:cstheme="minorHAnsi"/>
          <w:sz w:val="16"/>
          <w:szCs w:val="16"/>
        </w:rPr>
        <w:t xml:space="preserve">, 5th Dist. Licking No. 11-CA-130, 2014-Ohio-4555, ¶ 13-14 (noting that requester filed mandamus within hours of being told request was being reviewed, did not dismiss action after receiving the records later that same day, and conducted unwarranted discovery); </w:t>
      </w:r>
      <w:hyperlink r:id="rId1116" w:history="1">
        <w:r w:rsidRPr="00AB48B2">
          <w:rPr>
            <w:rStyle w:val="Hyperlink"/>
            <w:rFonts w:asciiTheme="minorHAnsi" w:hAnsiTheme="minorHAnsi" w:cstheme="minorHAnsi"/>
            <w:i/>
            <w:sz w:val="16"/>
            <w:szCs w:val="16"/>
          </w:rPr>
          <w:t>State ex rel. DiFranco v. S. Euclid</w:t>
        </w:r>
      </w:hyperlink>
      <w:r w:rsidRPr="00AB48B2">
        <w:rPr>
          <w:rFonts w:asciiTheme="minorHAnsi" w:hAnsiTheme="minorHAnsi" w:cstheme="minorHAnsi"/>
          <w:sz w:val="16"/>
          <w:szCs w:val="16"/>
        </w:rPr>
        <w:t>, 144 Ohio St.3d 571, 2015-Ohio-4915, ¶ 15 (noting that frivolous conduct must be egregious and “is not proved merely by winning a legal battle or by proving that a party’s factual assertions were incorrect”).</w:t>
      </w:r>
    </w:p>
  </w:endnote>
  <w:endnote w:id="838">
    <w:p w14:paraId="5BCF1632" w14:textId="35B5B83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17" w:history="1">
        <w:r w:rsidRPr="00AB48B2">
          <w:rPr>
            <w:rStyle w:val="Hyperlink"/>
            <w:rFonts w:asciiTheme="minorHAnsi" w:hAnsiTheme="minorHAnsi" w:cstheme="minorHAnsi"/>
            <w:i/>
            <w:sz w:val="16"/>
            <w:szCs w:val="16"/>
          </w:rPr>
          <w:t xml:space="preserve">State ex rel. Bardwell v. Cuyahoga </w:t>
        </w:r>
        <w:r w:rsidRPr="00AB48B2">
          <w:rPr>
            <w:rStyle w:val="Hyperlink"/>
            <w:rFonts w:asciiTheme="minorHAnsi" w:hAnsiTheme="minorHAnsi" w:cstheme="minorHAnsi"/>
            <w:i/>
            <w:sz w:val="16"/>
            <w:szCs w:val="16"/>
          </w:rPr>
          <w:t>Cty. Bd. of Commrs.</w:t>
        </w:r>
      </w:hyperlink>
      <w:r w:rsidRPr="00AB48B2">
        <w:rPr>
          <w:rFonts w:asciiTheme="minorHAnsi" w:hAnsiTheme="minorHAnsi" w:cstheme="minorHAnsi"/>
          <w:sz w:val="16"/>
          <w:szCs w:val="16"/>
        </w:rPr>
        <w:t xml:space="preserve">, 127 Ohio St.3d 202, 2010-Ohio-5073, ¶ 15-17; </w:t>
      </w:r>
      <w:hyperlink r:id="rId1118" w:history="1">
        <w:r w:rsidRPr="00AB48B2">
          <w:rPr>
            <w:rStyle w:val="Hyperlink"/>
            <w:rFonts w:asciiTheme="minorHAnsi" w:hAnsiTheme="minorHAnsi" w:cstheme="minorHAnsi"/>
            <w:i/>
            <w:sz w:val="16"/>
            <w:szCs w:val="16"/>
          </w:rPr>
          <w:t>State ex rel. Verhovec v. Marietta</w:t>
        </w:r>
      </w:hyperlink>
      <w:r w:rsidRPr="00AB48B2">
        <w:rPr>
          <w:rFonts w:asciiTheme="minorHAnsi" w:hAnsiTheme="minorHAnsi" w:cstheme="minorHAnsi"/>
          <w:sz w:val="16"/>
          <w:szCs w:val="16"/>
        </w:rPr>
        <w:t xml:space="preserve">, 4th Dist. Washington Nos. 11CA29, 12CA52, 12CA53, 13CA1, 13CA2, 2013-Ohio-5414, ¶ 44-94 (relator engaged in frivolous conduct under Civ. R. 11 by feigning interest in records access when </w:t>
      </w:r>
      <w:r w:rsidR="00014197" w:rsidRPr="00AB48B2">
        <w:rPr>
          <w:rFonts w:asciiTheme="minorHAnsi" w:hAnsiTheme="minorHAnsi" w:cstheme="minorHAnsi"/>
          <w:sz w:val="16"/>
          <w:szCs w:val="16"/>
        </w:rPr>
        <w:t>his</w:t>
      </w:r>
      <w:r w:rsidRPr="00AB48B2">
        <w:rPr>
          <w:rFonts w:asciiTheme="minorHAnsi" w:hAnsiTheme="minorHAnsi" w:cstheme="minorHAnsi"/>
          <w:sz w:val="16"/>
          <w:szCs w:val="16"/>
        </w:rPr>
        <w:t xml:space="preserve"> actual intent was to seek forfeiture award); </w:t>
      </w:r>
      <w:r w:rsidRPr="00AB48B2">
        <w:rPr>
          <w:rFonts w:asciiTheme="minorHAnsi" w:hAnsiTheme="minorHAnsi" w:cstheme="minorHAnsi"/>
          <w:i/>
          <w:sz w:val="16"/>
          <w:szCs w:val="16"/>
        </w:rPr>
        <w:t>State ex rel. Bristow v. Baxter</w:t>
      </w:r>
      <w:r w:rsidRPr="00AB48B2">
        <w:rPr>
          <w:rFonts w:asciiTheme="minorHAnsi" w:hAnsiTheme="minorHAnsi" w:cstheme="minorHAnsi"/>
          <w:sz w:val="16"/>
          <w:szCs w:val="16"/>
        </w:rPr>
        <w:t>, 6th Dist. Erie Nos. E-17-060, E-17-067, E-17-070, 2018-Ohio-1973, ¶ 26 (denying motion for sanctions because, even assuming counsel violated Civ.R. 11, there was no evidence that counsel did so willfully or in bad faith).</w:t>
      </w:r>
    </w:p>
  </w:endnote>
  <w:endnote w:id="839">
    <w:p w14:paraId="32937134" w14:textId="4D27044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19" w:history="1">
        <w:r w:rsidRPr="00AB48B2">
          <w:rPr>
            <w:rStyle w:val="Hyperlink"/>
            <w:rFonts w:asciiTheme="minorHAnsi" w:hAnsiTheme="minorHAnsi" w:cstheme="minorHAnsi"/>
            <w:i/>
            <w:sz w:val="16"/>
            <w:szCs w:val="16"/>
          </w:rPr>
          <w:t>State ex rel. DiFranco v. S. Euclid</w:t>
        </w:r>
      </w:hyperlink>
      <w:r w:rsidRPr="00AB48B2">
        <w:rPr>
          <w:rFonts w:asciiTheme="minorHAnsi" w:hAnsiTheme="minorHAnsi" w:cstheme="minorHAnsi"/>
          <w:sz w:val="16"/>
          <w:szCs w:val="16"/>
        </w:rPr>
        <w:t xml:space="preserve">, 144 Ohio St.3d 571, 2015-Ohio-4915, ¶ 18 (filing a </w:t>
      </w:r>
      <w:r w:rsidRPr="00AB48B2">
        <w:rPr>
          <w:rFonts w:asciiTheme="minorHAnsi" w:hAnsiTheme="minorHAnsi" w:cstheme="minorHAnsi"/>
          <w:sz w:val="16"/>
          <w:szCs w:val="16"/>
        </w:rPr>
        <w:t xml:space="preserve">Civ.R. 11 motion two years after final judgment in public records case was not within a reasonable </w:t>
      </w:r>
      <w:r w:rsidRPr="00AB48B2">
        <w:rPr>
          <w:rFonts w:asciiTheme="minorHAnsi" w:hAnsiTheme="minorHAnsi" w:cstheme="minorHAnsi"/>
          <w:sz w:val="16"/>
          <w:szCs w:val="16"/>
        </w:rPr>
        <w:t xml:space="preserve">period of time).  An award or denial of </w:t>
      </w:r>
      <w:hyperlink r:id="rId1120" w:history="1">
        <w:r w:rsidRPr="00416F63">
          <w:rPr>
            <w:rStyle w:val="Hyperlink"/>
            <w:rFonts w:asciiTheme="minorHAnsi" w:hAnsiTheme="minorHAnsi" w:cstheme="minorHAnsi"/>
            <w:sz w:val="16"/>
            <w:szCs w:val="16"/>
          </w:rPr>
          <w:t>Civil Rule 11</w:t>
        </w:r>
      </w:hyperlink>
      <w:r w:rsidRPr="00AB48B2">
        <w:rPr>
          <w:rFonts w:asciiTheme="minorHAnsi" w:hAnsiTheme="minorHAnsi" w:cstheme="minorHAnsi"/>
          <w:sz w:val="16"/>
          <w:szCs w:val="16"/>
        </w:rPr>
        <w:t xml:space="preserve"> sanctions is reviewed on appeal under an abuse of discretion standard. </w:t>
      </w:r>
      <w:r w:rsidR="00C36F4A" w:rsidRPr="00AB48B2">
        <w:rPr>
          <w:rFonts w:asciiTheme="minorHAnsi" w:hAnsiTheme="minorHAnsi" w:cstheme="minorHAnsi"/>
          <w:i/>
          <w:sz w:val="16"/>
          <w:szCs w:val="16"/>
        </w:rPr>
        <w:t>See</w:t>
      </w:r>
      <w:r w:rsidR="00C36F4A" w:rsidRPr="00AB48B2">
        <w:rPr>
          <w:rFonts w:asciiTheme="minorHAnsi" w:hAnsiTheme="minorHAnsi" w:cstheme="minorHAnsi"/>
          <w:sz w:val="16"/>
          <w:szCs w:val="16"/>
        </w:rPr>
        <w:t xml:space="preserve"> </w:t>
      </w:r>
      <w:hyperlink r:id="rId1121" w:history="1">
        <w:r w:rsidR="00C36F4A" w:rsidRPr="00AB48B2">
          <w:rPr>
            <w:rStyle w:val="Hyperlink"/>
            <w:rFonts w:asciiTheme="minorHAnsi" w:hAnsiTheme="minorHAnsi" w:cstheme="minorHAnsi"/>
            <w:i/>
            <w:sz w:val="16"/>
            <w:szCs w:val="16"/>
          </w:rPr>
          <w:t>State ex rel. Pietrangelo v. Avon Lake</w:t>
        </w:r>
      </w:hyperlink>
      <w:r w:rsidR="00C36F4A" w:rsidRPr="00AB48B2">
        <w:rPr>
          <w:rFonts w:asciiTheme="minorHAnsi" w:hAnsiTheme="minorHAnsi" w:cstheme="minorHAnsi"/>
          <w:sz w:val="16"/>
          <w:szCs w:val="16"/>
        </w:rPr>
        <w:t xml:space="preserve">, </w:t>
      </w:r>
      <w:r w:rsidRPr="00AB48B2">
        <w:rPr>
          <w:rFonts w:asciiTheme="minorHAnsi" w:hAnsiTheme="minorHAnsi" w:cstheme="minorHAnsi"/>
          <w:sz w:val="16"/>
          <w:szCs w:val="16"/>
        </w:rPr>
        <w:t>146 Ohio St.3d 292, 2016-Ohio-2974, ¶ 19.</w:t>
      </w:r>
    </w:p>
  </w:endnote>
  <w:endnote w:id="840">
    <w:p w14:paraId="41779ED1" w14:textId="66FF405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22" w:history="1">
        <w:r w:rsidRPr="00AB48B2">
          <w:rPr>
            <w:rStyle w:val="Hyperlink"/>
            <w:rFonts w:asciiTheme="minorHAnsi" w:hAnsiTheme="minorHAnsi" w:cstheme="minorHAnsi"/>
            <w:sz w:val="16"/>
            <w:szCs w:val="16"/>
          </w:rPr>
          <w:t>R.C. 2743.75</w:t>
        </w:r>
      </w:hyperlink>
      <w:r w:rsidRPr="00AB48B2">
        <w:rPr>
          <w:rFonts w:asciiTheme="minorHAnsi" w:hAnsiTheme="minorHAnsi" w:cstheme="minorHAnsi"/>
          <w:sz w:val="16"/>
          <w:szCs w:val="16"/>
        </w:rPr>
        <w:t>.</w:t>
      </w:r>
    </w:p>
  </w:endnote>
  <w:endnote w:id="841">
    <w:p w14:paraId="5299FA64" w14:textId="362F8BE2"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23" w:history="1">
        <w:r w:rsidRPr="00AB48B2">
          <w:rPr>
            <w:rStyle w:val="Hyperlink"/>
            <w:rFonts w:asciiTheme="minorHAnsi" w:hAnsiTheme="minorHAnsi" w:cstheme="minorHAnsi"/>
            <w:sz w:val="16"/>
            <w:szCs w:val="16"/>
          </w:rPr>
          <w:t>R.C. 2743.75(A)</w:t>
        </w:r>
      </w:hyperlink>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Jabr v. Disciplinary Counsel, </w:t>
      </w:r>
      <w:r w:rsidRPr="00AB48B2">
        <w:rPr>
          <w:rFonts w:asciiTheme="minorHAnsi" w:hAnsiTheme="minorHAnsi" w:cstheme="minorHAnsi"/>
          <w:sz w:val="16"/>
          <w:szCs w:val="16"/>
        </w:rPr>
        <w:t xml:space="preserve">Ct. of Cl. No. 2020-00596PQ, 2021-Ohio-398 (under R.C. 2743.75(A), Court of Claims has jurisdiction to resolve disputes arising under </w:t>
      </w:r>
      <w:r w:rsidR="00416F63">
        <w:rPr>
          <w:rFonts w:asciiTheme="minorHAnsi" w:hAnsiTheme="minorHAnsi" w:cstheme="minorHAnsi"/>
          <w:sz w:val="16"/>
          <w:szCs w:val="16"/>
        </w:rPr>
        <w:t>the Public Records Act and</w:t>
      </w:r>
      <w:r w:rsidRPr="00AB48B2">
        <w:rPr>
          <w:rFonts w:asciiTheme="minorHAnsi" w:hAnsiTheme="minorHAnsi" w:cstheme="minorHAnsi"/>
          <w:sz w:val="16"/>
          <w:szCs w:val="16"/>
        </w:rPr>
        <w:t xml:space="preserve"> cannot adjudicate actions to enforce violation of Rules of Superintendence).</w:t>
      </w:r>
    </w:p>
  </w:endnote>
  <w:endnote w:id="842">
    <w:p w14:paraId="5F98F6F8" w14:textId="72C3740A" w:rsidR="002F23BE" w:rsidRPr="00DE1C46" w:rsidRDefault="002F23BE" w:rsidP="00DE1C46">
      <w:pPr>
        <w:pStyle w:val="EndnoteText"/>
        <w:spacing w:line="160" w:lineRule="exact"/>
        <w:jc w:val="both"/>
        <w:rPr>
          <w:rFonts w:asciiTheme="minorHAnsi" w:hAnsiTheme="minorHAnsi" w:cstheme="minorHAnsi"/>
          <w:sz w:val="16"/>
          <w:szCs w:val="16"/>
        </w:rPr>
      </w:pPr>
      <w:r w:rsidRPr="00DE1C46">
        <w:rPr>
          <w:rStyle w:val="EndnoteReference"/>
          <w:rFonts w:asciiTheme="minorHAnsi" w:hAnsiTheme="minorHAnsi" w:cstheme="minorHAnsi"/>
          <w:sz w:val="16"/>
          <w:szCs w:val="16"/>
        </w:rPr>
        <w:endnoteRef/>
      </w:r>
      <w:r w:rsidRPr="00DE1C46">
        <w:rPr>
          <w:rFonts w:asciiTheme="minorHAnsi" w:hAnsiTheme="minorHAnsi" w:cstheme="minorHAnsi"/>
          <w:sz w:val="16"/>
          <w:szCs w:val="16"/>
        </w:rPr>
        <w:t xml:space="preserve"> </w:t>
      </w:r>
      <w:hyperlink r:id="rId1124" w:history="1">
        <w:r w:rsidRPr="00DE1C46">
          <w:rPr>
            <w:rStyle w:val="Hyperlink"/>
            <w:rFonts w:asciiTheme="minorHAnsi" w:hAnsiTheme="minorHAnsi" w:cstheme="minorHAnsi"/>
            <w:sz w:val="16"/>
            <w:szCs w:val="16"/>
          </w:rPr>
          <w:t>R.C. 2743.75(A)</w:t>
        </w:r>
      </w:hyperlink>
      <w:r w:rsidRPr="00DE1C46">
        <w:rPr>
          <w:rFonts w:asciiTheme="minorHAnsi" w:hAnsiTheme="minorHAnsi" w:cstheme="minorHAnsi"/>
          <w:sz w:val="16"/>
          <w:szCs w:val="16"/>
        </w:rPr>
        <w:t>.</w:t>
      </w:r>
    </w:p>
  </w:endnote>
  <w:endnote w:id="843">
    <w:p w14:paraId="70E94F75" w14:textId="73A4CA0B" w:rsidR="002F23BE" w:rsidRPr="00DE1C46" w:rsidRDefault="002F23BE" w:rsidP="00DE1C46">
      <w:pPr>
        <w:pStyle w:val="EndnoteText"/>
        <w:spacing w:line="160" w:lineRule="exact"/>
        <w:jc w:val="both"/>
        <w:rPr>
          <w:rFonts w:asciiTheme="minorHAnsi" w:hAnsiTheme="minorHAnsi" w:cstheme="minorHAnsi"/>
          <w:sz w:val="16"/>
          <w:szCs w:val="16"/>
        </w:rPr>
      </w:pPr>
      <w:r w:rsidRPr="00DE1C46">
        <w:rPr>
          <w:rStyle w:val="EndnoteReference"/>
          <w:rFonts w:asciiTheme="minorHAnsi" w:hAnsiTheme="minorHAnsi" w:cstheme="minorHAnsi"/>
          <w:sz w:val="16"/>
          <w:szCs w:val="16"/>
        </w:rPr>
        <w:endnoteRef/>
      </w:r>
      <w:r w:rsidRPr="00DE1C46">
        <w:rPr>
          <w:rFonts w:asciiTheme="minorHAnsi" w:hAnsiTheme="minorHAnsi" w:cstheme="minorHAnsi"/>
          <w:sz w:val="16"/>
          <w:szCs w:val="16"/>
        </w:rPr>
        <w:t xml:space="preserve"> </w:t>
      </w:r>
      <w:hyperlink r:id="rId1125" w:history="1">
        <w:r w:rsidRPr="00DE1C46">
          <w:rPr>
            <w:rStyle w:val="Hyperlink"/>
            <w:rFonts w:asciiTheme="minorHAnsi" w:hAnsiTheme="minorHAnsi" w:cstheme="minorHAnsi"/>
            <w:sz w:val="16"/>
            <w:szCs w:val="16"/>
          </w:rPr>
          <w:t>R.C. 2743.75(C)(1)</w:t>
        </w:r>
      </w:hyperlink>
      <w:r w:rsidRPr="00DE1C46">
        <w:rPr>
          <w:rFonts w:asciiTheme="minorHAnsi" w:hAnsiTheme="minorHAnsi" w:cstheme="minorHAnsi"/>
          <w:sz w:val="16"/>
          <w:szCs w:val="16"/>
        </w:rPr>
        <w:t xml:space="preserve">; </w:t>
      </w:r>
      <w:hyperlink r:id="rId1126" w:history="1">
        <w:r w:rsidR="0070146C" w:rsidRPr="00DE1C46">
          <w:rPr>
            <w:rStyle w:val="Hyperlink"/>
            <w:rFonts w:asciiTheme="minorHAnsi" w:hAnsiTheme="minorHAnsi" w:cstheme="minorHAnsi"/>
            <w:i/>
            <w:iCs/>
            <w:sz w:val="16"/>
            <w:szCs w:val="16"/>
          </w:rPr>
          <w:t xml:space="preserve">Welsh-Huggins v. Jefferson </w:t>
        </w:r>
        <w:r w:rsidR="0070146C" w:rsidRPr="00DE1C46">
          <w:rPr>
            <w:rStyle w:val="Hyperlink"/>
            <w:rFonts w:asciiTheme="minorHAnsi" w:hAnsiTheme="minorHAnsi" w:cstheme="minorHAnsi"/>
            <w:i/>
            <w:iCs/>
            <w:sz w:val="16"/>
            <w:szCs w:val="16"/>
          </w:rPr>
          <w:t>Cty. Prosecutor’s Office</w:t>
        </w:r>
      </w:hyperlink>
      <w:r w:rsidR="0070146C" w:rsidRPr="00DE1C46">
        <w:rPr>
          <w:rStyle w:val="Hyperlink"/>
          <w:rFonts w:asciiTheme="minorHAnsi" w:hAnsiTheme="minorHAnsi" w:cstheme="minorHAnsi"/>
          <w:i/>
          <w:iCs/>
          <w:sz w:val="16"/>
          <w:szCs w:val="16"/>
        </w:rPr>
        <w:t xml:space="preserve">, </w:t>
      </w:r>
      <w:r w:rsidRPr="00DE1C46">
        <w:rPr>
          <w:rFonts w:asciiTheme="minorHAnsi" w:hAnsiTheme="minorHAnsi" w:cstheme="minorHAnsi"/>
          <w:sz w:val="16"/>
          <w:szCs w:val="16"/>
        </w:rPr>
        <w:t>163 Ohio St.3d 337, 2020-Ohio-5371, ¶ 12.</w:t>
      </w:r>
    </w:p>
  </w:endnote>
  <w:endnote w:id="844">
    <w:p w14:paraId="71845950" w14:textId="5810AB9A" w:rsidR="00DE1C46" w:rsidRDefault="00DE1C46" w:rsidP="00DE1C46">
      <w:pPr>
        <w:pStyle w:val="EndnoteText"/>
        <w:spacing w:line="160" w:lineRule="exact"/>
      </w:pPr>
      <w:r w:rsidRPr="00DE1C46">
        <w:rPr>
          <w:rStyle w:val="EndnoteReference"/>
          <w:sz w:val="16"/>
          <w:szCs w:val="16"/>
        </w:rPr>
        <w:endnoteRef/>
      </w:r>
      <w:r w:rsidRPr="00DE1C46">
        <w:rPr>
          <w:sz w:val="16"/>
          <w:szCs w:val="16"/>
        </w:rPr>
        <w:t xml:space="preserve"> </w:t>
      </w:r>
      <w:hyperlink r:id="rId1127" w:history="1">
        <w:r w:rsidRPr="00DE1C46">
          <w:rPr>
            <w:rStyle w:val="Hyperlink"/>
            <w:rFonts w:asciiTheme="minorHAnsi" w:hAnsiTheme="minorHAnsi" w:cstheme="minorHAnsi"/>
            <w:i/>
            <w:iCs/>
            <w:sz w:val="16"/>
            <w:szCs w:val="16"/>
          </w:rPr>
          <w:t xml:space="preserve">State ex rel. </w:t>
        </w:r>
        <w:r w:rsidRPr="00DE1C46">
          <w:rPr>
            <w:rStyle w:val="Hyperlink"/>
            <w:rFonts w:asciiTheme="minorHAnsi" w:hAnsiTheme="minorHAnsi" w:cstheme="minorHAnsi"/>
            <w:i/>
            <w:iCs/>
            <w:sz w:val="16"/>
            <w:szCs w:val="16"/>
          </w:rPr>
          <w:t>Sultaana v. Mansfield Corr. Inst</w:t>
        </w:r>
      </w:hyperlink>
      <w:r w:rsidRPr="00DE1C46">
        <w:rPr>
          <w:rFonts w:asciiTheme="minorHAnsi" w:hAnsiTheme="minorHAnsi" w:cstheme="minorHAnsi"/>
          <w:i/>
          <w:iCs/>
          <w:sz w:val="16"/>
          <w:szCs w:val="16"/>
        </w:rPr>
        <w:t xml:space="preserve">., </w:t>
      </w:r>
      <w:r w:rsidRPr="00DE1C46">
        <w:rPr>
          <w:rFonts w:asciiTheme="minorHAnsi" w:hAnsiTheme="minorHAnsi" w:cstheme="minorHAnsi"/>
          <w:sz w:val="16"/>
          <w:szCs w:val="16"/>
        </w:rPr>
        <w:t>Slip. Op. No. 2022-0702, 2023-Ohio-1177, ¶ 10 (a requester cannot transfer a mandamus case from a court of common pleas, court of appeals, or the Supreme Court of Ohio to the Court of Claims because the Court of Claims does not have jurisdiction in mandamus).</w:t>
      </w:r>
    </w:p>
  </w:endnote>
  <w:endnote w:id="845">
    <w:p w14:paraId="419A2EF8" w14:textId="6452538F"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28"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 xml:space="preserve">; </w:t>
      </w:r>
      <w:hyperlink r:id="rId1129" w:history="1">
        <w:r w:rsidRPr="00AB48B2">
          <w:rPr>
            <w:rStyle w:val="Hyperlink"/>
            <w:rFonts w:asciiTheme="minorHAnsi" w:hAnsiTheme="minorHAnsi" w:cstheme="minorHAnsi"/>
            <w:sz w:val="16"/>
            <w:szCs w:val="16"/>
          </w:rPr>
          <w:t>R.C. 2743.75(B)</w:t>
        </w:r>
      </w:hyperlink>
      <w:r w:rsidRPr="00AB48B2">
        <w:rPr>
          <w:rFonts w:asciiTheme="minorHAnsi" w:hAnsiTheme="minorHAnsi" w:cstheme="minorHAnsi"/>
          <w:sz w:val="16"/>
          <w:szCs w:val="16"/>
        </w:rPr>
        <w:t>.</w:t>
      </w:r>
    </w:p>
  </w:endnote>
  <w:endnote w:id="846">
    <w:p w14:paraId="5308B67C" w14:textId="279F5D33"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0"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w:t>
      </w:r>
    </w:p>
  </w:endnote>
  <w:endnote w:id="847">
    <w:p w14:paraId="104D9D73" w14:textId="5A2A0A43" w:rsidR="002F23BE" w:rsidRPr="00AB48B2" w:rsidRDefault="002F23BE" w:rsidP="00DE1C46">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1"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w:t>
      </w:r>
    </w:p>
  </w:endnote>
  <w:endnote w:id="848">
    <w:p w14:paraId="0C9DF58F" w14:textId="480251A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2" w:history="1">
        <w:r w:rsidRPr="00AB48B2">
          <w:rPr>
            <w:rStyle w:val="Hyperlink"/>
            <w:rFonts w:asciiTheme="minorHAnsi" w:hAnsiTheme="minorHAnsi" w:cstheme="minorHAnsi"/>
            <w:sz w:val="16"/>
            <w:szCs w:val="16"/>
          </w:rPr>
          <w:t>R.C. 2743.75(D)(1)</w:t>
        </w:r>
      </w:hyperlink>
      <w:r w:rsidRPr="00AB48B2">
        <w:rPr>
          <w:rFonts w:asciiTheme="minorHAnsi" w:hAnsiTheme="minorHAnsi" w:cstheme="minorHAnsi"/>
          <w:sz w:val="16"/>
          <w:szCs w:val="16"/>
        </w:rPr>
        <w:t>.</w:t>
      </w:r>
    </w:p>
  </w:endnote>
  <w:endnote w:id="849">
    <w:p w14:paraId="22E22BF1" w14:textId="41BF3A7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3" w:history="1">
        <w:r w:rsidRPr="00AB48B2">
          <w:rPr>
            <w:rStyle w:val="Hyperlink"/>
            <w:rFonts w:asciiTheme="minorHAnsi" w:hAnsiTheme="minorHAnsi" w:cstheme="minorHAnsi"/>
            <w:sz w:val="16"/>
            <w:szCs w:val="16"/>
          </w:rPr>
          <w:t>R.C. 2743.75(D)(2)</w:t>
        </w:r>
      </w:hyperlink>
      <w:r w:rsidRPr="00AB48B2">
        <w:rPr>
          <w:rFonts w:asciiTheme="minorHAnsi" w:hAnsiTheme="minorHAnsi" w:cstheme="minorHAnsi"/>
          <w:sz w:val="16"/>
          <w:szCs w:val="16"/>
        </w:rPr>
        <w:t>.</w:t>
      </w:r>
    </w:p>
  </w:endnote>
  <w:endnote w:id="850">
    <w:p w14:paraId="59BC90D8" w14:textId="327D379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4" w:history="1">
        <w:r w:rsidRPr="00AB48B2">
          <w:rPr>
            <w:rStyle w:val="Hyperlink"/>
            <w:rFonts w:asciiTheme="minorHAnsi" w:hAnsiTheme="minorHAnsi" w:cstheme="minorHAnsi"/>
            <w:sz w:val="16"/>
            <w:szCs w:val="16"/>
          </w:rPr>
          <w:t>R.C. 2743.75(A)</w:t>
        </w:r>
      </w:hyperlink>
      <w:r w:rsidRPr="00AB48B2">
        <w:rPr>
          <w:rFonts w:asciiTheme="minorHAnsi" w:hAnsiTheme="minorHAnsi" w:cstheme="minorHAnsi"/>
          <w:sz w:val="16"/>
          <w:szCs w:val="16"/>
        </w:rPr>
        <w:t>.</w:t>
      </w:r>
    </w:p>
  </w:endnote>
  <w:endnote w:id="851">
    <w:p w14:paraId="320D9592" w14:textId="0EFA322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5" w:history="1">
        <w:r w:rsidRPr="00AB48B2">
          <w:rPr>
            <w:rStyle w:val="Hyperlink"/>
            <w:rFonts w:asciiTheme="minorHAnsi" w:hAnsiTheme="minorHAnsi" w:cstheme="minorHAnsi"/>
            <w:sz w:val="16"/>
            <w:szCs w:val="16"/>
          </w:rPr>
          <w:t>R.C. 2743.75(D)(2)</w:t>
        </w:r>
      </w:hyperlink>
      <w:r w:rsidRPr="00AB48B2">
        <w:rPr>
          <w:rFonts w:asciiTheme="minorHAnsi" w:hAnsiTheme="minorHAnsi" w:cstheme="minorHAnsi"/>
          <w:sz w:val="16"/>
          <w:szCs w:val="16"/>
        </w:rPr>
        <w:t>.</w:t>
      </w:r>
    </w:p>
  </w:endnote>
  <w:endnote w:id="852">
    <w:p w14:paraId="4E2FD97B" w14:textId="608DE75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6" w:history="1">
        <w:r w:rsidRPr="00AB48B2">
          <w:rPr>
            <w:rStyle w:val="Hyperlink"/>
            <w:rFonts w:asciiTheme="minorHAnsi" w:hAnsiTheme="minorHAnsi" w:cstheme="minorHAnsi"/>
            <w:sz w:val="16"/>
            <w:szCs w:val="16"/>
          </w:rPr>
          <w:t>R.C. 2743.75(D)(2)</w:t>
        </w:r>
      </w:hyperlink>
      <w:r w:rsidRPr="00AB48B2">
        <w:rPr>
          <w:rFonts w:asciiTheme="minorHAnsi" w:hAnsiTheme="minorHAnsi" w:cstheme="minorHAnsi"/>
          <w:sz w:val="16"/>
          <w:szCs w:val="16"/>
        </w:rPr>
        <w:t>.</w:t>
      </w:r>
    </w:p>
  </w:endnote>
  <w:endnote w:id="853">
    <w:p w14:paraId="1CB71C8D" w14:textId="7451A09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7" w:history="1">
        <w:r w:rsidRPr="00AB48B2">
          <w:rPr>
            <w:rStyle w:val="Hyperlink"/>
            <w:rFonts w:asciiTheme="minorHAnsi" w:hAnsiTheme="minorHAnsi" w:cstheme="minorHAnsi"/>
            <w:sz w:val="16"/>
            <w:szCs w:val="16"/>
          </w:rPr>
          <w:t>R.C. 2743.75(C)(2)</w:t>
        </w:r>
      </w:hyperlink>
      <w:r w:rsidRPr="00AB48B2">
        <w:rPr>
          <w:rFonts w:asciiTheme="minorHAnsi" w:hAnsiTheme="minorHAnsi" w:cstheme="minorHAnsi"/>
          <w:sz w:val="16"/>
          <w:szCs w:val="16"/>
        </w:rPr>
        <w:t xml:space="preserve">.  A “case of first impression” is simply one that presents the court with an issue of law that has not previously been decided by any controlling legal authority in that jurisdiction.  </w:t>
      </w:r>
      <w:r w:rsidRPr="00AB48B2">
        <w:rPr>
          <w:rFonts w:asciiTheme="minorHAnsi" w:hAnsiTheme="minorHAnsi" w:cstheme="minorHAnsi"/>
          <w:i/>
          <w:sz w:val="16"/>
          <w:szCs w:val="16"/>
        </w:rPr>
        <w:t>See</w:t>
      </w:r>
      <w:r w:rsidRPr="00AB48B2">
        <w:rPr>
          <w:rFonts w:asciiTheme="minorHAnsi" w:hAnsiTheme="minorHAnsi" w:cstheme="minorHAnsi"/>
          <w:sz w:val="16"/>
          <w:szCs w:val="16"/>
        </w:rPr>
        <w:t xml:space="preserve"> Black’s Law Dictionary (10th ed. 2014) (defining “case of first impression”).</w:t>
      </w:r>
    </w:p>
  </w:endnote>
  <w:endnote w:id="854">
    <w:p w14:paraId="37CF1109" w14:textId="783E973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8"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5">
    <w:p w14:paraId="1DCD4882" w14:textId="73E787E6"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39"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6">
    <w:p w14:paraId="67636C94" w14:textId="3ED1836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0"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7">
    <w:p w14:paraId="6C49634C" w14:textId="42D14D5D"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1"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58">
    <w:p w14:paraId="56734C46" w14:textId="5A269ED4"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2" w:history="1">
        <w:r w:rsidRPr="00AB48B2">
          <w:rPr>
            <w:rStyle w:val="Hyperlink"/>
            <w:rFonts w:asciiTheme="minorHAnsi" w:hAnsiTheme="minorHAnsi" w:cstheme="minorHAnsi"/>
            <w:sz w:val="16"/>
            <w:szCs w:val="16"/>
          </w:rPr>
          <w:t>R.C. 2743.75(E)(1)</w:t>
        </w:r>
      </w:hyperlink>
      <w:r w:rsidR="00F75EEF" w:rsidRPr="00AB48B2">
        <w:rPr>
          <w:rStyle w:val="Hyperlink"/>
          <w:rFonts w:asciiTheme="minorHAnsi" w:hAnsiTheme="minorHAnsi" w:cstheme="minorHAnsi"/>
          <w:color w:val="auto"/>
          <w:sz w:val="16"/>
          <w:szCs w:val="16"/>
        </w:rPr>
        <w:t xml:space="preserve">; </w:t>
      </w:r>
      <w:r w:rsidR="00F75EEF" w:rsidRPr="00AB48B2">
        <w:rPr>
          <w:rStyle w:val="Hyperlink"/>
          <w:rFonts w:asciiTheme="minorHAnsi" w:hAnsiTheme="minorHAnsi" w:cstheme="minorHAnsi"/>
          <w:i/>
          <w:iCs/>
          <w:color w:val="auto"/>
          <w:sz w:val="16"/>
          <w:szCs w:val="16"/>
        </w:rPr>
        <w:t>Meros v. Office of O</w:t>
      </w:r>
      <w:r w:rsidR="00F75EEF" w:rsidRPr="00AB48B2">
        <w:rPr>
          <w:rFonts w:asciiTheme="minorHAnsi" w:hAnsiTheme="minorHAnsi" w:cstheme="minorHAnsi"/>
          <w:i/>
          <w:iCs/>
          <w:sz w:val="16"/>
          <w:szCs w:val="16"/>
        </w:rPr>
        <w:t>hio Attorney General Dave Yost</w:t>
      </w:r>
      <w:r w:rsidR="00F75EEF" w:rsidRPr="00AB48B2">
        <w:rPr>
          <w:rFonts w:asciiTheme="minorHAnsi" w:hAnsiTheme="minorHAnsi" w:cstheme="minorHAnsi"/>
          <w:sz w:val="16"/>
          <w:szCs w:val="16"/>
        </w:rPr>
        <w:t>, Ct. of Cl. No. 2023-00146PQ, 2023-Ohio-1861, ¶ 10 (special master did not err in refusing to refer case to mediation)</w:t>
      </w:r>
      <w:r w:rsidRPr="00AB48B2">
        <w:rPr>
          <w:rFonts w:asciiTheme="minorHAnsi" w:hAnsiTheme="minorHAnsi" w:cstheme="minorHAnsi"/>
          <w:sz w:val="16"/>
          <w:szCs w:val="16"/>
        </w:rPr>
        <w:t>.</w:t>
      </w:r>
    </w:p>
  </w:endnote>
  <w:endnote w:id="859">
    <w:p w14:paraId="20420867" w14:textId="771F554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3" w:history="1">
        <w:r w:rsidRPr="00AB48B2">
          <w:rPr>
            <w:rStyle w:val="Hyperlink"/>
            <w:rFonts w:asciiTheme="minorHAnsi" w:hAnsiTheme="minorHAnsi" w:cstheme="minorHAnsi"/>
            <w:sz w:val="16"/>
            <w:szCs w:val="16"/>
          </w:rPr>
          <w:t>R.C. 2743.75(E)(1)</w:t>
        </w:r>
      </w:hyperlink>
      <w:r w:rsidRPr="00AB48B2">
        <w:rPr>
          <w:rFonts w:asciiTheme="minorHAnsi" w:hAnsiTheme="minorHAnsi" w:cstheme="minorHAnsi"/>
          <w:sz w:val="16"/>
          <w:szCs w:val="16"/>
        </w:rPr>
        <w:t>.</w:t>
      </w:r>
    </w:p>
  </w:endnote>
  <w:endnote w:id="860">
    <w:p w14:paraId="20490B45" w14:textId="0F4098C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4" w:history="1">
        <w:r w:rsidRPr="00AB48B2">
          <w:rPr>
            <w:rStyle w:val="Hyperlink"/>
            <w:rFonts w:asciiTheme="minorHAnsi" w:hAnsiTheme="minorHAnsi" w:cstheme="minorHAnsi"/>
            <w:sz w:val="16"/>
            <w:szCs w:val="16"/>
          </w:rPr>
          <w:t>R.C. 2743.75(E)(2)</w:t>
        </w:r>
      </w:hyperlink>
      <w:r w:rsidRPr="00AB48B2">
        <w:rPr>
          <w:rFonts w:asciiTheme="minorHAnsi" w:hAnsiTheme="minorHAnsi" w:cstheme="minorHAnsi"/>
          <w:sz w:val="16"/>
          <w:szCs w:val="16"/>
        </w:rPr>
        <w:t>.</w:t>
      </w:r>
    </w:p>
  </w:endnote>
  <w:endnote w:id="861">
    <w:p w14:paraId="2D422438" w14:textId="5384CAE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5" w:history="1">
        <w:r w:rsidRPr="00AB48B2">
          <w:rPr>
            <w:rStyle w:val="Hyperlink"/>
            <w:rFonts w:asciiTheme="minorHAnsi" w:hAnsiTheme="minorHAnsi" w:cstheme="minorHAnsi"/>
            <w:sz w:val="16"/>
            <w:szCs w:val="16"/>
          </w:rPr>
          <w:t>R.C. 2743.75(E)(2)</w:t>
        </w:r>
      </w:hyperlink>
      <w:r w:rsidRPr="00AB48B2">
        <w:rPr>
          <w:rFonts w:asciiTheme="minorHAnsi" w:hAnsiTheme="minorHAnsi" w:cstheme="minorHAnsi"/>
          <w:sz w:val="16"/>
          <w:szCs w:val="16"/>
        </w:rPr>
        <w:t>.</w:t>
      </w:r>
    </w:p>
  </w:endnote>
  <w:endnote w:id="862">
    <w:p w14:paraId="5D743D20" w14:textId="3197504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6" w:history="1">
        <w:r w:rsidRPr="00AB48B2">
          <w:rPr>
            <w:rStyle w:val="Hyperlink"/>
            <w:rFonts w:asciiTheme="minorHAnsi" w:hAnsiTheme="minorHAnsi" w:cstheme="minorHAnsi"/>
            <w:sz w:val="16"/>
            <w:szCs w:val="16"/>
          </w:rPr>
          <w:t>R.C. 2743.75(E)(2)</w:t>
        </w:r>
      </w:hyperlink>
      <w:r w:rsidRPr="00AB48B2">
        <w:rPr>
          <w:rFonts w:asciiTheme="minorHAnsi" w:hAnsiTheme="minorHAnsi" w:cstheme="minorHAnsi"/>
          <w:sz w:val="16"/>
          <w:szCs w:val="16"/>
        </w:rPr>
        <w:t>.</w:t>
      </w:r>
    </w:p>
  </w:endnote>
  <w:endnote w:id="863">
    <w:p w14:paraId="4F59EB16" w14:textId="1B6DEF7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7" w:history="1">
        <w:r w:rsidRPr="00AB48B2">
          <w:rPr>
            <w:rStyle w:val="Hyperlink"/>
            <w:rFonts w:asciiTheme="minorHAnsi" w:hAnsiTheme="minorHAnsi" w:cstheme="minorHAnsi"/>
            <w:sz w:val="16"/>
            <w:szCs w:val="16"/>
          </w:rPr>
          <w:t>R.C. 2743.75(E)(2), (E)(3)(c)</w:t>
        </w:r>
      </w:hyperlink>
      <w:r w:rsidRPr="00AB48B2">
        <w:rPr>
          <w:rFonts w:asciiTheme="minorHAnsi" w:hAnsiTheme="minorHAnsi" w:cstheme="minorHAnsi"/>
          <w:sz w:val="16"/>
          <w:szCs w:val="16"/>
        </w:rPr>
        <w:t>.</w:t>
      </w:r>
    </w:p>
  </w:endnote>
  <w:endnote w:id="864">
    <w:p w14:paraId="479C8B80" w14:textId="4782911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8" w:history="1">
        <w:r w:rsidRPr="00AB48B2">
          <w:rPr>
            <w:rStyle w:val="Hyperlink"/>
            <w:rFonts w:asciiTheme="minorHAnsi" w:hAnsiTheme="minorHAnsi" w:cstheme="minorHAnsi"/>
            <w:sz w:val="16"/>
            <w:szCs w:val="16"/>
          </w:rPr>
          <w:t>R.C. 2743.75(E)(3)(a), (b)</w:t>
        </w:r>
      </w:hyperlink>
      <w:r w:rsidRPr="00AB48B2">
        <w:rPr>
          <w:rFonts w:asciiTheme="minorHAnsi" w:hAnsiTheme="minorHAnsi" w:cstheme="minorHAnsi"/>
          <w:sz w:val="16"/>
          <w:szCs w:val="16"/>
        </w:rPr>
        <w:t>.</w:t>
      </w:r>
    </w:p>
  </w:endnote>
  <w:endnote w:id="865">
    <w:p w14:paraId="0E2EE5B4" w14:textId="7A3915F2" w:rsidR="00E3206E" w:rsidRPr="00AB48B2" w:rsidRDefault="00E3206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49" w:history="1">
        <w:r w:rsidR="00F75EEF" w:rsidRPr="00AB48B2">
          <w:rPr>
            <w:rStyle w:val="Hyperlink"/>
            <w:rFonts w:asciiTheme="minorHAnsi" w:hAnsiTheme="minorHAnsi" w:cstheme="minorHAnsi"/>
            <w:sz w:val="16"/>
            <w:szCs w:val="16"/>
          </w:rPr>
          <w:t>R.C. 2743.75(E)(3)</w:t>
        </w:r>
      </w:hyperlink>
      <w:r w:rsidR="00F75EEF" w:rsidRPr="00AB48B2">
        <w:rPr>
          <w:rFonts w:asciiTheme="minorHAnsi" w:hAnsiTheme="minorHAnsi" w:cstheme="minorHAnsi"/>
          <w:sz w:val="16"/>
          <w:szCs w:val="16"/>
        </w:rPr>
        <w:t>;</w:t>
      </w:r>
      <w:r w:rsidR="00F75EEF" w:rsidRPr="00AB48B2">
        <w:rPr>
          <w:rFonts w:asciiTheme="minorHAnsi" w:hAnsiTheme="minorHAnsi" w:cstheme="minorHAnsi"/>
          <w:i/>
          <w:iCs/>
          <w:sz w:val="16"/>
          <w:szCs w:val="16"/>
        </w:rPr>
        <w:t xml:space="preserve"> </w:t>
      </w:r>
      <w:r w:rsidR="00F75EEF" w:rsidRPr="00AB48B2">
        <w:rPr>
          <w:rFonts w:asciiTheme="minorHAnsi" w:hAnsiTheme="minorHAnsi" w:cstheme="minorHAnsi"/>
          <w:i/>
          <w:iCs/>
          <w:sz w:val="16"/>
          <w:szCs w:val="16"/>
        </w:rPr>
        <w:t>Isreal v. Franklin Cty. Commrs.</w:t>
      </w:r>
      <w:r w:rsidR="00F75EEF" w:rsidRPr="00AB48B2">
        <w:rPr>
          <w:rFonts w:asciiTheme="minorHAnsi" w:hAnsiTheme="minorHAnsi" w:cstheme="minorHAnsi"/>
          <w:sz w:val="16"/>
          <w:szCs w:val="16"/>
        </w:rPr>
        <w:t>, Ct. of Cl. No. 2019-00548PQ, 2019-Ohio-5457, ¶14 (rejecting relator’s attempt to supplement the record with exhibits to his objections because “R.C. 2743.75(F)(2) does not expressly permit parties to engage in motion practice after a R&amp;R</w:t>
      </w:r>
      <w:r w:rsidR="004B13A5">
        <w:rPr>
          <w:rFonts w:asciiTheme="minorHAnsi" w:hAnsiTheme="minorHAnsi" w:cstheme="minorHAnsi"/>
          <w:sz w:val="16"/>
          <w:szCs w:val="16"/>
        </w:rPr>
        <w:t>,</w:t>
      </w:r>
      <w:r w:rsidR="00F75EEF" w:rsidRPr="00AB48B2">
        <w:rPr>
          <w:rFonts w:asciiTheme="minorHAnsi" w:hAnsiTheme="minorHAnsi" w:cstheme="minorHAnsi"/>
          <w:sz w:val="16"/>
          <w:szCs w:val="16"/>
        </w:rPr>
        <w:t xml:space="preserve"> objection, or response to submitted to the court”)</w:t>
      </w:r>
      <w:r w:rsidR="00C36F4A" w:rsidRPr="00AB48B2">
        <w:rPr>
          <w:rFonts w:asciiTheme="minorHAnsi" w:hAnsiTheme="minorHAnsi" w:cstheme="minorHAnsi"/>
          <w:sz w:val="16"/>
          <w:szCs w:val="16"/>
        </w:rPr>
        <w:t>, a</w:t>
      </w:r>
      <w:r w:rsidR="00F75EEF" w:rsidRPr="00AB48B2">
        <w:rPr>
          <w:rFonts w:asciiTheme="minorHAnsi" w:hAnsiTheme="minorHAnsi" w:cstheme="minorHAnsi"/>
          <w:sz w:val="16"/>
          <w:szCs w:val="16"/>
        </w:rPr>
        <w:t>ff’d, 10th Dist. Franklin No. 20AP-51, 2021-Ohio-3824.</w:t>
      </w:r>
    </w:p>
  </w:endnote>
  <w:endnote w:id="866">
    <w:p w14:paraId="0E977125" w14:textId="7704630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Mentch v. City of Cleveland, </w:t>
      </w:r>
      <w:r w:rsidRPr="00AB48B2">
        <w:rPr>
          <w:rFonts w:asciiTheme="minorHAnsi" w:hAnsiTheme="minorHAnsi" w:cstheme="minorHAnsi"/>
          <w:sz w:val="16"/>
          <w:szCs w:val="16"/>
        </w:rPr>
        <w:t xml:space="preserve">Ct. of Cl. No. 2020-00535PQ, 2021-Ohio 1564, ¶ 19 (jurisdiction of Court of Claims is limited to the public records request set forth in the complaint; Court thus cannot adjudicate disputes related to new requests made during litigation). </w:t>
      </w:r>
    </w:p>
  </w:endnote>
  <w:endnote w:id="867">
    <w:p w14:paraId="04E51FEC" w14:textId="6699264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0" w:history="1">
        <w:r w:rsidR="0070146C" w:rsidRPr="00AB48B2">
          <w:rPr>
            <w:rStyle w:val="Hyperlink"/>
            <w:rFonts w:asciiTheme="minorHAnsi" w:hAnsiTheme="minorHAnsi" w:cstheme="minorHAnsi"/>
            <w:i/>
            <w:iCs/>
            <w:sz w:val="16"/>
            <w:szCs w:val="16"/>
          </w:rPr>
          <w:t xml:space="preserve">Welsh-Huggins v. Jefferson </w:t>
        </w:r>
        <w:r w:rsidR="0070146C" w:rsidRPr="00AB48B2">
          <w:rPr>
            <w:rStyle w:val="Hyperlink"/>
            <w:rFonts w:asciiTheme="minorHAnsi" w:hAnsiTheme="minorHAnsi" w:cstheme="minorHAnsi"/>
            <w:i/>
            <w:iCs/>
            <w:sz w:val="16"/>
            <w:szCs w:val="16"/>
          </w:rPr>
          <w:t>Cty.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w:t>
      </w:r>
      <w:r w:rsidRPr="00AB48B2">
        <w:rPr>
          <w:rFonts w:asciiTheme="minorHAnsi" w:hAnsiTheme="minorHAnsi" w:cstheme="minorHAnsi"/>
          <w:sz w:val="16"/>
          <w:szCs w:val="16"/>
        </w:rPr>
        <w:t xml:space="preserve"> ¶ 32.</w:t>
      </w:r>
    </w:p>
  </w:endnote>
  <w:endnote w:id="868">
    <w:p w14:paraId="0FA7AF5B" w14:textId="093A47C7"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0070146C" w:rsidRPr="00AB48B2">
        <w:rPr>
          <w:rFonts w:asciiTheme="minorHAnsi" w:hAnsiTheme="minorHAnsi" w:cstheme="minorHAnsi"/>
          <w:i/>
          <w:iCs/>
          <w:sz w:val="16"/>
          <w:szCs w:val="16"/>
        </w:rPr>
        <w:t xml:space="preserve"> </w:t>
      </w:r>
      <w:hyperlink r:id="rId1151" w:history="1">
        <w:r w:rsidR="0070146C" w:rsidRPr="00AB48B2">
          <w:rPr>
            <w:rStyle w:val="Hyperlink"/>
            <w:rFonts w:asciiTheme="minorHAnsi" w:hAnsiTheme="minorHAnsi" w:cstheme="minorHAnsi"/>
            <w:i/>
            <w:iCs/>
            <w:sz w:val="16"/>
            <w:szCs w:val="16"/>
          </w:rPr>
          <w:t xml:space="preserve">Welsh-Huggins v. Jefferson </w:t>
        </w:r>
        <w:r w:rsidR="0070146C" w:rsidRPr="00AB48B2">
          <w:rPr>
            <w:rStyle w:val="Hyperlink"/>
            <w:rFonts w:asciiTheme="minorHAnsi" w:hAnsiTheme="minorHAnsi" w:cstheme="minorHAnsi"/>
            <w:i/>
            <w:iCs/>
            <w:sz w:val="16"/>
            <w:szCs w:val="16"/>
          </w:rPr>
          <w:t>Cty.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w:t>
      </w:r>
      <w:r w:rsidRPr="00AB48B2">
        <w:rPr>
          <w:rFonts w:asciiTheme="minorHAnsi" w:hAnsiTheme="minorHAnsi" w:cstheme="minorHAnsi"/>
          <w:sz w:val="16"/>
          <w:szCs w:val="16"/>
        </w:rPr>
        <w:t xml:space="preserve"> ¶ 33.</w:t>
      </w:r>
    </w:p>
  </w:endnote>
  <w:endnote w:id="869">
    <w:p w14:paraId="2432A118" w14:textId="67115AAB"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2" w:history="1">
        <w:r w:rsidR="0070146C" w:rsidRPr="00AB48B2">
          <w:rPr>
            <w:rStyle w:val="Hyperlink"/>
            <w:rFonts w:asciiTheme="minorHAnsi" w:hAnsiTheme="minorHAnsi" w:cstheme="minorHAnsi"/>
            <w:i/>
            <w:iCs/>
            <w:sz w:val="16"/>
            <w:szCs w:val="16"/>
          </w:rPr>
          <w:t xml:space="preserve">Welsh-Huggins v. Jefferson </w:t>
        </w:r>
        <w:r w:rsidR="0070146C" w:rsidRPr="00AB48B2">
          <w:rPr>
            <w:rStyle w:val="Hyperlink"/>
            <w:rFonts w:asciiTheme="minorHAnsi" w:hAnsiTheme="minorHAnsi" w:cstheme="minorHAnsi"/>
            <w:i/>
            <w:iCs/>
            <w:sz w:val="16"/>
            <w:szCs w:val="16"/>
          </w:rPr>
          <w:t>Cty.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 xml:space="preserve">, </w:t>
      </w:r>
      <w:r w:rsidRPr="00AB48B2">
        <w:rPr>
          <w:rFonts w:asciiTheme="minorHAnsi" w:hAnsiTheme="minorHAnsi" w:cstheme="minorHAnsi"/>
          <w:sz w:val="16"/>
          <w:szCs w:val="16"/>
        </w:rPr>
        <w:t xml:space="preserve">¶ 34; </w:t>
      </w:r>
      <w:r w:rsidRPr="00AB48B2">
        <w:rPr>
          <w:rFonts w:asciiTheme="minorHAnsi" w:hAnsiTheme="minorHAnsi" w:cstheme="minorHAnsi"/>
          <w:i/>
          <w:sz w:val="16"/>
          <w:szCs w:val="16"/>
        </w:rPr>
        <w:t xml:space="preserve">Viola v. Ohio AG’s Office, </w:t>
      </w:r>
      <w:r w:rsidRPr="00AB48B2">
        <w:rPr>
          <w:rFonts w:asciiTheme="minorHAnsi" w:hAnsiTheme="minorHAnsi" w:cstheme="minorHAnsi"/>
          <w:sz w:val="16"/>
          <w:szCs w:val="16"/>
        </w:rPr>
        <w:t xml:space="preserve">10th Dist. Franklin No. 21AP-126, 2021-Ohio-3828, ¶ 20-21 (requester’s belief that public official’s personal email account “may” contain public records </w:t>
      </w:r>
      <w:r w:rsidR="0070146C" w:rsidRPr="00AB48B2">
        <w:rPr>
          <w:rFonts w:asciiTheme="minorHAnsi" w:hAnsiTheme="minorHAnsi" w:cstheme="minorHAnsi"/>
          <w:sz w:val="16"/>
          <w:szCs w:val="16"/>
        </w:rPr>
        <w:t>is not</w:t>
      </w:r>
      <w:r w:rsidRPr="00AB48B2">
        <w:rPr>
          <w:rFonts w:asciiTheme="minorHAnsi" w:hAnsiTheme="minorHAnsi" w:cstheme="minorHAnsi"/>
          <w:sz w:val="16"/>
          <w:szCs w:val="16"/>
        </w:rPr>
        <w:t xml:space="preserve"> clear and convincing evidence necessary to establish that public office improperly processed request). </w:t>
      </w:r>
    </w:p>
  </w:endnote>
  <w:endnote w:id="870">
    <w:p w14:paraId="33363509" w14:textId="5569199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3" w:history="1">
        <w:r w:rsidR="0070146C" w:rsidRPr="00AB48B2">
          <w:rPr>
            <w:rStyle w:val="Hyperlink"/>
            <w:rFonts w:asciiTheme="minorHAnsi" w:hAnsiTheme="minorHAnsi" w:cstheme="minorHAnsi"/>
            <w:i/>
            <w:iCs/>
            <w:sz w:val="16"/>
            <w:szCs w:val="16"/>
          </w:rPr>
          <w:t xml:space="preserve">Welsh-Huggins v. Jefferson </w:t>
        </w:r>
        <w:r w:rsidR="0070146C" w:rsidRPr="00AB48B2">
          <w:rPr>
            <w:rStyle w:val="Hyperlink"/>
            <w:rFonts w:asciiTheme="minorHAnsi" w:hAnsiTheme="minorHAnsi" w:cstheme="minorHAnsi"/>
            <w:i/>
            <w:iCs/>
            <w:sz w:val="16"/>
            <w:szCs w:val="16"/>
          </w:rPr>
          <w:t>Cty.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 xml:space="preserve">, </w:t>
      </w:r>
      <w:r w:rsidRPr="00AB48B2">
        <w:rPr>
          <w:rFonts w:asciiTheme="minorHAnsi" w:hAnsiTheme="minorHAnsi" w:cstheme="minorHAnsi"/>
          <w:sz w:val="16"/>
          <w:szCs w:val="16"/>
        </w:rPr>
        <w:t>¶ 35.</w:t>
      </w:r>
    </w:p>
  </w:endnote>
  <w:endnote w:id="871">
    <w:p w14:paraId="17A5054F" w14:textId="1759645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4" w:history="1">
        <w:r w:rsidR="0070146C" w:rsidRPr="00AB48B2">
          <w:rPr>
            <w:rStyle w:val="Hyperlink"/>
            <w:rFonts w:asciiTheme="minorHAnsi" w:hAnsiTheme="minorHAnsi" w:cstheme="minorHAnsi"/>
            <w:i/>
            <w:iCs/>
            <w:sz w:val="16"/>
            <w:szCs w:val="16"/>
          </w:rPr>
          <w:t xml:space="preserve">Welsh-Huggins v. Jefferson </w:t>
        </w:r>
        <w:r w:rsidR="0070146C" w:rsidRPr="00AB48B2">
          <w:rPr>
            <w:rStyle w:val="Hyperlink"/>
            <w:rFonts w:asciiTheme="minorHAnsi" w:hAnsiTheme="minorHAnsi" w:cstheme="minorHAnsi"/>
            <w:i/>
            <w:iCs/>
            <w:sz w:val="16"/>
            <w:szCs w:val="16"/>
          </w:rPr>
          <w:t>Cty.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w:t>
      </w:r>
      <w:r w:rsidRPr="00AB48B2">
        <w:rPr>
          <w:rFonts w:asciiTheme="minorHAnsi" w:hAnsiTheme="minorHAnsi" w:cstheme="minorHAnsi"/>
          <w:sz w:val="16"/>
          <w:szCs w:val="16"/>
        </w:rPr>
        <w:t xml:space="preserve"> ¶ 35, 63.</w:t>
      </w:r>
    </w:p>
  </w:endnote>
  <w:endnote w:id="872">
    <w:p w14:paraId="1F31AD76" w14:textId="02436F5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5" w:history="1">
        <w:r w:rsidR="0070146C" w:rsidRPr="00AB48B2">
          <w:rPr>
            <w:rStyle w:val="Hyperlink"/>
            <w:rFonts w:asciiTheme="minorHAnsi" w:hAnsiTheme="minorHAnsi" w:cstheme="minorHAnsi"/>
            <w:i/>
            <w:iCs/>
            <w:sz w:val="16"/>
            <w:szCs w:val="16"/>
          </w:rPr>
          <w:t xml:space="preserve">Welsh-Huggins v. Jefferson </w:t>
        </w:r>
        <w:r w:rsidR="0070146C" w:rsidRPr="00AB48B2">
          <w:rPr>
            <w:rStyle w:val="Hyperlink"/>
            <w:rFonts w:asciiTheme="minorHAnsi" w:hAnsiTheme="minorHAnsi" w:cstheme="minorHAnsi"/>
            <w:i/>
            <w:iCs/>
            <w:sz w:val="16"/>
            <w:szCs w:val="16"/>
          </w:rPr>
          <w:t>Cty. Prosecutor’s Office</w:t>
        </w:r>
      </w:hyperlink>
      <w:r w:rsidR="0070146C" w:rsidRPr="00AB48B2">
        <w:rPr>
          <w:rStyle w:val="Hyperlink"/>
          <w:rFonts w:asciiTheme="minorHAnsi" w:hAnsiTheme="minorHAnsi" w:cstheme="minorHAnsi"/>
          <w:i/>
          <w:iCs/>
          <w:sz w:val="16"/>
          <w:szCs w:val="16"/>
        </w:rPr>
        <w:t xml:space="preserve">, </w:t>
      </w:r>
      <w:r w:rsidRPr="00AB48B2">
        <w:rPr>
          <w:rFonts w:asciiTheme="minorHAnsi" w:hAnsiTheme="minorHAnsi" w:cstheme="minorHAnsi"/>
          <w:sz w:val="16"/>
          <w:szCs w:val="16"/>
        </w:rPr>
        <w:t>163 Ohio St.3d 337, 2020-Ohio-5371</w:t>
      </w:r>
      <w:r w:rsidR="00F75EEF" w:rsidRPr="00AB48B2">
        <w:rPr>
          <w:rFonts w:asciiTheme="minorHAnsi" w:hAnsiTheme="minorHAnsi" w:cstheme="minorHAnsi"/>
          <w:sz w:val="16"/>
          <w:szCs w:val="16"/>
        </w:rPr>
        <w:t xml:space="preserve">, </w:t>
      </w:r>
      <w:r w:rsidRPr="00AB48B2">
        <w:rPr>
          <w:rFonts w:asciiTheme="minorHAnsi" w:hAnsiTheme="minorHAnsi" w:cstheme="minorHAnsi"/>
          <w:sz w:val="16"/>
          <w:szCs w:val="16"/>
        </w:rPr>
        <w:t>¶ 53.</w:t>
      </w:r>
    </w:p>
  </w:endnote>
  <w:endnote w:id="873">
    <w:p w14:paraId="5BA0858A" w14:textId="772D8D8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6" w:history="1">
        <w:r w:rsidRPr="00AB48B2">
          <w:rPr>
            <w:rStyle w:val="Hyperlink"/>
            <w:rFonts w:asciiTheme="minorHAnsi" w:hAnsiTheme="minorHAnsi" w:cstheme="minorHAnsi"/>
            <w:sz w:val="16"/>
            <w:szCs w:val="16"/>
          </w:rPr>
          <w:t>R.C. 2743.75(F)(1)</w:t>
        </w:r>
      </w:hyperlink>
      <w:r w:rsidRPr="00AB48B2">
        <w:rPr>
          <w:rFonts w:asciiTheme="minorHAnsi" w:hAnsiTheme="minorHAnsi" w:cstheme="minorHAnsi"/>
          <w:sz w:val="16"/>
          <w:szCs w:val="16"/>
        </w:rPr>
        <w:t xml:space="preserve">.  </w:t>
      </w:r>
      <w:r w:rsidR="0070146C" w:rsidRPr="00AB48B2">
        <w:rPr>
          <w:rFonts w:asciiTheme="minorHAnsi" w:hAnsiTheme="minorHAnsi" w:cstheme="minorHAnsi"/>
          <w:sz w:val="16"/>
          <w:szCs w:val="16"/>
        </w:rPr>
        <w:t>However,</w:t>
      </w:r>
      <w:r w:rsidRPr="00AB48B2">
        <w:rPr>
          <w:rFonts w:asciiTheme="minorHAnsi" w:hAnsiTheme="minorHAnsi" w:cstheme="minorHAnsi"/>
          <w:sz w:val="16"/>
          <w:szCs w:val="16"/>
        </w:rPr>
        <w:t xml:space="preserve"> “the special master may extend the seven-day period for the submission of the report and recommendation to the court…by an additional seven business days” “[f]or good cause shown[.]” </w:t>
      </w:r>
      <w:hyperlink r:id="rId1157" w:history="1">
        <w:r w:rsidR="0070146C" w:rsidRPr="00AB48B2">
          <w:rPr>
            <w:rStyle w:val="Hyperlink"/>
            <w:rFonts w:asciiTheme="minorHAnsi" w:hAnsiTheme="minorHAnsi" w:cstheme="minorHAnsi"/>
            <w:sz w:val="16"/>
            <w:szCs w:val="16"/>
          </w:rPr>
          <w:t>R.C. 2743.75(F)(1)</w:t>
        </w:r>
      </w:hyperlink>
      <w:r w:rsidR="0070146C" w:rsidRPr="00AB48B2">
        <w:rPr>
          <w:rFonts w:asciiTheme="minorHAnsi" w:hAnsiTheme="minorHAnsi" w:cstheme="minorHAnsi"/>
          <w:sz w:val="16"/>
          <w:szCs w:val="16"/>
        </w:rPr>
        <w:t>.</w:t>
      </w:r>
    </w:p>
  </w:endnote>
  <w:endnote w:id="874">
    <w:p w14:paraId="382FE962" w14:textId="6D27E49C"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8" w:history="1">
        <w:r w:rsidRPr="00AB48B2">
          <w:rPr>
            <w:rStyle w:val="Hyperlink"/>
            <w:rFonts w:asciiTheme="minorHAnsi" w:hAnsiTheme="minorHAnsi" w:cstheme="minorHAnsi"/>
            <w:sz w:val="16"/>
            <w:szCs w:val="16"/>
          </w:rPr>
          <w:t>R.C. 2743.75(F)(1)</w:t>
        </w:r>
      </w:hyperlink>
      <w:r w:rsidRPr="00AB48B2">
        <w:rPr>
          <w:rFonts w:asciiTheme="minorHAnsi" w:hAnsiTheme="minorHAnsi" w:cstheme="minorHAnsi"/>
          <w:sz w:val="16"/>
          <w:szCs w:val="16"/>
        </w:rPr>
        <w:t>.</w:t>
      </w:r>
    </w:p>
  </w:endnote>
  <w:endnote w:id="875">
    <w:p w14:paraId="21191DCF" w14:textId="2FD37BB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59"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76">
    <w:p w14:paraId="5B99536E" w14:textId="2DE30EF3"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0"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77">
    <w:p w14:paraId="24229CDF" w14:textId="4A5DA4AA"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1" w:history="1">
        <w:r w:rsidRPr="00AB48B2">
          <w:rPr>
            <w:rStyle w:val="Hyperlink"/>
            <w:rFonts w:asciiTheme="minorHAnsi" w:hAnsiTheme="minorHAnsi" w:cstheme="minorHAnsi"/>
            <w:sz w:val="16"/>
            <w:szCs w:val="16"/>
          </w:rPr>
          <w:t>R.C. 2743.75(F)(2)</w:t>
        </w:r>
      </w:hyperlink>
      <w:r w:rsidR="00F75EEF" w:rsidRPr="00AB48B2">
        <w:rPr>
          <w:rFonts w:asciiTheme="minorHAnsi" w:hAnsiTheme="minorHAnsi" w:cstheme="minorHAnsi"/>
          <w:sz w:val="16"/>
          <w:szCs w:val="16"/>
        </w:rPr>
        <w:t>.</w:t>
      </w:r>
    </w:p>
  </w:endnote>
  <w:endnote w:id="878">
    <w:p w14:paraId="5EE8DECB" w14:textId="0188598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2"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79">
    <w:p w14:paraId="26B7EC09" w14:textId="1019EF45"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3"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80">
    <w:p w14:paraId="78E6EA63" w14:textId="0119DBE8"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4" w:history="1">
        <w:r w:rsidRPr="00AB48B2">
          <w:rPr>
            <w:rStyle w:val="Hyperlink"/>
            <w:rFonts w:asciiTheme="minorHAnsi" w:hAnsiTheme="minorHAnsi" w:cstheme="minorHAnsi"/>
            <w:sz w:val="16"/>
            <w:szCs w:val="16"/>
          </w:rPr>
          <w:t>R.C. 2743.75(G)(1)</w:t>
        </w:r>
      </w:hyperlink>
      <w:r w:rsidRPr="00AB48B2">
        <w:rPr>
          <w:rFonts w:asciiTheme="minorHAnsi" w:hAnsiTheme="minorHAnsi" w:cstheme="minorHAnsi"/>
          <w:sz w:val="16"/>
          <w:szCs w:val="16"/>
        </w:rPr>
        <w:t>.</w:t>
      </w:r>
    </w:p>
  </w:endnote>
  <w:endnote w:id="881">
    <w:p w14:paraId="4DBABEFE" w14:textId="6B1A8310"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5" w:history="1">
        <w:r w:rsidRPr="00AB48B2">
          <w:rPr>
            <w:rStyle w:val="Hyperlink"/>
            <w:rFonts w:asciiTheme="minorHAnsi" w:hAnsiTheme="minorHAnsi" w:cstheme="minorHAnsi"/>
            <w:sz w:val="16"/>
            <w:szCs w:val="16"/>
          </w:rPr>
          <w:t>R.C. 2743.75(F)(2)</w:t>
        </w:r>
      </w:hyperlink>
      <w:r w:rsidRPr="00AB48B2">
        <w:rPr>
          <w:rFonts w:asciiTheme="minorHAnsi" w:hAnsiTheme="minorHAnsi" w:cstheme="minorHAnsi"/>
          <w:sz w:val="16"/>
          <w:szCs w:val="16"/>
        </w:rPr>
        <w:t>.</w:t>
      </w:r>
    </w:p>
  </w:endnote>
  <w:endnote w:id="882">
    <w:p w14:paraId="6DFADFD4" w14:textId="078F708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6" w:history="1">
        <w:r w:rsidRPr="00AB48B2">
          <w:rPr>
            <w:rStyle w:val="Hyperlink"/>
            <w:rFonts w:asciiTheme="minorHAnsi" w:hAnsiTheme="minorHAnsi" w:cstheme="minorHAnsi"/>
            <w:sz w:val="16"/>
            <w:szCs w:val="16"/>
          </w:rPr>
          <w:t>R.C. 2743.75(F)(3)</w:t>
        </w:r>
      </w:hyperlink>
      <w:r w:rsidRPr="00AB48B2">
        <w:rPr>
          <w:rFonts w:asciiTheme="minorHAnsi" w:hAnsiTheme="minorHAnsi" w:cstheme="minorHAnsi"/>
          <w:sz w:val="16"/>
          <w:szCs w:val="16"/>
        </w:rPr>
        <w:t>;</w:t>
      </w:r>
      <w:r w:rsidR="00AB48B2" w:rsidRPr="00AB48B2">
        <w:rPr>
          <w:rFonts w:asciiTheme="minorHAnsi" w:hAnsiTheme="minorHAnsi" w:cstheme="minorHAnsi"/>
          <w:sz w:val="16"/>
          <w:szCs w:val="16"/>
        </w:rPr>
        <w:t xml:space="preserve"> </w:t>
      </w:r>
      <w:r w:rsidR="00C36F4A" w:rsidRPr="00AB48B2">
        <w:rPr>
          <w:rFonts w:asciiTheme="minorHAnsi" w:hAnsiTheme="minorHAnsi" w:cstheme="minorHAnsi"/>
          <w:i/>
          <w:iCs/>
          <w:sz w:val="16"/>
          <w:szCs w:val="16"/>
        </w:rPr>
        <w:t>b</w:t>
      </w:r>
      <w:r w:rsidR="00F75EEF" w:rsidRPr="00AB48B2">
        <w:rPr>
          <w:rFonts w:asciiTheme="minorHAnsi" w:hAnsiTheme="minorHAnsi" w:cstheme="minorHAnsi"/>
          <w:i/>
          <w:iCs/>
          <w:sz w:val="16"/>
          <w:szCs w:val="16"/>
        </w:rPr>
        <w:t>ut see</w:t>
      </w:r>
      <w:r w:rsidRPr="00AB48B2">
        <w:rPr>
          <w:rFonts w:asciiTheme="minorHAnsi" w:hAnsiTheme="minorHAnsi" w:cstheme="minorHAnsi"/>
          <w:sz w:val="16"/>
          <w:szCs w:val="16"/>
        </w:rPr>
        <w:t xml:space="preserve"> </w:t>
      </w:r>
      <w:r w:rsidRPr="00AB48B2">
        <w:rPr>
          <w:rFonts w:asciiTheme="minorHAnsi" w:hAnsiTheme="minorHAnsi" w:cstheme="minorHAnsi"/>
          <w:i/>
          <w:sz w:val="16"/>
          <w:szCs w:val="16"/>
        </w:rPr>
        <w:t xml:space="preserve">White v. Dept. of Rehab. &amp; Corr., </w:t>
      </w:r>
      <w:r w:rsidRPr="00AB48B2">
        <w:rPr>
          <w:rFonts w:asciiTheme="minorHAnsi" w:hAnsiTheme="minorHAnsi" w:cstheme="minorHAnsi"/>
          <w:sz w:val="16"/>
          <w:szCs w:val="16"/>
        </w:rPr>
        <w:t>Ct. of Cl. No. 2018-00762PQ, 2019-Ohio-472, ¶ 22 (assessing court costs</w:t>
      </w:r>
      <w:r w:rsidR="00F75EEF" w:rsidRPr="00AB48B2">
        <w:rPr>
          <w:rFonts w:asciiTheme="minorHAnsi" w:hAnsiTheme="minorHAnsi" w:cstheme="minorHAnsi"/>
          <w:sz w:val="16"/>
          <w:szCs w:val="16"/>
        </w:rPr>
        <w:t xml:space="preserve"> against requester</w:t>
      </w:r>
      <w:r w:rsidRPr="00AB48B2">
        <w:rPr>
          <w:rFonts w:asciiTheme="minorHAnsi" w:hAnsiTheme="minorHAnsi" w:cstheme="minorHAnsi"/>
          <w:sz w:val="16"/>
          <w:szCs w:val="16"/>
        </w:rPr>
        <w:t xml:space="preserve"> because requester did not permit the public office a reasonable </w:t>
      </w:r>
      <w:r w:rsidRPr="00AB48B2">
        <w:rPr>
          <w:rFonts w:asciiTheme="minorHAnsi" w:hAnsiTheme="minorHAnsi" w:cstheme="minorHAnsi"/>
          <w:sz w:val="16"/>
          <w:szCs w:val="16"/>
        </w:rPr>
        <w:t xml:space="preserve">period of time to respond by prematurely filing his claim five business days after transmission of twenty-three separate public records requests). </w:t>
      </w:r>
    </w:p>
  </w:endnote>
  <w:endnote w:id="883">
    <w:p w14:paraId="052B84A6" w14:textId="0569A6F9"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7" w:history="1">
        <w:r w:rsidRPr="00AB48B2">
          <w:rPr>
            <w:rStyle w:val="Hyperlink"/>
            <w:rFonts w:asciiTheme="minorHAnsi" w:hAnsiTheme="minorHAnsi" w:cstheme="minorHAnsi"/>
            <w:sz w:val="16"/>
            <w:szCs w:val="16"/>
          </w:rPr>
          <w:t>R.C. 2743.75(F)(3)(b)</w:t>
        </w:r>
      </w:hyperlink>
      <w:r w:rsidR="00F75EEF" w:rsidRPr="00AB48B2">
        <w:rPr>
          <w:rFonts w:asciiTheme="minorHAnsi" w:hAnsiTheme="minorHAnsi" w:cstheme="minorHAnsi"/>
          <w:sz w:val="16"/>
          <w:szCs w:val="16"/>
        </w:rPr>
        <w:t>; Ryan v. City of Ashtabula, Ct. of Cl. Nos. 2022-00660PQ, 2022-</w:t>
      </w:r>
      <w:r w:rsidR="00C36F4A" w:rsidRPr="00AB48B2">
        <w:rPr>
          <w:rFonts w:asciiTheme="minorHAnsi" w:hAnsiTheme="minorHAnsi" w:cstheme="minorHAnsi"/>
          <w:sz w:val="16"/>
          <w:szCs w:val="16"/>
        </w:rPr>
        <w:t>00</w:t>
      </w:r>
      <w:r w:rsidR="00F75EEF" w:rsidRPr="00AB48B2">
        <w:rPr>
          <w:rFonts w:asciiTheme="minorHAnsi" w:hAnsiTheme="minorHAnsi" w:cstheme="minorHAnsi"/>
          <w:sz w:val="16"/>
          <w:szCs w:val="16"/>
        </w:rPr>
        <w:t>665PQ, 2022-00680PQ, 2023-Ohio-621, ¶ 23.</w:t>
      </w:r>
    </w:p>
  </w:endnote>
  <w:endnote w:id="884">
    <w:p w14:paraId="103DE6D3" w14:textId="39D55F21"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68" w:history="1">
        <w:r w:rsidRPr="00AB48B2">
          <w:rPr>
            <w:rStyle w:val="Hyperlink"/>
            <w:rFonts w:asciiTheme="minorHAnsi" w:hAnsiTheme="minorHAnsi" w:cstheme="minorHAnsi"/>
            <w:sz w:val="16"/>
            <w:szCs w:val="16"/>
          </w:rPr>
          <w:t>R.C. 2743.75(G)(1)</w:t>
        </w:r>
      </w:hyperlink>
      <w:r w:rsidRPr="00AB48B2">
        <w:rPr>
          <w:rFonts w:asciiTheme="minorHAnsi" w:hAnsiTheme="minorHAnsi" w:cstheme="minorHAnsi"/>
          <w:sz w:val="16"/>
          <w:szCs w:val="16"/>
        </w:rPr>
        <w:t xml:space="preserve">; </w:t>
      </w:r>
      <w:hyperlink r:id="rId1169" w:history="1">
        <w:r w:rsidRPr="00AB48B2">
          <w:rPr>
            <w:rStyle w:val="Hyperlink"/>
            <w:rFonts w:asciiTheme="minorHAnsi" w:hAnsiTheme="minorHAnsi" w:cstheme="minorHAnsi"/>
            <w:i/>
            <w:sz w:val="16"/>
            <w:szCs w:val="16"/>
          </w:rPr>
          <w:t>Sheil v. Horton</w:t>
        </w:r>
      </w:hyperlink>
      <w:r w:rsidRPr="00AB48B2">
        <w:rPr>
          <w:rFonts w:asciiTheme="minorHAnsi" w:hAnsiTheme="minorHAnsi" w:cstheme="minorHAnsi"/>
          <w:sz w:val="16"/>
          <w:szCs w:val="16"/>
        </w:rPr>
        <w:t>, 8th Dist. Cuyahoga No. 107329, 2018-Ohio-5240, ¶ 4.</w:t>
      </w:r>
    </w:p>
  </w:endnote>
  <w:endnote w:id="885">
    <w:p w14:paraId="31CCEA3F" w14:textId="26D01FC2"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70" w:history="1">
        <w:r w:rsidRPr="00AB48B2">
          <w:rPr>
            <w:rStyle w:val="Hyperlink"/>
            <w:rFonts w:asciiTheme="minorHAnsi" w:hAnsiTheme="minorHAnsi" w:cstheme="minorHAnsi"/>
            <w:sz w:val="16"/>
            <w:szCs w:val="16"/>
          </w:rPr>
          <w:t>R.C. 2743.75(G)(1)</w:t>
        </w:r>
      </w:hyperlink>
      <w:r w:rsidRPr="00AB48B2">
        <w:rPr>
          <w:rFonts w:asciiTheme="minorHAnsi" w:hAnsiTheme="minorHAnsi" w:cstheme="minorHAnsi"/>
          <w:sz w:val="16"/>
          <w:szCs w:val="16"/>
        </w:rPr>
        <w:t>.</w:t>
      </w:r>
    </w:p>
  </w:endnote>
  <w:endnote w:id="886">
    <w:p w14:paraId="1D433234" w14:textId="0E59661F" w:rsidR="002F23BE" w:rsidRPr="00AB48B2" w:rsidRDefault="002F23BE" w:rsidP="00AB48B2">
      <w:pPr>
        <w:pStyle w:val="EndnoteText"/>
        <w:spacing w:line="160" w:lineRule="exact"/>
        <w:jc w:val="both"/>
        <w:rPr>
          <w:rFonts w:asciiTheme="minorHAnsi" w:hAnsiTheme="minorHAnsi" w:cstheme="minorHAnsi"/>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71" w:history="1">
        <w:r w:rsidRPr="00AB48B2">
          <w:rPr>
            <w:rStyle w:val="Hyperlink"/>
            <w:rFonts w:asciiTheme="minorHAnsi" w:hAnsiTheme="minorHAnsi" w:cstheme="minorHAnsi"/>
            <w:sz w:val="16"/>
            <w:szCs w:val="16"/>
          </w:rPr>
          <w:t>R.C. 2743.75(G)(2)</w:t>
        </w:r>
      </w:hyperlink>
      <w:r w:rsidRPr="00AB48B2">
        <w:rPr>
          <w:rFonts w:asciiTheme="minorHAnsi" w:hAnsiTheme="minorHAnsi" w:cstheme="minorHAnsi"/>
          <w:sz w:val="16"/>
          <w:szCs w:val="16"/>
        </w:rPr>
        <w:t>.</w:t>
      </w:r>
    </w:p>
  </w:endnote>
  <w:endnote w:id="887">
    <w:p w14:paraId="35E9BB06" w14:textId="1D6BC3A6" w:rsidR="002F23BE" w:rsidRPr="00681BA7" w:rsidRDefault="002F23BE" w:rsidP="00AB48B2">
      <w:pPr>
        <w:pStyle w:val="EndnoteText"/>
        <w:spacing w:line="160" w:lineRule="exact"/>
        <w:jc w:val="both"/>
        <w:rPr>
          <w:sz w:val="16"/>
          <w:szCs w:val="16"/>
        </w:rPr>
      </w:pPr>
      <w:r w:rsidRPr="00AB48B2">
        <w:rPr>
          <w:rStyle w:val="EndnoteReference"/>
          <w:rFonts w:asciiTheme="minorHAnsi" w:hAnsiTheme="minorHAnsi" w:cstheme="minorHAnsi"/>
          <w:sz w:val="16"/>
          <w:szCs w:val="16"/>
        </w:rPr>
        <w:endnoteRef/>
      </w:r>
      <w:r w:rsidRPr="00AB48B2">
        <w:rPr>
          <w:rFonts w:asciiTheme="minorHAnsi" w:hAnsiTheme="minorHAnsi" w:cstheme="minorHAnsi"/>
          <w:sz w:val="16"/>
          <w:szCs w:val="16"/>
        </w:rPr>
        <w:t xml:space="preserve"> </w:t>
      </w:r>
      <w:hyperlink r:id="rId1172" w:history="1">
        <w:r w:rsidRPr="00AB48B2">
          <w:rPr>
            <w:rStyle w:val="Hyperlink"/>
            <w:rFonts w:asciiTheme="minorHAnsi" w:hAnsiTheme="minorHAnsi" w:cstheme="minorHAnsi"/>
            <w:sz w:val="16"/>
            <w:szCs w:val="16"/>
          </w:rPr>
          <w:t>R.C. 2743.75(G)(2)</w:t>
        </w:r>
      </w:hyperlink>
      <w:r w:rsidRPr="00AB48B2">
        <w:rPr>
          <w:rFonts w:asciiTheme="minorHAnsi" w:hAnsiTheme="minorHAnsi" w:cstheme="minorHAnsi"/>
          <w:sz w:val="16"/>
          <w:szCs w:val="16"/>
        </w:rPr>
        <w:t>.</w:t>
      </w:r>
    </w:p>
  </w:endnote>
  <w:endnote w:id="888">
    <w:p w14:paraId="51FAF7ED" w14:textId="2D79F8E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3" w:history="1">
        <w:r w:rsidRPr="00707B4A">
          <w:rPr>
            <w:rStyle w:val="Hyperlink"/>
            <w:rFonts w:asciiTheme="minorHAnsi" w:hAnsiTheme="minorHAnsi" w:cstheme="minorHAnsi"/>
            <w:sz w:val="16"/>
            <w:szCs w:val="16"/>
          </w:rPr>
          <w:t>R.C. 149.43(B)(2).</w:t>
        </w:r>
      </w:hyperlink>
    </w:p>
  </w:endnote>
  <w:endnote w:id="889">
    <w:p w14:paraId="24061052" w14:textId="4E8543E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4" w:history="1">
        <w:r w:rsidRPr="00707B4A">
          <w:rPr>
            <w:rStyle w:val="Hyperlink"/>
            <w:rFonts w:asciiTheme="minorHAnsi" w:hAnsiTheme="minorHAnsi" w:cstheme="minorHAnsi"/>
            <w:sz w:val="16"/>
            <w:szCs w:val="16"/>
          </w:rPr>
          <w:t>R.C. 149.351(A).</w:t>
        </w:r>
      </w:hyperlink>
    </w:p>
  </w:endnote>
  <w:endnote w:id="890">
    <w:p w14:paraId="17ACEFBC" w14:textId="197FB15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5" w:history="1">
        <w:r w:rsidRPr="00707B4A">
          <w:rPr>
            <w:rStyle w:val="Hyperlink"/>
            <w:rFonts w:asciiTheme="minorHAnsi" w:hAnsiTheme="minorHAnsi" w:cstheme="minorHAnsi"/>
            <w:sz w:val="16"/>
            <w:szCs w:val="16"/>
          </w:rPr>
          <w:t>R.C. 149.43(B)(2)</w:t>
        </w:r>
      </w:hyperlink>
      <w:r w:rsidRPr="00707B4A">
        <w:rPr>
          <w:rFonts w:asciiTheme="minorHAnsi" w:hAnsiTheme="minorHAnsi" w:cstheme="minorHAnsi"/>
          <w:sz w:val="16"/>
          <w:szCs w:val="16"/>
        </w:rPr>
        <w:t>.</w:t>
      </w:r>
    </w:p>
  </w:endnote>
  <w:endnote w:id="891">
    <w:p w14:paraId="6075BFE2" w14:textId="062D390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6"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 xml:space="preserve">; </w:t>
      </w:r>
      <w:hyperlink r:id="rId1177" w:history="1">
        <w:r w:rsidRPr="00707B4A">
          <w:rPr>
            <w:rStyle w:val="Hyperlink"/>
            <w:rFonts w:asciiTheme="minorHAnsi" w:hAnsiTheme="minorHAnsi" w:cstheme="minorHAnsi"/>
            <w:sz w:val="16"/>
            <w:szCs w:val="16"/>
          </w:rPr>
          <w:t>R.C. 109.43(E).</w:t>
        </w:r>
      </w:hyperlink>
    </w:p>
  </w:endnote>
  <w:endnote w:id="892">
    <w:p w14:paraId="204F30F9" w14:textId="0C9AF78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78" w:history="1">
        <w:r w:rsidRPr="00707B4A">
          <w:rPr>
            <w:rStyle w:val="Hyperlink"/>
            <w:rFonts w:asciiTheme="minorHAnsi" w:hAnsiTheme="minorHAnsi" w:cstheme="minorHAnsi"/>
            <w:sz w:val="16"/>
            <w:szCs w:val="16"/>
          </w:rPr>
          <w:t>R.C. 149.43(E)(1)</w:t>
        </w:r>
      </w:hyperlink>
      <w:r w:rsidRPr="00707B4A">
        <w:rPr>
          <w:rFonts w:asciiTheme="minorHAnsi" w:hAnsiTheme="minorHAnsi" w:cstheme="minorHAnsi"/>
          <w:sz w:val="16"/>
          <w:szCs w:val="16"/>
        </w:rPr>
        <w:t xml:space="preserve">; </w:t>
      </w:r>
      <w:hyperlink r:id="rId1179" w:history="1">
        <w:r w:rsidRPr="00707B4A">
          <w:rPr>
            <w:rStyle w:val="Hyperlink"/>
            <w:rFonts w:asciiTheme="minorHAnsi" w:hAnsiTheme="minorHAnsi" w:cstheme="minorHAnsi"/>
            <w:sz w:val="16"/>
            <w:szCs w:val="16"/>
          </w:rPr>
          <w:t>R.C. 109.43(B).</w:t>
        </w:r>
      </w:hyperlink>
    </w:p>
  </w:endnote>
  <w:endnote w:id="893">
    <w:p w14:paraId="19167B34"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See</w:t>
      </w:r>
      <w:r w:rsidRPr="00707B4A">
        <w:rPr>
          <w:rFonts w:asciiTheme="minorHAnsi" w:hAnsiTheme="minorHAnsi" w:cstheme="minorHAnsi"/>
          <w:sz w:val="16"/>
          <w:szCs w:val="16"/>
        </w:rPr>
        <w:t xml:space="preserve"> Auditor of State Bulletin 2019-003 at </w:t>
      </w:r>
      <w:r w:rsidRPr="00707B4A">
        <w:rPr>
          <w:rStyle w:val="Hyperlink"/>
          <w:rFonts w:asciiTheme="minorHAnsi" w:hAnsiTheme="minorHAnsi" w:cstheme="minorHAnsi"/>
          <w:sz w:val="16"/>
          <w:szCs w:val="16"/>
        </w:rPr>
        <w:t>https://www.ohioauditor.gov/publications/bulletins/2019/2019-003.pdf</w:t>
      </w:r>
      <w:r w:rsidRPr="00707B4A">
        <w:rPr>
          <w:rFonts w:asciiTheme="minorHAnsi" w:hAnsiTheme="minorHAnsi" w:cstheme="minorHAnsi"/>
          <w:sz w:val="16"/>
          <w:szCs w:val="16"/>
        </w:rPr>
        <w:t>.</w:t>
      </w:r>
    </w:p>
  </w:endnote>
  <w:endnote w:id="894">
    <w:p w14:paraId="2DD32EF5" w14:textId="4BA43B3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w:t>
      </w:r>
      <w:r w:rsidRPr="00707B4A">
        <w:rPr>
          <w:rFonts w:asciiTheme="minorHAnsi" w:hAnsiTheme="minorHAnsi" w:cstheme="minorHAnsi"/>
          <w:sz w:val="16"/>
          <w:szCs w:val="16"/>
        </w:rPr>
        <w:t xml:space="preserve">Auditor of State </w:t>
      </w:r>
      <w:r w:rsidRPr="00707B4A">
        <w:rPr>
          <w:rFonts w:asciiTheme="minorHAnsi" w:hAnsiTheme="minorHAnsi" w:cstheme="minorHAnsi"/>
          <w:sz w:val="16"/>
          <w:szCs w:val="16"/>
        </w:rPr>
        <w:t xml:space="preserve">StaRS Rating System at </w:t>
      </w:r>
      <w:hyperlink r:id="rId1180" w:history="1">
        <w:r w:rsidR="002A5567" w:rsidRPr="00707B4A">
          <w:rPr>
            <w:rStyle w:val="Hyperlink"/>
            <w:rFonts w:asciiTheme="minorHAnsi" w:hAnsiTheme="minorHAnsi" w:cstheme="minorHAnsi"/>
            <w:sz w:val="16"/>
            <w:szCs w:val="16"/>
          </w:rPr>
          <w:t>https://ohioauditor.gov/open/starshtml</w:t>
        </w:r>
      </w:hyperlink>
      <w:r w:rsidR="00526E57">
        <w:rPr>
          <w:rStyle w:val="Hyperlink"/>
          <w:rFonts w:asciiTheme="minorHAnsi" w:hAnsiTheme="minorHAnsi" w:cstheme="minorHAnsi"/>
          <w:sz w:val="16"/>
          <w:szCs w:val="16"/>
        </w:rPr>
        <w:t>.</w:t>
      </w:r>
    </w:p>
  </w:endnote>
  <w:endnote w:id="895">
    <w:p w14:paraId="0E813CF4" w14:textId="3BEC9E0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1" w:history="1">
        <w:r w:rsidRPr="00707B4A">
          <w:rPr>
            <w:rStyle w:val="Hyperlink"/>
            <w:rFonts w:asciiTheme="minorHAnsi" w:hAnsiTheme="minorHAnsi" w:cstheme="minorHAnsi"/>
            <w:sz w:val="16"/>
            <w:szCs w:val="16"/>
          </w:rPr>
          <w:t>R.C. 149.43(B</w:t>
        </w:r>
        <w:r w:rsidRPr="00707B4A">
          <w:rPr>
            <w:rStyle w:val="Hyperlink"/>
            <w:rFonts w:asciiTheme="minorHAnsi" w:hAnsiTheme="minorHAnsi" w:cstheme="minorHAnsi"/>
            <w:sz w:val="16"/>
            <w:szCs w:val="16"/>
          </w:rPr>
          <w:t>)(2</w:t>
        </w:r>
      </w:hyperlink>
      <w:r w:rsidRPr="00707B4A">
        <w:rPr>
          <w:rFonts w:asciiTheme="minorHAnsi" w:hAnsiTheme="minorHAnsi" w:cstheme="minorHAnsi"/>
          <w:sz w:val="16"/>
          <w:szCs w:val="16"/>
        </w:rPr>
        <w:t>)</w:t>
      </w:r>
      <w:r w:rsidR="00F061B5">
        <w:rPr>
          <w:rFonts w:asciiTheme="minorHAnsi" w:hAnsiTheme="minorHAnsi" w:cstheme="minorHAnsi"/>
          <w:sz w:val="16"/>
          <w:szCs w:val="16"/>
        </w:rPr>
        <w:t>.</w:t>
      </w:r>
    </w:p>
  </w:endnote>
  <w:endnote w:id="896">
    <w:p w14:paraId="7076298C" w14:textId="2F9F57A7" w:rsidR="00667C3F" w:rsidRPr="00707B4A" w:rsidRDefault="00667C3F"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2" w:history="1">
        <w:r w:rsidRPr="00707B4A">
          <w:rPr>
            <w:rStyle w:val="Hyperlink"/>
            <w:rFonts w:asciiTheme="minorHAnsi" w:hAnsiTheme="minorHAnsi" w:cstheme="minorHAnsi"/>
            <w:i/>
            <w:iCs/>
            <w:sz w:val="16"/>
            <w:szCs w:val="16"/>
          </w:rPr>
          <w:t>Rhodes v. New Philadelphia</w:t>
        </w:r>
      </w:hyperlink>
      <w:r w:rsidRPr="00707B4A">
        <w:rPr>
          <w:rFonts w:asciiTheme="minorHAnsi" w:hAnsiTheme="minorHAnsi" w:cstheme="minorHAnsi"/>
          <w:sz w:val="16"/>
          <w:szCs w:val="16"/>
        </w:rPr>
        <w:t>, 129 Ohio St.3d 304, 2011-Ohio-3279, ¶ 14.</w:t>
      </w:r>
    </w:p>
  </w:endnote>
  <w:endnote w:id="897">
    <w:p w14:paraId="0F0C25EC" w14:textId="01071CB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3" w:history="1">
        <w:r w:rsidRPr="00707B4A">
          <w:rPr>
            <w:rStyle w:val="Hyperlink"/>
            <w:rFonts w:asciiTheme="minorHAnsi" w:hAnsiTheme="minorHAnsi" w:cstheme="minorHAnsi"/>
            <w:sz w:val="16"/>
            <w:szCs w:val="16"/>
          </w:rPr>
          <w:t>R.C. 149.351(A).</w:t>
        </w:r>
      </w:hyperlink>
    </w:p>
  </w:endnote>
  <w:endnote w:id="898">
    <w:p w14:paraId="049FB89E" w14:textId="22D76D6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w:t>
      </w:r>
      <w:r w:rsidRPr="00707B4A">
        <w:rPr>
          <w:rFonts w:asciiTheme="minorHAnsi" w:hAnsiTheme="minorHAnsi" w:cstheme="minorHAnsi"/>
          <w:sz w:val="16"/>
          <w:szCs w:val="16"/>
        </w:rPr>
        <w:t xml:space="preserve">Chapter One: </w:t>
      </w:r>
      <w:r w:rsidR="00F061B5">
        <w:rPr>
          <w:rFonts w:asciiTheme="minorHAnsi" w:hAnsiTheme="minorHAnsi" w:cstheme="minorHAnsi"/>
          <w:sz w:val="16"/>
          <w:szCs w:val="16"/>
        </w:rPr>
        <w:t>A</w:t>
      </w:r>
      <w:r w:rsidRPr="00707B4A">
        <w:rPr>
          <w:rFonts w:asciiTheme="minorHAnsi" w:hAnsiTheme="minorHAnsi" w:cstheme="minorHAnsi"/>
          <w:sz w:val="16"/>
          <w:szCs w:val="16"/>
        </w:rPr>
        <w:t xml:space="preserve">. “What are ‘Records’?” </w:t>
      </w:r>
      <w:r w:rsidR="002A5567" w:rsidRPr="00707B4A">
        <w:rPr>
          <w:rFonts w:asciiTheme="minorHAnsi" w:hAnsiTheme="minorHAnsi" w:cstheme="minorHAnsi"/>
          <w:sz w:val="16"/>
          <w:szCs w:val="16"/>
        </w:rPr>
        <w:t>and</w:t>
      </w:r>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Chapter Two</w:t>
      </w:r>
      <w:r w:rsidR="00F061B5">
        <w:rPr>
          <w:rFonts w:asciiTheme="minorHAnsi" w:hAnsiTheme="minorHAnsi" w:cstheme="minorHAnsi"/>
          <w:sz w:val="16"/>
          <w:szCs w:val="16"/>
        </w:rPr>
        <w:t>:</w:t>
      </w:r>
      <w:r w:rsidRPr="00707B4A">
        <w:rPr>
          <w:rFonts w:asciiTheme="minorHAnsi" w:hAnsiTheme="minorHAnsi" w:cstheme="minorHAnsi"/>
          <w:sz w:val="16"/>
          <w:szCs w:val="16"/>
        </w:rPr>
        <w:t xml:space="preserve"> A. “Rights and Obligations of Public Records Requesters and Public Offices</w:t>
      </w:r>
      <w:r w:rsidR="002A5567" w:rsidRPr="00707B4A">
        <w:rPr>
          <w:rFonts w:asciiTheme="minorHAnsi" w:hAnsiTheme="minorHAnsi" w:cstheme="minorHAnsi"/>
          <w:sz w:val="16"/>
          <w:szCs w:val="16"/>
        </w:rPr>
        <w:t xml:space="preserve">,” for </w:t>
      </w:r>
      <w:r w:rsidR="00F061B5">
        <w:rPr>
          <w:rFonts w:asciiTheme="minorHAnsi" w:hAnsiTheme="minorHAnsi" w:cstheme="minorHAnsi"/>
          <w:sz w:val="16"/>
          <w:szCs w:val="16"/>
        </w:rPr>
        <w:t>discussion of</w:t>
      </w:r>
      <w:r w:rsidR="002A5567" w:rsidRPr="00707B4A">
        <w:rPr>
          <w:rFonts w:asciiTheme="minorHAnsi" w:hAnsiTheme="minorHAnsi" w:cstheme="minorHAnsi"/>
          <w:sz w:val="16"/>
          <w:szCs w:val="16"/>
        </w:rPr>
        <w:t xml:space="preserve"> “record” v. “non-record.”</w:t>
      </w:r>
    </w:p>
  </w:endnote>
  <w:endnote w:id="899">
    <w:p w14:paraId="7346DDA5" w14:textId="41FFB42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4" w:history="1">
        <w:r w:rsidRPr="00707B4A">
          <w:rPr>
            <w:rStyle w:val="Hyperlink"/>
            <w:rFonts w:asciiTheme="minorHAnsi" w:hAnsiTheme="minorHAnsi" w:cstheme="minorHAnsi"/>
            <w:sz w:val="16"/>
            <w:szCs w:val="16"/>
          </w:rPr>
          <w:t>R.C. 149.40</w:t>
        </w:r>
      </w:hyperlink>
    </w:p>
  </w:endnote>
  <w:endnote w:id="900">
    <w:p w14:paraId="7E7A2730" w14:textId="66309D6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185" w:history="1">
        <w:r w:rsidRPr="00707B4A">
          <w:rPr>
            <w:rStyle w:val="Hyperlink"/>
            <w:rFonts w:asciiTheme="minorHAnsi" w:hAnsiTheme="minorHAnsi" w:cstheme="minorHAnsi"/>
            <w:sz w:val="16"/>
            <w:szCs w:val="16"/>
          </w:rPr>
          <w:t xml:space="preserve"> R.C. 149.38.</w:t>
        </w:r>
      </w:hyperlink>
    </w:p>
  </w:endnote>
  <w:endnote w:id="901">
    <w:p w14:paraId="2F3E5992" w14:textId="38A19C4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6" w:history="1">
        <w:r w:rsidRPr="00707B4A">
          <w:rPr>
            <w:rStyle w:val="Hyperlink"/>
            <w:rFonts w:asciiTheme="minorHAnsi" w:hAnsiTheme="minorHAnsi" w:cstheme="minorHAnsi"/>
            <w:sz w:val="16"/>
            <w:szCs w:val="16"/>
          </w:rPr>
          <w:t>R.C. 149.42.</w:t>
        </w:r>
      </w:hyperlink>
    </w:p>
  </w:endnote>
  <w:endnote w:id="902">
    <w:p w14:paraId="05FEF6B5" w14:textId="4ACAAC3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187" w:history="1">
        <w:r w:rsidRPr="00707B4A">
          <w:rPr>
            <w:rStyle w:val="Hyperlink"/>
            <w:rFonts w:asciiTheme="minorHAnsi" w:hAnsiTheme="minorHAnsi" w:cstheme="minorHAnsi"/>
            <w:sz w:val="16"/>
            <w:szCs w:val="16"/>
          </w:rPr>
          <w:t xml:space="preserve"> R.C. 149.39.</w:t>
        </w:r>
      </w:hyperlink>
    </w:p>
  </w:endnote>
  <w:endnote w:id="903">
    <w:p w14:paraId="214B27DE" w14:textId="7A964CA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8" w:history="1">
        <w:r w:rsidRPr="00707B4A">
          <w:rPr>
            <w:rStyle w:val="Hyperlink"/>
            <w:rFonts w:asciiTheme="minorHAnsi" w:hAnsiTheme="minorHAnsi" w:cstheme="minorHAnsi"/>
            <w:sz w:val="16"/>
            <w:szCs w:val="16"/>
          </w:rPr>
          <w:t>R.C. 149.411.</w:t>
        </w:r>
      </w:hyperlink>
    </w:p>
  </w:endnote>
  <w:endnote w:id="904">
    <w:p w14:paraId="5B452645" w14:textId="07DEBEC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89" w:history="1">
        <w:r w:rsidRPr="00707B4A">
          <w:rPr>
            <w:rStyle w:val="Hyperlink"/>
            <w:rFonts w:asciiTheme="minorHAnsi" w:hAnsiTheme="minorHAnsi" w:cstheme="minorHAnsi"/>
            <w:sz w:val="16"/>
            <w:szCs w:val="16"/>
          </w:rPr>
          <w:t>R.C. 149.412.</w:t>
        </w:r>
      </w:hyperlink>
    </w:p>
  </w:endnote>
  <w:endnote w:id="905">
    <w:p w14:paraId="06DA0EDE" w14:textId="03F0959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190" w:history="1">
        <w:r w:rsidRPr="00707B4A">
          <w:rPr>
            <w:rStyle w:val="Hyperlink"/>
            <w:rFonts w:asciiTheme="minorHAnsi" w:hAnsiTheme="minorHAnsi" w:cstheme="minorHAnsi"/>
            <w:sz w:val="16"/>
            <w:szCs w:val="16"/>
          </w:rPr>
          <w:t xml:space="preserve"> R.C. 149.41.</w:t>
        </w:r>
      </w:hyperlink>
    </w:p>
  </w:endnote>
  <w:endnote w:id="906">
    <w:p w14:paraId="76792067" w14:textId="514D3FA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1" w:history="1">
        <w:r w:rsidRPr="00707B4A">
          <w:rPr>
            <w:rStyle w:val="Hyperlink"/>
            <w:rFonts w:asciiTheme="minorHAnsi" w:hAnsiTheme="minorHAnsi" w:cstheme="minorHAnsi"/>
            <w:sz w:val="16"/>
            <w:szCs w:val="16"/>
          </w:rPr>
          <w:t>R.C. 149.41.</w:t>
        </w:r>
      </w:hyperlink>
    </w:p>
  </w:endnote>
  <w:endnote w:id="907">
    <w:p w14:paraId="7F4B3178" w14:textId="3904CE6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2" w:history="1">
        <w:r w:rsidRPr="00707B4A">
          <w:rPr>
            <w:rStyle w:val="Hyperlink"/>
            <w:rFonts w:asciiTheme="minorHAnsi" w:hAnsiTheme="minorHAnsi" w:cstheme="minorHAnsi"/>
            <w:sz w:val="16"/>
            <w:szCs w:val="16"/>
          </w:rPr>
          <w:t>R.C. 149.38</w:t>
        </w:r>
      </w:hyperlink>
      <w:r w:rsidRPr="00707B4A">
        <w:rPr>
          <w:rFonts w:asciiTheme="minorHAnsi" w:hAnsiTheme="minorHAnsi" w:cstheme="minorHAnsi"/>
          <w:sz w:val="16"/>
          <w:szCs w:val="16"/>
        </w:rPr>
        <w:t>,</w:t>
      </w:r>
      <w:hyperlink r:id="rId1193" w:history="1">
        <w:r w:rsidRPr="00707B4A">
          <w:rPr>
            <w:rStyle w:val="Hyperlink"/>
            <w:rFonts w:asciiTheme="minorHAnsi" w:hAnsiTheme="minorHAnsi" w:cstheme="minorHAnsi"/>
            <w:sz w:val="16"/>
            <w:szCs w:val="16"/>
          </w:rPr>
          <w:t xml:space="preserve"> .381.</w:t>
        </w:r>
      </w:hyperlink>
    </w:p>
  </w:endnote>
  <w:endnote w:id="908">
    <w:p w14:paraId="02B5B372" w14:textId="60D051F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4" w:history="1">
        <w:r w:rsidRPr="00707B4A">
          <w:rPr>
            <w:rStyle w:val="Hyperlink"/>
            <w:rFonts w:asciiTheme="minorHAnsi" w:hAnsiTheme="minorHAnsi" w:cstheme="minorHAnsi"/>
            <w:sz w:val="16"/>
            <w:szCs w:val="16"/>
          </w:rPr>
          <w:t>R.C. 149.38,</w:t>
        </w:r>
      </w:hyperlink>
      <w:r w:rsidRPr="00707B4A">
        <w:rPr>
          <w:rFonts w:asciiTheme="minorHAnsi" w:hAnsiTheme="minorHAnsi" w:cstheme="minorHAnsi"/>
          <w:sz w:val="16"/>
          <w:szCs w:val="16"/>
        </w:rPr>
        <w:t xml:space="preserve"> </w:t>
      </w:r>
      <w:hyperlink r:id="rId1195" w:history="1">
        <w:r w:rsidRPr="00707B4A">
          <w:rPr>
            <w:rStyle w:val="Hyperlink"/>
            <w:rFonts w:asciiTheme="minorHAnsi" w:hAnsiTheme="minorHAnsi" w:cstheme="minorHAnsi"/>
            <w:sz w:val="16"/>
            <w:szCs w:val="16"/>
          </w:rPr>
          <w:t>.381.</w:t>
        </w:r>
      </w:hyperlink>
    </w:p>
  </w:endnote>
  <w:endnote w:id="909">
    <w:p w14:paraId="0FB1D0CB" w14:textId="3B9B7B8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6" w:history="1">
        <w:r w:rsidRPr="00707B4A">
          <w:rPr>
            <w:rStyle w:val="Hyperlink"/>
            <w:rFonts w:asciiTheme="minorHAnsi" w:hAnsiTheme="minorHAnsi" w:cstheme="minorHAnsi"/>
            <w:sz w:val="16"/>
            <w:szCs w:val="16"/>
          </w:rPr>
          <w:t>R.C. 149.381(C)</w:t>
        </w:r>
      </w:hyperlink>
      <w:r w:rsidR="005168CC" w:rsidRPr="00707B4A">
        <w:rPr>
          <w:rFonts w:asciiTheme="minorHAnsi" w:hAnsiTheme="minorHAnsi" w:cstheme="minorHAnsi"/>
          <w:sz w:val="16"/>
          <w:szCs w:val="16"/>
        </w:rPr>
        <w:t>.</w:t>
      </w:r>
    </w:p>
  </w:endnote>
  <w:endnote w:id="910">
    <w:p w14:paraId="33A3ADF4" w14:textId="7B8BC6B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7" w:history="1">
        <w:r w:rsidRPr="00707B4A">
          <w:rPr>
            <w:rStyle w:val="Hyperlink"/>
            <w:rFonts w:asciiTheme="minorHAnsi" w:hAnsiTheme="minorHAnsi" w:cstheme="minorHAnsi"/>
            <w:sz w:val="16"/>
            <w:szCs w:val="16"/>
          </w:rPr>
          <w:t>R.C. 149.33(A).</w:t>
        </w:r>
      </w:hyperlink>
    </w:p>
  </w:endnote>
  <w:endnote w:id="911">
    <w:p w14:paraId="29552895" w14:textId="444E0F85" w:rsidR="002F23BE" w:rsidRPr="00F061B5"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198" w:history="1">
        <w:r w:rsidRPr="00707B4A">
          <w:rPr>
            <w:rStyle w:val="Hyperlink"/>
            <w:rFonts w:asciiTheme="minorHAnsi" w:hAnsiTheme="minorHAnsi" w:cstheme="minorHAnsi"/>
            <w:sz w:val="16"/>
            <w:szCs w:val="16"/>
          </w:rPr>
          <w:t>R.C. 149.332.</w:t>
        </w:r>
      </w:hyperlink>
    </w:p>
  </w:endnote>
  <w:endnote w:id="912">
    <w:p w14:paraId="4302A5C9" w14:textId="181B7BB3"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Instructions for how to adopt DAS general retention schedules are on page 8 of the RIMS User Manual, available at:  </w:t>
      </w:r>
      <w:hyperlink r:id="rId1199" w:history="1">
        <w:r w:rsidRPr="00F061B5">
          <w:rPr>
            <w:rStyle w:val="Hyperlink"/>
            <w:rFonts w:asciiTheme="minorHAnsi" w:hAnsiTheme="minorHAnsi" w:cstheme="minorHAnsi"/>
            <w:sz w:val="16"/>
            <w:szCs w:val="16"/>
          </w:rPr>
          <w:t>https://das.ohio.gov/static/buying-selling/state-printing-and-mail-services/records-management/RIMS%20Manual.pdf</w:t>
        </w:r>
      </w:hyperlink>
      <w:r w:rsidRPr="00F061B5">
        <w:rPr>
          <w:rFonts w:asciiTheme="minorHAnsi" w:hAnsiTheme="minorHAnsi" w:cstheme="minorHAnsi"/>
          <w:sz w:val="16"/>
          <w:szCs w:val="16"/>
        </w:rPr>
        <w:t>.</w:t>
      </w:r>
    </w:p>
  </w:endnote>
  <w:endnote w:id="913">
    <w:p w14:paraId="579ED8B3" w14:textId="669B5E89"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0" w:history="1">
        <w:r w:rsidRPr="00F061B5">
          <w:rPr>
            <w:rStyle w:val="Hyperlink"/>
            <w:rFonts w:asciiTheme="minorHAnsi" w:hAnsiTheme="minorHAnsi" w:cstheme="minorHAnsi"/>
            <w:sz w:val="16"/>
            <w:szCs w:val="16"/>
          </w:rPr>
          <w:t>R.C. 149.331(C).</w:t>
        </w:r>
      </w:hyperlink>
    </w:p>
  </w:endnote>
  <w:endnote w:id="914">
    <w:p w14:paraId="03EC2C37" w14:textId="7680CADA"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Instructions for how to submit a retention schedule for approval are on page 10 of the RIMS User Manual, available at:  </w:t>
      </w:r>
      <w:r w:rsidRPr="00F061B5">
        <w:rPr>
          <w:rStyle w:val="Hyperlink"/>
          <w:rFonts w:asciiTheme="minorHAnsi" w:hAnsiTheme="minorHAnsi" w:cstheme="minorHAnsi"/>
          <w:sz w:val="16"/>
          <w:szCs w:val="16"/>
        </w:rPr>
        <w:t>https://das.ohio.gov/static/buying-selling/state-printing-and-mail-services/records-management/RIMS%20Manual.pdf</w:t>
      </w:r>
      <w:r w:rsidR="00526E57">
        <w:rPr>
          <w:rStyle w:val="Hyperlink"/>
          <w:rFonts w:asciiTheme="minorHAnsi" w:hAnsiTheme="minorHAnsi" w:cstheme="minorHAnsi"/>
          <w:sz w:val="16"/>
          <w:szCs w:val="16"/>
        </w:rPr>
        <w:t>.</w:t>
      </w:r>
    </w:p>
  </w:endnote>
  <w:endnote w:id="915">
    <w:p w14:paraId="1668DDA6" w14:textId="65ACD28B"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1" w:history="1">
        <w:r w:rsidRPr="00F061B5">
          <w:rPr>
            <w:rStyle w:val="Hyperlink"/>
            <w:rFonts w:asciiTheme="minorHAnsi" w:hAnsiTheme="minorHAnsi" w:cstheme="minorHAnsi"/>
            <w:sz w:val="16"/>
            <w:szCs w:val="16"/>
          </w:rPr>
          <w:t>R.C. 149.333.</w:t>
        </w:r>
      </w:hyperlink>
    </w:p>
  </w:endnote>
  <w:endnote w:id="916">
    <w:p w14:paraId="500BEE76" w14:textId="2CE76D41" w:rsidR="002F23BE" w:rsidRPr="00F061B5"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2" w:history="1">
        <w:r w:rsidRPr="00F061B5">
          <w:rPr>
            <w:rStyle w:val="Hyperlink"/>
            <w:rFonts w:asciiTheme="minorHAnsi" w:hAnsiTheme="minorHAnsi" w:cstheme="minorHAnsi"/>
            <w:sz w:val="16"/>
            <w:szCs w:val="16"/>
          </w:rPr>
          <w:t>R.C. 149.333.</w:t>
        </w:r>
      </w:hyperlink>
    </w:p>
  </w:endnote>
  <w:endnote w:id="917">
    <w:p w14:paraId="74C817CE" w14:textId="0D6E48F2" w:rsidR="002F23BE" w:rsidRPr="00707B4A" w:rsidRDefault="002F23BE" w:rsidP="00707B4A">
      <w:pPr>
        <w:pStyle w:val="EndnoteText"/>
        <w:spacing w:line="160" w:lineRule="exact"/>
        <w:jc w:val="both"/>
        <w:rPr>
          <w:rFonts w:asciiTheme="minorHAnsi" w:hAnsiTheme="minorHAnsi" w:cstheme="minorHAnsi"/>
          <w:sz w:val="16"/>
          <w:szCs w:val="16"/>
        </w:rPr>
      </w:pPr>
      <w:r w:rsidRPr="00F061B5">
        <w:rPr>
          <w:rStyle w:val="EndnoteReference"/>
          <w:rFonts w:asciiTheme="minorHAnsi" w:hAnsiTheme="minorHAnsi" w:cstheme="minorHAnsi"/>
          <w:sz w:val="16"/>
          <w:szCs w:val="16"/>
        </w:rPr>
        <w:endnoteRef/>
      </w:r>
      <w:r w:rsidRPr="00F061B5">
        <w:rPr>
          <w:rFonts w:asciiTheme="minorHAnsi" w:hAnsiTheme="minorHAnsi" w:cstheme="minorHAnsi"/>
          <w:sz w:val="16"/>
          <w:szCs w:val="16"/>
        </w:rPr>
        <w:t xml:space="preserve"> </w:t>
      </w:r>
      <w:hyperlink r:id="rId1203" w:history="1">
        <w:r w:rsidRPr="00F061B5">
          <w:rPr>
            <w:rStyle w:val="Hyperlink"/>
            <w:rFonts w:asciiTheme="minorHAnsi" w:hAnsiTheme="minorHAnsi" w:cstheme="minorHAnsi"/>
            <w:sz w:val="16"/>
            <w:szCs w:val="16"/>
          </w:rPr>
          <w:t>R.C. 149.33(B).</w:t>
        </w:r>
      </w:hyperlink>
    </w:p>
  </w:endnote>
  <w:endnote w:id="918">
    <w:p w14:paraId="3B462C1A" w14:textId="74B80E5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4" w:history="1">
        <w:r w:rsidRPr="00707B4A">
          <w:rPr>
            <w:rStyle w:val="Hyperlink"/>
            <w:rFonts w:asciiTheme="minorHAnsi" w:hAnsiTheme="minorHAnsi" w:cstheme="minorHAnsi"/>
            <w:sz w:val="16"/>
            <w:szCs w:val="16"/>
          </w:rPr>
          <w:t>R.C. 149.33.</w:t>
        </w:r>
      </w:hyperlink>
    </w:p>
  </w:endnote>
  <w:endnote w:id="919">
    <w:p w14:paraId="0E16BB70" w14:textId="7D9AEDD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05" w:history="1">
        <w:r w:rsidRPr="00707B4A">
          <w:rPr>
            <w:rStyle w:val="Hyperlink"/>
            <w:rFonts w:asciiTheme="minorHAnsi" w:hAnsiTheme="minorHAnsi" w:cstheme="minorHAnsi"/>
            <w:sz w:val="16"/>
            <w:szCs w:val="16"/>
          </w:rPr>
          <w:t xml:space="preserve"> R.C. 149.351.</w:t>
        </w:r>
      </w:hyperlink>
    </w:p>
  </w:endnote>
  <w:endnote w:id="920">
    <w:p w14:paraId="32F651F9" w14:textId="2A10BFB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6" w:history="1">
        <w:r w:rsidRPr="00707B4A">
          <w:rPr>
            <w:rStyle w:val="Hyperlink"/>
            <w:rFonts w:asciiTheme="minorHAnsi" w:hAnsiTheme="minorHAnsi" w:cstheme="minorHAnsi"/>
            <w:i/>
            <w:sz w:val="16"/>
            <w:szCs w:val="16"/>
          </w:rPr>
          <w:t xml:space="preserve">Wagner v. Huron </w:t>
        </w:r>
        <w:r w:rsidRPr="00707B4A">
          <w:rPr>
            <w:rStyle w:val="Hyperlink"/>
            <w:rFonts w:asciiTheme="minorHAnsi" w:hAnsiTheme="minorHAnsi" w:cstheme="minorHAnsi"/>
            <w:i/>
            <w:sz w:val="16"/>
            <w:szCs w:val="16"/>
          </w:rPr>
          <w:t>Cty. Bd. of Cty. Commrs.</w:t>
        </w:r>
      </w:hyperlink>
      <w:r w:rsidRPr="00707B4A">
        <w:rPr>
          <w:rFonts w:asciiTheme="minorHAnsi" w:hAnsiTheme="minorHAnsi" w:cstheme="minorHAnsi"/>
          <w:sz w:val="16"/>
          <w:szCs w:val="16"/>
        </w:rPr>
        <w:t>, 6th Dist. No. H-12-008, 2013-Ohio-3961, ¶ 17 (</w:t>
      </w:r>
      <w:r w:rsidR="005168CC" w:rsidRPr="00707B4A">
        <w:rPr>
          <w:rFonts w:asciiTheme="minorHAnsi" w:hAnsiTheme="minorHAnsi" w:cstheme="minorHAnsi"/>
          <w:sz w:val="16"/>
          <w:szCs w:val="16"/>
        </w:rPr>
        <w:t>a</w:t>
      </w:r>
      <w:r w:rsidRPr="00707B4A">
        <w:rPr>
          <w:rFonts w:asciiTheme="minorHAnsi" w:hAnsiTheme="minorHAnsi" w:cstheme="minorHAnsi"/>
          <w:sz w:val="16"/>
          <w:szCs w:val="16"/>
        </w:rPr>
        <w:t xml:space="preserve"> public office must dispose of records in accordance with then-existing retention schedule and cannot claim that it disposed of records based on a schedule implemented after disposal of requested records).</w:t>
      </w:r>
    </w:p>
  </w:endnote>
  <w:endnote w:id="921">
    <w:p w14:paraId="2EB38C6F"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7" w:history="1">
        <w:r w:rsidRPr="00707B4A">
          <w:rPr>
            <w:rStyle w:val="Hyperlink"/>
            <w:rFonts w:asciiTheme="minorHAnsi" w:hAnsiTheme="minorHAnsi" w:cstheme="minorHAnsi"/>
            <w:i/>
            <w:sz w:val="16"/>
            <w:szCs w:val="16"/>
          </w:rPr>
          <w:t>State ex rel. Dispatch Printing Co. v. Columbus</w:t>
        </w:r>
      </w:hyperlink>
      <w:r w:rsidRPr="00707B4A">
        <w:rPr>
          <w:rFonts w:asciiTheme="minorHAnsi" w:hAnsiTheme="minorHAnsi" w:cstheme="minorHAnsi"/>
          <w:sz w:val="16"/>
          <w:szCs w:val="16"/>
        </w:rPr>
        <w:t>, 90 Ohio St.3d 39, 41 (2000).</w:t>
      </w:r>
    </w:p>
  </w:endnote>
  <w:endnote w:id="922">
    <w:p w14:paraId="391F4309" w14:textId="504214E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08" w:history="1">
        <w:r w:rsidRPr="00707B4A">
          <w:rPr>
            <w:rStyle w:val="Hyperlink"/>
            <w:rFonts w:asciiTheme="minorHAnsi" w:hAnsiTheme="minorHAnsi" w:cstheme="minorHAnsi"/>
            <w:sz w:val="16"/>
            <w:szCs w:val="16"/>
          </w:rPr>
          <w:t xml:space="preserve"> R.C. 149.34.</w:t>
        </w:r>
      </w:hyperlink>
    </w:p>
  </w:endnote>
  <w:endnote w:id="923">
    <w:p w14:paraId="7F5B7965" w14:textId="2ACA777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09" w:history="1">
        <w:r w:rsidRPr="00707B4A">
          <w:rPr>
            <w:rStyle w:val="Hyperlink"/>
            <w:rFonts w:asciiTheme="minorHAnsi" w:hAnsiTheme="minorHAnsi" w:cstheme="minorHAnsi"/>
            <w:sz w:val="16"/>
            <w:szCs w:val="16"/>
          </w:rPr>
          <w:t>R.C. 149.31(A)</w:t>
        </w:r>
      </w:hyperlink>
      <w:r w:rsidRPr="00707B4A">
        <w:rPr>
          <w:rFonts w:asciiTheme="minorHAnsi" w:hAnsiTheme="minorHAnsi" w:cstheme="minorHAnsi"/>
          <w:sz w:val="16"/>
          <w:szCs w:val="16"/>
        </w:rPr>
        <w:t xml:space="preserve"> (“</w:t>
      </w:r>
      <w:r w:rsidR="00A53B51" w:rsidRPr="00707B4A">
        <w:rPr>
          <w:rFonts w:asciiTheme="minorHAnsi" w:hAnsiTheme="minorHAnsi" w:cstheme="minorHAnsi"/>
          <w:sz w:val="16"/>
          <w:szCs w:val="16"/>
        </w:rPr>
        <w:t>T</w:t>
      </w:r>
      <w:r w:rsidRPr="00707B4A">
        <w:rPr>
          <w:rFonts w:asciiTheme="minorHAnsi" w:hAnsiTheme="minorHAnsi" w:cstheme="minorHAnsi"/>
          <w:sz w:val="16"/>
          <w:szCs w:val="16"/>
        </w:rPr>
        <w:t>he archives administration shall be headed by a trained archivist designated by the Ohio history connection and shall make its services available to county, municipal, township, school district, library, and special taxing district records commissions upon request.”).</w:t>
      </w:r>
    </w:p>
  </w:endnote>
  <w:endnote w:id="924">
    <w:p w14:paraId="734D22AE" w14:textId="18A0FD9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0" w:history="1">
        <w:r w:rsidRPr="00707B4A">
          <w:rPr>
            <w:rStyle w:val="Hyperlink"/>
            <w:rFonts w:asciiTheme="minorHAnsi" w:hAnsiTheme="minorHAnsi" w:cstheme="minorHAnsi"/>
            <w:sz w:val="16"/>
            <w:szCs w:val="16"/>
          </w:rPr>
          <w:t>R.C. 149.331(D).</w:t>
        </w:r>
      </w:hyperlink>
    </w:p>
  </w:endnote>
  <w:endnote w:id="925">
    <w:p w14:paraId="71386B50"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1" w:history="1">
        <w:r w:rsidRPr="00707B4A">
          <w:rPr>
            <w:rStyle w:val="Hyperlink"/>
            <w:rFonts w:asciiTheme="minorHAnsi" w:hAnsiTheme="minorHAnsi" w:cstheme="minorHAnsi"/>
            <w:i/>
            <w:sz w:val="16"/>
            <w:szCs w:val="16"/>
          </w:rPr>
          <w:t>State ex rel. Glasgow v. Jones</w:t>
        </w:r>
      </w:hyperlink>
      <w:r w:rsidRPr="00707B4A">
        <w:rPr>
          <w:rFonts w:asciiTheme="minorHAnsi" w:hAnsiTheme="minorHAnsi" w:cstheme="minorHAnsi"/>
          <w:sz w:val="16"/>
          <w:szCs w:val="16"/>
        </w:rPr>
        <w:t>, 119 Ohio St.3d 391, 2008-Ohio-4788, ¶ 24, n.1.</w:t>
      </w:r>
    </w:p>
  </w:endnote>
  <w:endnote w:id="926">
    <w:p w14:paraId="4ED10D62" w14:textId="1AF5A0D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Suggested local government retention schedules can be found at </w:t>
      </w:r>
      <w:hyperlink r:id="rId1212" w:anchor="rc" w:history="1">
        <w:r w:rsidRPr="00707B4A">
          <w:rPr>
            <w:rStyle w:val="Hyperlink"/>
            <w:rFonts w:asciiTheme="minorHAnsi" w:hAnsiTheme="minorHAnsi" w:cstheme="minorHAnsi"/>
            <w:sz w:val="16"/>
            <w:szCs w:val="16"/>
          </w:rPr>
          <w:t>https://www.ohiohistory.org/research/local-government-records-program/local-retention-schedules-forms/#rc</w:t>
        </w:r>
      </w:hyperlink>
      <w:r w:rsidRPr="00707B4A">
        <w:rPr>
          <w:rFonts w:asciiTheme="minorHAnsi" w:hAnsiTheme="minorHAnsi" w:cstheme="minorHAnsi"/>
          <w:sz w:val="16"/>
          <w:szCs w:val="16"/>
        </w:rPr>
        <w:t xml:space="preserve">. “General Schedules” for state government agencies can be found in the RIMS database found at </w:t>
      </w:r>
      <w:hyperlink r:id="rId1213" w:history="1">
        <w:r w:rsidRPr="00707B4A">
          <w:rPr>
            <w:rStyle w:val="Hyperlink"/>
            <w:rFonts w:asciiTheme="minorHAnsi" w:hAnsiTheme="minorHAnsi" w:cstheme="minorHAnsi"/>
            <w:sz w:val="16"/>
            <w:szCs w:val="16"/>
          </w:rPr>
          <w:t>https://das.ohio.gov/buying-and-selling/state-printing-and-mail-services/records-management/records-management</w:t>
        </w:r>
      </w:hyperlink>
      <w:r w:rsidRPr="00707B4A">
        <w:rPr>
          <w:rFonts w:asciiTheme="minorHAnsi" w:hAnsiTheme="minorHAnsi" w:cstheme="minorHAnsi"/>
          <w:sz w:val="16"/>
          <w:szCs w:val="16"/>
        </w:rPr>
        <w:t xml:space="preserve">. </w:t>
      </w:r>
    </w:p>
  </w:endnote>
  <w:endnote w:id="927">
    <w:p w14:paraId="1C79D0E1" w14:textId="244F469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14" w:history="1">
        <w:r w:rsidRPr="00707B4A">
          <w:rPr>
            <w:rStyle w:val="Hyperlink"/>
            <w:rFonts w:asciiTheme="minorHAnsi" w:hAnsiTheme="minorHAnsi" w:cstheme="minorHAnsi"/>
            <w:sz w:val="16"/>
            <w:szCs w:val="16"/>
          </w:rPr>
          <w:t xml:space="preserve"> R.C. 149.38(C)(3)</w:t>
        </w:r>
      </w:hyperlink>
      <w:r w:rsidRPr="00707B4A">
        <w:rPr>
          <w:rFonts w:asciiTheme="minorHAnsi" w:hAnsiTheme="minorHAnsi" w:cstheme="minorHAnsi"/>
          <w:sz w:val="16"/>
          <w:szCs w:val="16"/>
        </w:rPr>
        <w:t>;</w:t>
      </w:r>
      <w:hyperlink r:id="rId1215" w:history="1">
        <w:r w:rsidRPr="00707B4A">
          <w:rPr>
            <w:rStyle w:val="Hyperlink"/>
            <w:rFonts w:asciiTheme="minorHAnsi" w:hAnsiTheme="minorHAnsi" w:cstheme="minorHAnsi"/>
            <w:sz w:val="16"/>
            <w:szCs w:val="16"/>
          </w:rPr>
          <w:t xml:space="preserve"> R.C. 149.381 (B) and (D)</w:t>
        </w:r>
      </w:hyperlink>
      <w:r w:rsidRPr="00707B4A">
        <w:rPr>
          <w:rFonts w:asciiTheme="minorHAnsi" w:hAnsiTheme="minorHAnsi" w:cstheme="minorHAnsi"/>
          <w:sz w:val="16"/>
          <w:szCs w:val="16"/>
        </w:rPr>
        <w:t>.</w:t>
      </w:r>
    </w:p>
  </w:endnote>
  <w:endnote w:id="928">
    <w:p w14:paraId="084F021C" w14:textId="6D6411C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Instructions for how to submit a records disposal are on page 18 of the RIMS User Manual, available at: </w:t>
      </w:r>
      <w:hyperlink r:id="rId1216" w:history="1">
        <w:r w:rsidR="00A53B51" w:rsidRPr="00707B4A">
          <w:rPr>
            <w:rStyle w:val="Hyperlink"/>
            <w:rFonts w:asciiTheme="minorHAnsi" w:hAnsiTheme="minorHAnsi" w:cstheme="minorHAnsi"/>
            <w:sz w:val="16"/>
            <w:szCs w:val="16"/>
          </w:rPr>
          <w:t>https://das.ohio.gov/static/buying-selling/state-printing-and-mail-services/records-management/RIMS%20Manual.pdf</w:t>
        </w:r>
      </w:hyperlink>
      <w:r w:rsidR="00A53B51" w:rsidRPr="00707B4A">
        <w:rPr>
          <w:rStyle w:val="Hyperlink"/>
          <w:rFonts w:asciiTheme="minorHAnsi" w:hAnsiTheme="minorHAnsi" w:cstheme="minorHAnsi"/>
          <w:sz w:val="16"/>
          <w:szCs w:val="16"/>
        </w:rPr>
        <w:t>.</w:t>
      </w:r>
    </w:p>
  </w:endnote>
  <w:endnote w:id="929">
    <w:p w14:paraId="5A10B2C1" w14:textId="60B2C79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7" w:history="1">
        <w:r w:rsidRPr="00707B4A">
          <w:rPr>
            <w:rStyle w:val="Hyperlink"/>
            <w:rFonts w:asciiTheme="minorHAnsi" w:hAnsiTheme="minorHAnsi" w:cstheme="minorHAnsi"/>
            <w:sz w:val="16"/>
            <w:szCs w:val="16"/>
          </w:rPr>
          <w:t>R.C. 149.351(A).</w:t>
        </w:r>
      </w:hyperlink>
    </w:p>
  </w:endnote>
  <w:endnote w:id="930">
    <w:p w14:paraId="4DA673FF" w14:textId="44F7912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18" w:history="1">
        <w:r w:rsidRPr="00707B4A">
          <w:rPr>
            <w:rStyle w:val="Hyperlink"/>
            <w:rFonts w:asciiTheme="minorHAnsi" w:hAnsiTheme="minorHAnsi" w:cstheme="minorHAnsi"/>
            <w:i/>
            <w:sz w:val="16"/>
            <w:szCs w:val="16"/>
          </w:rPr>
          <w:t>Rhodes v. New Philadelphia</w:t>
        </w:r>
      </w:hyperlink>
      <w:r w:rsidRPr="00707B4A">
        <w:rPr>
          <w:rFonts w:asciiTheme="minorHAnsi" w:hAnsiTheme="minorHAnsi" w:cstheme="minorHAnsi"/>
          <w:sz w:val="16"/>
          <w:szCs w:val="16"/>
        </w:rPr>
        <w:t xml:space="preserve">, 129 Ohio St.3d 304, 2011-Ohio-3279; </w:t>
      </w:r>
      <w:hyperlink r:id="rId1219" w:history="1">
        <w:r w:rsidRPr="00707B4A">
          <w:rPr>
            <w:rStyle w:val="Hyperlink"/>
            <w:rFonts w:asciiTheme="minorHAnsi" w:hAnsiTheme="minorHAnsi" w:cstheme="minorHAnsi"/>
            <w:i/>
            <w:sz w:val="16"/>
            <w:szCs w:val="16"/>
          </w:rPr>
          <w:t>Walker v. Ohio State Univ. Bd. of Trustees</w:t>
        </w:r>
      </w:hyperlink>
      <w:r w:rsidRPr="00707B4A">
        <w:rPr>
          <w:rFonts w:asciiTheme="minorHAnsi" w:hAnsiTheme="minorHAnsi" w:cstheme="minorHAnsi"/>
          <w:sz w:val="16"/>
          <w:szCs w:val="16"/>
        </w:rPr>
        <w:t xml:space="preserve">, 10th Dist. No. 09AP-748, 2010-Ohio-373, ¶ 22-27 (a person is “aggrieved by” a violation of R.C. 149.351(A) when (1) the person has a legal right to disclosure of a record of a public office, and (2) the disposal of the record, not permitted by law, allegedly infringes the right); </w:t>
      </w:r>
      <w:r w:rsidRPr="00707B4A">
        <w:rPr>
          <w:rFonts w:asciiTheme="minorHAnsi" w:hAnsiTheme="minorHAnsi" w:cstheme="minorHAnsi"/>
          <w:i/>
          <w:sz w:val="16"/>
          <w:szCs w:val="16"/>
        </w:rPr>
        <w:t xml:space="preserve">see also </w:t>
      </w:r>
      <w:hyperlink r:id="rId1220"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Verhovec v. Uhrichsville</w:t>
        </w:r>
      </w:hyperlink>
      <w:r w:rsidRPr="00707B4A">
        <w:rPr>
          <w:rFonts w:asciiTheme="minorHAnsi" w:hAnsiTheme="minorHAnsi" w:cstheme="minorHAnsi"/>
          <w:sz w:val="16"/>
          <w:szCs w:val="16"/>
        </w:rPr>
        <w:t>, 5th Dist. No. 2014AP04 0013, 2014-Ohio-4848 (finding requester did not demonstrate actual interest in records).</w:t>
      </w:r>
    </w:p>
  </w:endnote>
  <w:endnote w:id="931">
    <w:p w14:paraId="05BCEE55" w14:textId="10627F1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1" w:history="1">
        <w:r w:rsidRPr="00707B4A">
          <w:rPr>
            <w:rStyle w:val="Hyperlink"/>
            <w:rFonts w:asciiTheme="minorHAnsi" w:hAnsiTheme="minorHAnsi" w:cstheme="minorHAnsi"/>
            <w:sz w:val="16"/>
            <w:szCs w:val="16"/>
          </w:rPr>
          <w:t>R.C. 149.351(B)(1).</w:t>
        </w:r>
      </w:hyperlink>
    </w:p>
  </w:endnote>
  <w:endnote w:id="932">
    <w:p w14:paraId="3C0FED8C" w14:textId="6489DFE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2" w:history="1">
        <w:r w:rsidRPr="00707B4A">
          <w:rPr>
            <w:rStyle w:val="Hyperlink"/>
            <w:rFonts w:asciiTheme="minorHAnsi" w:hAnsiTheme="minorHAnsi" w:cstheme="minorHAnsi"/>
            <w:sz w:val="16"/>
            <w:szCs w:val="16"/>
          </w:rPr>
          <w:t>R.C. 149.351(B)(2).</w:t>
        </w:r>
      </w:hyperlink>
    </w:p>
  </w:endnote>
  <w:endnote w:id="933">
    <w:p w14:paraId="4A18F651" w14:textId="60D391E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3" w:history="1">
        <w:r w:rsidRPr="00707B4A">
          <w:rPr>
            <w:rStyle w:val="Hyperlink"/>
            <w:rFonts w:asciiTheme="minorHAnsi" w:hAnsiTheme="minorHAnsi" w:cstheme="minorHAnsi"/>
            <w:i/>
            <w:sz w:val="16"/>
            <w:szCs w:val="16"/>
          </w:rPr>
          <w:t>Rhodes v. New Philadelphia</w:t>
        </w:r>
      </w:hyperlink>
      <w:r w:rsidRPr="00707B4A">
        <w:rPr>
          <w:rFonts w:asciiTheme="minorHAnsi" w:hAnsiTheme="minorHAnsi" w:cstheme="minorHAnsi"/>
          <w:sz w:val="16"/>
          <w:szCs w:val="16"/>
        </w:rPr>
        <w:t xml:space="preserve">, 129 Ohio St.3d 304, 2011-Ohio-3279, ¶ 16; </w:t>
      </w:r>
      <w:hyperlink r:id="rId1224" w:history="1">
        <w:r w:rsidRPr="00707B4A">
          <w:rPr>
            <w:rStyle w:val="Hyperlink"/>
            <w:rFonts w:asciiTheme="minorHAnsi" w:hAnsiTheme="minorHAnsi" w:cstheme="minorHAnsi"/>
            <w:i/>
            <w:sz w:val="16"/>
            <w:szCs w:val="16"/>
          </w:rPr>
          <w:t>Arnold v. Columbus</w:t>
        </w:r>
      </w:hyperlink>
      <w:r w:rsidRPr="00707B4A">
        <w:rPr>
          <w:rFonts w:asciiTheme="minorHAnsi" w:hAnsiTheme="minorHAnsi" w:cstheme="minorHAnsi"/>
          <w:sz w:val="16"/>
          <w:szCs w:val="16"/>
        </w:rPr>
        <w:t xml:space="preserve">, 10th Dist. No. 14AP-418, 2015-Ohio-4873, ¶ 71-72; </w:t>
      </w:r>
      <w:hyperlink r:id="rId1225" w:history="1">
        <w:r w:rsidRPr="00707B4A">
          <w:rPr>
            <w:rStyle w:val="Hyperlink"/>
            <w:rFonts w:asciiTheme="minorHAnsi" w:hAnsiTheme="minorHAnsi" w:cstheme="minorHAnsi"/>
            <w:i/>
            <w:sz w:val="16"/>
            <w:szCs w:val="16"/>
          </w:rPr>
          <w:t>Walker v. Ohio State Univ. Bd. of Trustees</w:t>
        </w:r>
      </w:hyperlink>
      <w:r w:rsidRPr="00707B4A">
        <w:rPr>
          <w:rFonts w:asciiTheme="minorHAnsi" w:hAnsiTheme="minorHAnsi" w:cstheme="minorHAnsi"/>
          <w:sz w:val="16"/>
          <w:szCs w:val="16"/>
        </w:rPr>
        <w:t xml:space="preserve">, 10th Dist. No. 09AP-748 2010-Ohio-373, ¶ 22-27; </w:t>
      </w:r>
      <w:hyperlink r:id="rId1226" w:history="1">
        <w:r w:rsidRPr="00707B4A">
          <w:rPr>
            <w:rStyle w:val="Hyperlink"/>
            <w:rFonts w:asciiTheme="minorHAnsi" w:hAnsiTheme="minorHAnsi" w:cstheme="minorHAnsi"/>
            <w:i/>
            <w:sz w:val="16"/>
            <w:szCs w:val="16"/>
          </w:rPr>
          <w:t>State ex rel. Todd v. Canfield</w:t>
        </w:r>
      </w:hyperlink>
      <w:r w:rsidRPr="00707B4A">
        <w:rPr>
          <w:rFonts w:asciiTheme="minorHAnsi" w:hAnsiTheme="minorHAnsi" w:cstheme="minorHAnsi"/>
          <w:sz w:val="16"/>
          <w:szCs w:val="16"/>
        </w:rPr>
        <w:t>, 7th Dist. No. 11 MA 209, 2014-Ohio-569, ¶ 22.</w:t>
      </w:r>
    </w:p>
  </w:endnote>
  <w:endnote w:id="934">
    <w:p w14:paraId="3AAE4ED4" w14:textId="04666D3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27" w:history="1">
        <w:r w:rsidRPr="00707B4A">
          <w:rPr>
            <w:rStyle w:val="Hyperlink"/>
            <w:rFonts w:asciiTheme="minorHAnsi" w:hAnsiTheme="minorHAnsi" w:cstheme="minorHAnsi"/>
            <w:sz w:val="16"/>
            <w:szCs w:val="16"/>
          </w:rPr>
          <w:t>R.C. 149.351(C)</w:t>
        </w:r>
      </w:hyperlink>
      <w:r w:rsidRPr="00707B4A">
        <w:rPr>
          <w:rFonts w:asciiTheme="minorHAnsi" w:hAnsiTheme="minorHAnsi" w:cstheme="minorHAnsi"/>
          <w:sz w:val="16"/>
          <w:szCs w:val="16"/>
        </w:rPr>
        <w:t xml:space="preserve">; </w:t>
      </w:r>
      <w:hyperlink r:id="rId1228" w:history="1">
        <w:r w:rsidRPr="00707B4A">
          <w:rPr>
            <w:rStyle w:val="Hyperlink"/>
            <w:rFonts w:asciiTheme="minorHAnsi" w:hAnsiTheme="minorHAnsi" w:cstheme="minorHAnsi"/>
            <w:i/>
            <w:sz w:val="16"/>
            <w:szCs w:val="16"/>
          </w:rPr>
          <w:t>Rhodes v. New Philadelphia</w:t>
        </w:r>
      </w:hyperlink>
      <w:r w:rsidRPr="00707B4A">
        <w:rPr>
          <w:rFonts w:asciiTheme="minorHAnsi" w:hAnsiTheme="minorHAnsi" w:cstheme="minorHAnsi"/>
          <w:sz w:val="16"/>
          <w:szCs w:val="16"/>
        </w:rPr>
        <w:t xml:space="preserve">, 129 Ohio St.3d 304, 2011-Ohio-3279; </w:t>
      </w:r>
      <w:hyperlink r:id="rId1229" w:history="1">
        <w:r w:rsidRPr="00707B4A">
          <w:rPr>
            <w:rStyle w:val="Hyperlink"/>
            <w:rFonts w:asciiTheme="minorHAnsi" w:hAnsiTheme="minorHAnsi" w:cstheme="minorHAnsi"/>
            <w:i/>
            <w:sz w:val="16"/>
            <w:szCs w:val="16"/>
          </w:rPr>
          <w:t>Mentch v. Cuyahoga Cty. Pub. Lib. Bd.</w:t>
        </w:r>
      </w:hyperlink>
      <w:r w:rsidRPr="00707B4A">
        <w:rPr>
          <w:rFonts w:asciiTheme="minorHAnsi" w:hAnsiTheme="minorHAnsi" w:cstheme="minorHAnsi"/>
          <w:sz w:val="16"/>
          <w:szCs w:val="16"/>
        </w:rPr>
        <w:t xml:space="preserve">, 8th Dist. Cuyahoga No. 105963, 2018-Ohio-1398, ¶ 78 (requester was not aggrieved </w:t>
      </w:r>
      <w:r w:rsidR="00DF137B">
        <w:rPr>
          <w:rFonts w:asciiTheme="minorHAnsi" w:hAnsiTheme="minorHAnsi" w:cstheme="minorHAnsi"/>
          <w:sz w:val="16"/>
          <w:szCs w:val="16"/>
        </w:rPr>
        <w:t xml:space="preserve">when </w:t>
      </w:r>
      <w:r w:rsidRPr="00707B4A">
        <w:rPr>
          <w:rFonts w:asciiTheme="minorHAnsi" w:hAnsiTheme="minorHAnsi" w:cstheme="minorHAnsi"/>
          <w:sz w:val="16"/>
          <w:szCs w:val="16"/>
        </w:rPr>
        <w:t xml:space="preserve">she made request “with the goal of challenging and/or reversing [a public office’s decision], or in the alternative, to prove the nonexistence of the records”); </w:t>
      </w:r>
      <w:hyperlink r:id="rId1230" w:history="1">
        <w:r w:rsidRPr="00707B4A">
          <w:rPr>
            <w:rStyle w:val="Hyperlink"/>
            <w:rFonts w:asciiTheme="minorHAnsi" w:hAnsiTheme="minorHAnsi" w:cstheme="minorHAnsi"/>
            <w:i/>
            <w:sz w:val="16"/>
            <w:szCs w:val="16"/>
          </w:rPr>
          <w:t>State ex rel. Verhovec v. Marietta</w:t>
        </w:r>
      </w:hyperlink>
      <w:r w:rsidRPr="00707B4A">
        <w:rPr>
          <w:rFonts w:asciiTheme="minorHAnsi" w:hAnsiTheme="minorHAnsi" w:cstheme="minorHAnsi"/>
          <w:sz w:val="16"/>
          <w:szCs w:val="16"/>
        </w:rPr>
        <w:t>, 4th Dist. No. 12CA32, 2013-Ohio-5415, ¶ 48 (whe</w:t>
      </w:r>
      <w:r w:rsidR="00DF137B">
        <w:rPr>
          <w:rFonts w:asciiTheme="minorHAnsi" w:hAnsiTheme="minorHAnsi" w:cstheme="minorHAnsi"/>
          <w:sz w:val="16"/>
          <w:szCs w:val="16"/>
        </w:rPr>
        <w:t>n</w:t>
      </w:r>
      <w:r w:rsidRPr="00707B4A">
        <w:rPr>
          <w:rFonts w:asciiTheme="minorHAnsi" w:hAnsiTheme="minorHAnsi" w:cstheme="minorHAnsi"/>
          <w:sz w:val="16"/>
          <w:szCs w:val="16"/>
        </w:rPr>
        <w:t xml:space="preserve"> evidence </w:t>
      </w:r>
      <w:r w:rsidR="00DF137B">
        <w:rPr>
          <w:rFonts w:asciiTheme="minorHAnsi" w:hAnsiTheme="minorHAnsi" w:cstheme="minorHAnsi"/>
          <w:sz w:val="16"/>
          <w:szCs w:val="16"/>
        </w:rPr>
        <w:t>show</w:t>
      </w:r>
      <w:r w:rsidRPr="00707B4A">
        <w:rPr>
          <w:rFonts w:asciiTheme="minorHAnsi" w:hAnsiTheme="minorHAnsi" w:cstheme="minorHAnsi"/>
          <w:sz w:val="16"/>
          <w:szCs w:val="16"/>
        </w:rPr>
        <w:t>ed that requester’s intent was pecuniary, requester was not aggrieved and not entitled to civil forfeiture)</w:t>
      </w:r>
      <w:r w:rsidR="00A53B51" w:rsidRPr="00707B4A">
        <w:rPr>
          <w:rFonts w:asciiTheme="minorHAnsi" w:hAnsiTheme="minorHAnsi" w:cstheme="minorHAnsi"/>
          <w:sz w:val="16"/>
          <w:szCs w:val="16"/>
        </w:rPr>
        <w:t>.</w:t>
      </w:r>
    </w:p>
  </w:endnote>
  <w:endnote w:id="935">
    <w:p w14:paraId="4C12E6D8" w14:textId="6978712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1" w:history="1">
        <w:r w:rsidRPr="00707B4A">
          <w:rPr>
            <w:rStyle w:val="Hyperlink"/>
            <w:rFonts w:asciiTheme="minorHAnsi" w:hAnsiTheme="minorHAnsi" w:cstheme="minorHAnsi"/>
            <w:sz w:val="16"/>
            <w:szCs w:val="16"/>
          </w:rPr>
          <w:t>R.C. 149.351(C)(2).</w:t>
        </w:r>
      </w:hyperlink>
    </w:p>
  </w:endnote>
  <w:endnote w:id="936">
    <w:p w14:paraId="4455B9E2" w14:textId="4673A47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2" w:history="1">
        <w:r w:rsidRPr="00707B4A">
          <w:rPr>
            <w:rStyle w:val="Hyperlink"/>
            <w:rFonts w:asciiTheme="minorHAnsi" w:hAnsiTheme="minorHAnsi" w:cstheme="minorHAnsi"/>
            <w:sz w:val="16"/>
            <w:szCs w:val="16"/>
          </w:rPr>
          <w:t>R.C. 149.351(B).</w:t>
        </w:r>
      </w:hyperlink>
    </w:p>
  </w:endnote>
  <w:endnote w:id="937">
    <w:p w14:paraId="05C4DD81" w14:textId="34AE5CB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3" w:history="1">
        <w:r w:rsidRPr="00707B4A">
          <w:rPr>
            <w:rStyle w:val="Hyperlink"/>
            <w:rFonts w:asciiTheme="minorHAnsi" w:hAnsiTheme="minorHAnsi" w:cstheme="minorHAnsi"/>
            <w:i/>
            <w:sz w:val="16"/>
            <w:szCs w:val="16"/>
          </w:rPr>
          <w:t>State ex rel. Crenshaw v. King</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8th Dist. Cuyahoga No. 1111093, 2021-Ohio-4433, ¶ 7-12.</w:t>
      </w:r>
    </w:p>
  </w:endnote>
  <w:endnote w:id="938">
    <w:p w14:paraId="07917484" w14:textId="19405E7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4" w:history="1">
        <w:r w:rsidRPr="00707B4A">
          <w:rPr>
            <w:rStyle w:val="Hyperlink"/>
            <w:rFonts w:asciiTheme="minorHAnsi" w:hAnsiTheme="minorHAnsi" w:cstheme="minorHAnsi"/>
            <w:i/>
            <w:sz w:val="16"/>
            <w:szCs w:val="16"/>
          </w:rPr>
          <w:t>State ex rel. Crenshaw v. King</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8th Dist. Cuyahoga No. 1111093, 2021-Ohio-4433, ¶ 14-17.</w:t>
      </w:r>
    </w:p>
  </w:endnote>
  <w:endnote w:id="939">
    <w:p w14:paraId="0C2EBF6B" w14:textId="7217C0C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35" w:history="1">
        <w:r w:rsidRPr="00707B4A">
          <w:rPr>
            <w:rStyle w:val="Hyperlink"/>
            <w:rFonts w:asciiTheme="minorHAnsi" w:hAnsiTheme="minorHAnsi" w:cstheme="minorHAnsi"/>
            <w:sz w:val="16"/>
            <w:szCs w:val="16"/>
          </w:rPr>
          <w:t xml:space="preserve"> R.C. 149.351(E).</w:t>
        </w:r>
      </w:hyperlink>
    </w:p>
  </w:endnote>
  <w:endnote w:id="940">
    <w:p w14:paraId="78722244"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6" w:history="1">
        <w:r w:rsidRPr="00707B4A">
          <w:rPr>
            <w:rStyle w:val="Hyperlink"/>
            <w:rFonts w:asciiTheme="minorHAnsi" w:hAnsiTheme="minorHAnsi" w:cstheme="minorHAnsi"/>
            <w:i/>
            <w:sz w:val="16"/>
            <w:szCs w:val="16"/>
          </w:rPr>
          <w:t>Snodgrass v. Mayfield Hts.</w:t>
        </w:r>
      </w:hyperlink>
      <w:r w:rsidRPr="00707B4A">
        <w:rPr>
          <w:rFonts w:asciiTheme="minorHAnsi" w:hAnsiTheme="minorHAnsi" w:cstheme="minorHAnsi"/>
          <w:sz w:val="16"/>
          <w:szCs w:val="16"/>
        </w:rPr>
        <w:t xml:space="preserve">, 8th Dist. No. 990643, 2008-Ohio-5095, ¶ 18; </w:t>
      </w:r>
      <w:hyperlink r:id="rId1237" w:history="1">
        <w:r w:rsidRPr="00707B4A">
          <w:rPr>
            <w:rStyle w:val="Hyperlink"/>
            <w:rFonts w:asciiTheme="minorHAnsi" w:hAnsiTheme="minorHAnsi" w:cstheme="minorHAnsi"/>
            <w:i/>
            <w:sz w:val="16"/>
            <w:szCs w:val="16"/>
          </w:rPr>
          <w:t>State ex rel. Doe v. Register</w:t>
        </w:r>
      </w:hyperlink>
      <w:r w:rsidRPr="00707B4A">
        <w:rPr>
          <w:rFonts w:asciiTheme="minorHAnsi" w:hAnsiTheme="minorHAnsi" w:cstheme="minorHAnsi"/>
          <w:sz w:val="16"/>
          <w:szCs w:val="16"/>
        </w:rPr>
        <w:t>, 12th Dist. No. CA2008-08-081, 2009-Ohio-2448, ¶ 30.</w:t>
      </w:r>
    </w:p>
  </w:endnote>
  <w:endnote w:id="941">
    <w:p w14:paraId="4D9985F6" w14:textId="1C58B91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8" w:history="1">
        <w:r w:rsidRPr="00707B4A">
          <w:rPr>
            <w:rStyle w:val="Hyperlink"/>
            <w:rFonts w:asciiTheme="minorHAnsi" w:hAnsiTheme="minorHAnsi" w:cstheme="minorHAnsi"/>
            <w:sz w:val="16"/>
            <w:szCs w:val="16"/>
          </w:rPr>
          <w:t>R.C. 149.351(D).</w:t>
        </w:r>
      </w:hyperlink>
    </w:p>
  </w:endnote>
  <w:endnote w:id="942">
    <w:p w14:paraId="15B50091" w14:textId="784FF9F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39" w:history="1">
        <w:r w:rsidRPr="00707B4A">
          <w:rPr>
            <w:rStyle w:val="Hyperlink"/>
            <w:rFonts w:asciiTheme="minorHAnsi" w:hAnsiTheme="minorHAnsi" w:cstheme="minorHAnsi"/>
            <w:i/>
            <w:sz w:val="16"/>
            <w:szCs w:val="16"/>
          </w:rPr>
          <w:t>Kish v. Akron</w:t>
        </w:r>
      </w:hyperlink>
      <w:r w:rsidRPr="00707B4A">
        <w:rPr>
          <w:rFonts w:asciiTheme="minorHAnsi" w:hAnsiTheme="minorHAnsi" w:cstheme="minorHAnsi"/>
          <w:sz w:val="16"/>
          <w:szCs w:val="16"/>
        </w:rPr>
        <w:t xml:space="preserve">, 109 Ohio St.3d 162, 2006-Ohio-1244, ¶ 25-44; </w:t>
      </w:r>
      <w:r w:rsidRPr="00707B4A">
        <w:rPr>
          <w:rFonts w:asciiTheme="minorHAnsi" w:hAnsiTheme="minorHAnsi" w:cstheme="minorHAnsi"/>
          <w:i/>
          <w:sz w:val="16"/>
          <w:szCs w:val="16"/>
        </w:rPr>
        <w:t xml:space="preserve">see also </w:t>
      </w:r>
      <w:hyperlink r:id="rId1240" w:history="1">
        <w:r w:rsidRPr="00707B4A">
          <w:rPr>
            <w:rStyle w:val="Hyperlink"/>
            <w:rFonts w:asciiTheme="minorHAnsi" w:hAnsiTheme="minorHAnsi" w:cstheme="minorHAnsi"/>
            <w:i/>
            <w:sz w:val="16"/>
            <w:szCs w:val="16"/>
          </w:rPr>
          <w:t>Cwynar v. Jackson Twp. Bd. of Trustees</w:t>
        </w:r>
      </w:hyperlink>
      <w:r w:rsidRPr="00707B4A">
        <w:rPr>
          <w:rFonts w:asciiTheme="minorHAnsi" w:hAnsiTheme="minorHAnsi" w:cstheme="minorHAnsi"/>
          <w:sz w:val="16"/>
          <w:szCs w:val="16"/>
        </w:rPr>
        <w:t>, 178 Ohio App.3d 345, 2008-Ohio-5011 (5th Dist.).</w:t>
      </w:r>
    </w:p>
  </w:endnote>
  <w:endnote w:id="943">
    <w:p w14:paraId="5BE3781E" w14:textId="0C60B35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1" w:history="1">
        <w:r w:rsidRPr="00707B4A">
          <w:rPr>
            <w:rStyle w:val="Hyperlink"/>
            <w:rFonts w:asciiTheme="minorHAnsi" w:hAnsiTheme="minorHAnsi" w:cstheme="minorHAnsi"/>
            <w:sz w:val="16"/>
            <w:szCs w:val="16"/>
          </w:rPr>
          <w:t>R.C. 149.351(B)(1)-(2).</w:t>
        </w:r>
      </w:hyperlink>
    </w:p>
  </w:endnote>
  <w:endnote w:id="944">
    <w:p w14:paraId="4083EEA4"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2" w:history="1">
        <w:r w:rsidRPr="00707B4A">
          <w:rPr>
            <w:rStyle w:val="Hyperlink"/>
            <w:rFonts w:asciiTheme="minorHAnsi" w:hAnsiTheme="minorHAnsi" w:cstheme="minorHAnsi"/>
            <w:i/>
            <w:sz w:val="16"/>
            <w:szCs w:val="16"/>
          </w:rPr>
          <w:t>Cwynar v. Jackson Twp. Bd. of Trustees</w:t>
        </w:r>
      </w:hyperlink>
      <w:r w:rsidRPr="00707B4A">
        <w:rPr>
          <w:rFonts w:asciiTheme="minorHAnsi" w:hAnsiTheme="minorHAnsi" w:cstheme="minorHAnsi"/>
          <w:sz w:val="16"/>
          <w:szCs w:val="16"/>
        </w:rPr>
        <w:t>, 178 Ohio App.3d 345, 2008-Ohio-5011, ¶ 56 (5th Dist.).</w:t>
      </w:r>
    </w:p>
  </w:endnote>
  <w:endnote w:id="945">
    <w:p w14:paraId="2066D7F5" w14:textId="405FADE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3" w:history="1">
        <w:r w:rsidRPr="00707B4A">
          <w:rPr>
            <w:rStyle w:val="Hyperlink"/>
            <w:rFonts w:asciiTheme="minorHAnsi" w:hAnsiTheme="minorHAnsi" w:cstheme="minorHAnsi"/>
            <w:sz w:val="16"/>
            <w:szCs w:val="16"/>
          </w:rPr>
          <w:t>R.C. 149.351(B)(2).</w:t>
        </w:r>
      </w:hyperlink>
    </w:p>
  </w:endnote>
  <w:endnote w:id="946">
    <w:p w14:paraId="24778555" w14:textId="23FA2A7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4" w:history="1">
        <w:r w:rsidRPr="00707B4A">
          <w:rPr>
            <w:rStyle w:val="Hyperlink"/>
            <w:rFonts w:asciiTheme="minorHAnsi" w:hAnsiTheme="minorHAnsi" w:cstheme="minorHAnsi"/>
            <w:sz w:val="16"/>
            <w:szCs w:val="16"/>
          </w:rPr>
          <w:t>R.C. 149.43(B)(2).</w:t>
        </w:r>
      </w:hyperlink>
    </w:p>
  </w:endnote>
  <w:endnote w:id="947">
    <w:p w14:paraId="1842D19E" w14:textId="55A8B42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5" w:history="1">
        <w:r w:rsidRPr="00707B4A">
          <w:rPr>
            <w:rStyle w:val="Hyperlink"/>
            <w:rFonts w:asciiTheme="minorHAnsi" w:hAnsiTheme="minorHAnsi" w:cstheme="minorHAnsi"/>
            <w:sz w:val="16"/>
            <w:szCs w:val="16"/>
          </w:rPr>
          <w:t>R.C. 149.33</w:t>
        </w:r>
      </w:hyperlink>
      <w:r w:rsidRPr="00707B4A">
        <w:rPr>
          <w:rFonts w:asciiTheme="minorHAnsi" w:hAnsiTheme="minorHAnsi" w:cstheme="minorHAnsi"/>
          <w:sz w:val="16"/>
          <w:szCs w:val="16"/>
        </w:rPr>
        <w:t xml:space="preserve">; </w:t>
      </w:r>
      <w:hyperlink r:id="rId1246" w:history="1">
        <w:r w:rsidRPr="00707B4A">
          <w:rPr>
            <w:rStyle w:val="Hyperlink"/>
            <w:rFonts w:asciiTheme="minorHAnsi" w:hAnsiTheme="minorHAnsi" w:cstheme="minorHAnsi"/>
            <w:sz w:val="16"/>
            <w:szCs w:val="16"/>
          </w:rPr>
          <w:t>149.351.</w:t>
        </w:r>
      </w:hyperlink>
      <w:r w:rsidRPr="00707B4A">
        <w:rPr>
          <w:rFonts w:asciiTheme="minorHAnsi" w:hAnsiTheme="minorHAnsi" w:cstheme="minorHAnsi"/>
          <w:sz w:val="16"/>
          <w:szCs w:val="16"/>
        </w:rPr>
        <w:t xml:space="preserve"> </w:t>
      </w:r>
      <w:r w:rsidR="007315FD">
        <w:rPr>
          <w:rFonts w:asciiTheme="minorHAnsi" w:hAnsiTheme="minorHAnsi" w:cstheme="minorHAnsi"/>
          <w:sz w:val="16"/>
          <w:szCs w:val="16"/>
        </w:rPr>
        <w:t>W</w:t>
      </w:r>
      <w:r w:rsidRPr="00707B4A">
        <w:rPr>
          <w:rFonts w:asciiTheme="minorHAnsi" w:hAnsiTheme="minorHAnsi" w:cstheme="minorHAnsi"/>
          <w:sz w:val="16"/>
          <w:szCs w:val="16"/>
        </w:rPr>
        <w:t xml:space="preserve">ithin one year after their date of creation or receipt, a public office must schedule all records for disposition or retention in the manner prescribed by applicable law and procedures.  </w:t>
      </w:r>
      <w:hyperlink r:id="rId1247" w:history="1">
        <w:r w:rsidRPr="00707B4A">
          <w:rPr>
            <w:rStyle w:val="Hyperlink"/>
            <w:rFonts w:asciiTheme="minorHAnsi" w:hAnsiTheme="minorHAnsi" w:cstheme="minorHAnsi"/>
            <w:sz w:val="16"/>
            <w:szCs w:val="16"/>
          </w:rPr>
          <w:t>R.C. 149.34.</w:t>
        </w:r>
      </w:hyperlink>
    </w:p>
  </w:endnote>
  <w:endnote w:id="948">
    <w:p w14:paraId="567055AA" w14:textId="08A2BF7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8" w:history="1">
        <w:r w:rsidRPr="00707B4A">
          <w:rPr>
            <w:rStyle w:val="Hyperlink"/>
            <w:rFonts w:asciiTheme="minorHAnsi" w:hAnsiTheme="minorHAnsi" w:cstheme="minorHAnsi"/>
            <w:sz w:val="16"/>
            <w:szCs w:val="16"/>
          </w:rPr>
          <w:t>R.C. 149.34(C).</w:t>
        </w:r>
      </w:hyperlink>
    </w:p>
  </w:endnote>
  <w:endnote w:id="949">
    <w:p w14:paraId="2E934E99" w14:textId="74AE8AE0" w:rsidR="002F23BE" w:rsidRPr="00707B4A" w:rsidRDefault="002F23BE" w:rsidP="00562FA8">
      <w:pPr>
        <w:pStyle w:val="EndnoteText"/>
        <w:spacing w:line="160" w:lineRule="exact"/>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49"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 xml:space="preserve">; </w:t>
      </w:r>
      <w:hyperlink r:id="rId1250" w:history="1">
        <w:r w:rsidRPr="00707B4A">
          <w:rPr>
            <w:rStyle w:val="Hyperlink"/>
            <w:rFonts w:asciiTheme="minorHAnsi" w:hAnsiTheme="minorHAnsi" w:cstheme="minorHAnsi"/>
            <w:sz w:val="16"/>
            <w:szCs w:val="16"/>
          </w:rPr>
          <w:t>R.C. 109.43(E)</w:t>
        </w:r>
      </w:hyperlink>
      <w:r w:rsidRPr="00707B4A">
        <w:rPr>
          <w:rFonts w:asciiTheme="minorHAnsi" w:hAnsiTheme="minorHAnsi" w:cstheme="minorHAnsi"/>
          <w:sz w:val="16"/>
          <w:szCs w:val="16"/>
        </w:rPr>
        <w:t xml:space="preserve">. </w:t>
      </w:r>
      <w:r w:rsidR="00A53B51" w:rsidRPr="00707B4A">
        <w:rPr>
          <w:rFonts w:asciiTheme="minorHAnsi" w:hAnsiTheme="minorHAnsi" w:cstheme="minorHAnsi"/>
          <w:sz w:val="16"/>
          <w:szCs w:val="16"/>
        </w:rPr>
        <w:t xml:space="preserve">The </w:t>
      </w:r>
      <w:r w:rsidRPr="00707B4A">
        <w:rPr>
          <w:rFonts w:asciiTheme="minorHAnsi" w:hAnsiTheme="minorHAnsi" w:cstheme="minorHAnsi"/>
          <w:sz w:val="16"/>
          <w:szCs w:val="16"/>
        </w:rPr>
        <w:t xml:space="preserve">Attorney General’s </w:t>
      </w:r>
      <w:r w:rsidR="00A53B51" w:rsidRPr="00707B4A">
        <w:rPr>
          <w:rFonts w:asciiTheme="minorHAnsi" w:hAnsiTheme="minorHAnsi" w:cstheme="minorHAnsi"/>
          <w:sz w:val="16"/>
          <w:szCs w:val="16"/>
        </w:rPr>
        <w:t xml:space="preserve">Office </w:t>
      </w:r>
      <w:r w:rsidRPr="00707B4A">
        <w:rPr>
          <w:rFonts w:asciiTheme="minorHAnsi" w:hAnsiTheme="minorHAnsi" w:cstheme="minorHAnsi"/>
          <w:sz w:val="16"/>
          <w:szCs w:val="16"/>
        </w:rPr>
        <w:t>Model Policy is available at</w:t>
      </w:r>
      <w:r w:rsidR="00562FA8">
        <w:rPr>
          <w:rFonts w:asciiTheme="minorHAnsi" w:hAnsiTheme="minorHAnsi" w:cstheme="minorHAnsi"/>
          <w:sz w:val="16"/>
          <w:szCs w:val="16"/>
        </w:rPr>
        <w:t>:</w:t>
      </w:r>
      <w:r w:rsidRPr="00707B4A">
        <w:rPr>
          <w:rFonts w:asciiTheme="minorHAnsi" w:hAnsiTheme="minorHAnsi" w:cstheme="minorHAnsi"/>
          <w:sz w:val="16"/>
          <w:szCs w:val="16"/>
        </w:rPr>
        <w:t xml:space="preserve"> </w:t>
      </w:r>
      <w:hyperlink r:id="rId1251" w:history="1">
        <w:r w:rsidRPr="00707B4A">
          <w:rPr>
            <w:rStyle w:val="Hyperlink"/>
            <w:rFonts w:asciiTheme="minorHAnsi" w:hAnsiTheme="minorHAnsi" w:cstheme="minorHAnsi"/>
            <w:sz w:val="16"/>
            <w:szCs w:val="16"/>
          </w:rPr>
          <w:t>https://www.ohioattorneygeneral.gov/Files/Government-Entities/Model-Public-Records-Policy.aspx</w:t>
        </w:r>
      </w:hyperlink>
      <w:r w:rsidRPr="00707B4A">
        <w:rPr>
          <w:rFonts w:asciiTheme="minorHAnsi" w:hAnsiTheme="minorHAnsi" w:cstheme="minorHAnsi"/>
          <w:sz w:val="16"/>
          <w:szCs w:val="16"/>
        </w:rPr>
        <w:t>.</w:t>
      </w:r>
    </w:p>
  </w:endnote>
  <w:endnote w:id="950">
    <w:p w14:paraId="643B1660" w14:textId="519D1B3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2"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w:t>
      </w:r>
    </w:p>
  </w:endnote>
  <w:endnote w:id="951">
    <w:p w14:paraId="49D65610" w14:textId="1193CE8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3"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w:t>
      </w:r>
    </w:p>
  </w:endnote>
  <w:endnote w:id="952">
    <w:p w14:paraId="3EB080F3" w14:textId="62B27F0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54" w:history="1">
        <w:r w:rsidRPr="00707B4A">
          <w:rPr>
            <w:rStyle w:val="Hyperlink"/>
            <w:rFonts w:asciiTheme="minorHAnsi" w:hAnsiTheme="minorHAnsi" w:cstheme="minorHAnsi"/>
            <w:sz w:val="16"/>
            <w:szCs w:val="16"/>
          </w:rPr>
          <w:t xml:space="preserve"> R.C. 109.43(G).</w:t>
        </w:r>
      </w:hyperlink>
    </w:p>
  </w:endnote>
  <w:endnote w:id="953">
    <w:p w14:paraId="144FBBA7" w14:textId="1313F46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5" w:history="1">
        <w:r w:rsidRPr="00707B4A">
          <w:rPr>
            <w:rStyle w:val="Hyperlink"/>
            <w:rFonts w:asciiTheme="minorHAnsi" w:hAnsiTheme="minorHAnsi" w:cstheme="minorHAnsi"/>
            <w:sz w:val="16"/>
            <w:szCs w:val="16"/>
          </w:rPr>
          <w:t>R.C. 149.43(B)(7)</w:t>
        </w:r>
        <w:r w:rsidR="00A53B51" w:rsidRPr="00707B4A">
          <w:rPr>
            <w:rStyle w:val="Hyperlink"/>
            <w:rFonts w:asciiTheme="minorHAnsi" w:hAnsiTheme="minorHAnsi" w:cstheme="minorHAnsi"/>
            <w:sz w:val="16"/>
            <w:szCs w:val="16"/>
          </w:rPr>
          <w:t>(a)</w:t>
        </w:r>
      </w:hyperlink>
      <w:r w:rsidRPr="00707B4A">
        <w:rPr>
          <w:rFonts w:asciiTheme="minorHAnsi" w:hAnsiTheme="minorHAnsi" w:cstheme="minorHAnsi"/>
          <w:sz w:val="16"/>
          <w:szCs w:val="16"/>
        </w:rPr>
        <w:t xml:space="preserve">.  In addition, a public office may adopt policies and procedures it will follow in transmitting copies by U.S. mail or other means of delivery or transmission, but adopting </w:t>
      </w:r>
      <w:r w:rsidR="007315FD">
        <w:rPr>
          <w:rFonts w:asciiTheme="minorHAnsi" w:hAnsiTheme="minorHAnsi" w:cstheme="minorHAnsi"/>
          <w:sz w:val="16"/>
          <w:szCs w:val="16"/>
        </w:rPr>
        <w:t>such</w:t>
      </w:r>
      <w:r w:rsidRPr="00707B4A">
        <w:rPr>
          <w:rFonts w:asciiTheme="minorHAnsi" w:hAnsiTheme="minorHAnsi" w:cstheme="minorHAnsi"/>
          <w:sz w:val="16"/>
          <w:szCs w:val="16"/>
        </w:rPr>
        <w:t xml:space="preserve"> policies and procedures is deemed to create an enforceable duty on the office to comply with them.</w:t>
      </w:r>
      <w:hyperlink r:id="rId1256" w:history="1">
        <w:r w:rsidR="00A53B51" w:rsidRPr="00707B4A">
          <w:rPr>
            <w:rStyle w:val="Hyperlink"/>
            <w:rFonts w:asciiTheme="minorHAnsi" w:hAnsiTheme="minorHAnsi" w:cstheme="minorHAnsi"/>
            <w:sz w:val="16"/>
            <w:szCs w:val="16"/>
          </w:rPr>
          <w:t xml:space="preserve"> R.C. 149.43(B)(7)(b).</w:t>
        </w:r>
      </w:hyperlink>
    </w:p>
  </w:endnote>
  <w:endnote w:id="954">
    <w:p w14:paraId="51DEB32F" w14:textId="323BE6A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7" w:history="1">
        <w:r w:rsidRPr="00707B4A">
          <w:rPr>
            <w:rStyle w:val="Hyperlink"/>
            <w:rFonts w:asciiTheme="minorHAnsi" w:hAnsiTheme="minorHAnsi" w:cstheme="minorHAnsi"/>
            <w:sz w:val="16"/>
            <w:szCs w:val="16"/>
          </w:rPr>
          <w:t>R.C. 149.43(E)(2)</w:t>
        </w:r>
      </w:hyperlink>
      <w:r w:rsidRPr="00707B4A">
        <w:rPr>
          <w:rFonts w:asciiTheme="minorHAnsi" w:hAnsiTheme="minorHAnsi" w:cstheme="minorHAnsi"/>
          <w:sz w:val="16"/>
          <w:szCs w:val="16"/>
        </w:rPr>
        <w:t>.</w:t>
      </w:r>
    </w:p>
  </w:endnote>
  <w:endnote w:id="955">
    <w:p w14:paraId="347B045A" w14:textId="19358BC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007315FD">
        <w:t xml:space="preserve"> </w:t>
      </w:r>
      <w:hyperlink r:id="rId1258" w:history="1">
        <w:r w:rsidRPr="00707B4A">
          <w:rPr>
            <w:rStyle w:val="Hyperlink"/>
            <w:rFonts w:asciiTheme="minorHAnsi" w:hAnsiTheme="minorHAnsi" w:cstheme="minorHAnsi"/>
            <w:sz w:val="16"/>
            <w:szCs w:val="16"/>
          </w:rPr>
          <w:t>R.C. 109.43(B)</w:t>
        </w:r>
      </w:hyperlink>
      <w:r w:rsidRPr="00707B4A">
        <w:rPr>
          <w:rFonts w:asciiTheme="minorHAnsi" w:hAnsiTheme="minorHAnsi" w:cstheme="minorHAnsi"/>
          <w:sz w:val="16"/>
          <w:szCs w:val="16"/>
        </w:rPr>
        <w:t xml:space="preserve"> </w:t>
      </w:r>
    </w:p>
  </w:endnote>
  <w:endnote w:id="956">
    <w:p w14:paraId="392262CA" w14:textId="4DDC2F6A" w:rsidR="00D413C6" w:rsidRPr="00707B4A" w:rsidRDefault="00D413C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59" w:history="1">
        <w:r w:rsidRPr="00707B4A">
          <w:rPr>
            <w:rStyle w:val="Hyperlink"/>
            <w:rFonts w:asciiTheme="minorHAnsi" w:hAnsiTheme="minorHAnsi" w:cstheme="minorHAnsi"/>
            <w:sz w:val="16"/>
            <w:szCs w:val="16"/>
          </w:rPr>
          <w:t>R.C. 109.43(A)(2).</w:t>
        </w:r>
      </w:hyperlink>
    </w:p>
  </w:endnote>
  <w:endnote w:id="957">
    <w:p w14:paraId="3E8E7F82" w14:textId="3723FE1D" w:rsidR="00D413C6" w:rsidRPr="00707B4A" w:rsidRDefault="00D413C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0" w:history="1">
        <w:r w:rsidRPr="00707B4A">
          <w:rPr>
            <w:rStyle w:val="Hyperlink"/>
            <w:rFonts w:asciiTheme="minorHAnsi" w:hAnsiTheme="minorHAnsi" w:cstheme="minorHAnsi"/>
            <w:sz w:val="16"/>
            <w:szCs w:val="16"/>
          </w:rPr>
          <w:t>R.C. 109.43(A)(3)</w:t>
        </w:r>
      </w:hyperlink>
      <w:r w:rsidRPr="00707B4A">
        <w:rPr>
          <w:rFonts w:asciiTheme="minorHAnsi" w:hAnsiTheme="minorHAnsi" w:cstheme="minorHAnsi"/>
          <w:sz w:val="16"/>
          <w:szCs w:val="16"/>
        </w:rPr>
        <w:t xml:space="preserve">; </w:t>
      </w:r>
      <w:hyperlink r:id="rId1261" w:history="1">
        <w:r w:rsidRPr="00707B4A">
          <w:rPr>
            <w:rStyle w:val="Hyperlink"/>
            <w:rFonts w:asciiTheme="minorHAnsi" w:hAnsiTheme="minorHAnsi" w:cstheme="minorHAnsi"/>
            <w:sz w:val="16"/>
            <w:szCs w:val="16"/>
          </w:rPr>
          <w:t>R.C. 109.43(B).</w:t>
        </w:r>
      </w:hyperlink>
    </w:p>
  </w:endnote>
  <w:endnote w:id="958">
    <w:p w14:paraId="3CD0A183" w14:textId="6BF383A4" w:rsidR="00D413C6" w:rsidRPr="00707B4A" w:rsidRDefault="00D413C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2" w:history="1">
        <w:r w:rsidRPr="00707B4A">
          <w:rPr>
            <w:rStyle w:val="Hyperlink"/>
            <w:rFonts w:asciiTheme="minorHAnsi" w:hAnsiTheme="minorHAnsi" w:cstheme="minorHAnsi"/>
            <w:sz w:val="16"/>
            <w:szCs w:val="16"/>
          </w:rPr>
          <w:t>R.C.109.43(A)(2)-(3).</w:t>
        </w:r>
      </w:hyperlink>
    </w:p>
  </w:endnote>
  <w:endnote w:id="959">
    <w:p w14:paraId="1FCAEF90" w14:textId="74BEC48E" w:rsidR="00053271" w:rsidRPr="00707B4A" w:rsidRDefault="00053271" w:rsidP="00707B4A">
      <w:pPr>
        <w:pStyle w:val="EndnoteText"/>
        <w:tabs>
          <w:tab w:val="left" w:pos="731"/>
        </w:tabs>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3" w:history="1">
        <w:r w:rsidRPr="00707B4A">
          <w:rPr>
            <w:rStyle w:val="Hyperlink"/>
            <w:rFonts w:asciiTheme="minorHAnsi" w:hAnsiTheme="minorHAnsi" w:cstheme="minorHAnsi"/>
            <w:sz w:val="16"/>
            <w:szCs w:val="16"/>
          </w:rPr>
          <w:t>R.C. 109.43(A)(1)</w:t>
        </w:r>
      </w:hyperlink>
      <w:r w:rsidRPr="00707B4A">
        <w:rPr>
          <w:rFonts w:asciiTheme="minorHAnsi" w:hAnsiTheme="minorHAnsi" w:cstheme="minorHAnsi"/>
          <w:sz w:val="16"/>
          <w:szCs w:val="16"/>
        </w:rPr>
        <w:t>. R.C. 109.43(A)(1) does not define “appropriate.”</w:t>
      </w:r>
    </w:p>
  </w:endnote>
  <w:endnote w:id="960">
    <w:p w14:paraId="713BBC5E" w14:textId="5326F944" w:rsidR="00053271" w:rsidRPr="00707B4A" w:rsidRDefault="00053271"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007315FD">
        <w:t xml:space="preserve"> </w:t>
      </w:r>
      <w:hyperlink r:id="rId1264" w:history="1">
        <w:r w:rsidRPr="00707B4A">
          <w:rPr>
            <w:rStyle w:val="Hyperlink"/>
            <w:rFonts w:asciiTheme="minorHAnsi" w:hAnsiTheme="minorHAnsi" w:cstheme="minorHAnsi"/>
            <w:sz w:val="16"/>
            <w:szCs w:val="16"/>
          </w:rPr>
          <w:t>R.C. 109.43(G).</w:t>
        </w:r>
      </w:hyperlink>
    </w:p>
  </w:endnote>
  <w:endnote w:id="961">
    <w:p w14:paraId="6E62BDB8" w14:textId="65323BA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007315FD">
        <w:rPr>
          <w:rFonts w:asciiTheme="minorHAnsi" w:hAnsiTheme="minorHAnsi" w:cstheme="minorHAnsi"/>
          <w:sz w:val="16"/>
          <w:szCs w:val="16"/>
        </w:rPr>
        <w:t xml:space="preserve"> </w:t>
      </w:r>
      <w:hyperlink r:id="rId1265" w:history="1">
        <w:r w:rsidR="007315FD">
          <w:rPr>
            <w:rStyle w:val="Hyperlink"/>
            <w:rFonts w:asciiTheme="minorHAnsi" w:hAnsiTheme="minorHAnsi" w:cstheme="minorHAnsi"/>
            <w:sz w:val="16"/>
            <w:szCs w:val="16"/>
          </w:rPr>
          <w:t>R.</w:t>
        </w:r>
        <w:r w:rsidRPr="00707B4A">
          <w:rPr>
            <w:rStyle w:val="Hyperlink"/>
            <w:rFonts w:asciiTheme="minorHAnsi" w:hAnsiTheme="minorHAnsi" w:cstheme="minorHAnsi"/>
            <w:sz w:val="16"/>
            <w:szCs w:val="16"/>
          </w:rPr>
          <w:t>C. 109.43(B)-(D)</w:t>
        </w:r>
      </w:hyperlink>
      <w:r w:rsidR="007315FD">
        <w:rPr>
          <w:rStyle w:val="Hyperlink"/>
          <w:rFonts w:asciiTheme="minorHAnsi" w:hAnsiTheme="minorHAnsi" w:cstheme="minorHAnsi"/>
          <w:sz w:val="16"/>
          <w:szCs w:val="16"/>
        </w:rPr>
        <w:t>.</w:t>
      </w:r>
    </w:p>
  </w:endnote>
  <w:endnote w:id="962">
    <w:p w14:paraId="302E9302" w14:textId="3F5E5F57" w:rsidR="00053271" w:rsidRDefault="00053271" w:rsidP="00707B4A">
      <w:pPr>
        <w:pStyle w:val="EndnoteText"/>
        <w:spacing w:line="160" w:lineRule="exact"/>
        <w:jc w:val="both"/>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66" w:history="1">
        <w:r w:rsidRPr="00707B4A">
          <w:rPr>
            <w:rStyle w:val="Hyperlink"/>
            <w:rFonts w:asciiTheme="minorHAnsi" w:hAnsiTheme="minorHAnsi" w:cstheme="minorHAnsi"/>
            <w:sz w:val="16"/>
            <w:szCs w:val="16"/>
          </w:rPr>
          <w:t xml:space="preserve">R.C. 109.43(C). </w:t>
        </w:r>
      </w:hyperlink>
      <w:r w:rsidR="003279F5" w:rsidRPr="00707B4A">
        <w:rPr>
          <w:rFonts w:asciiTheme="minorHAnsi" w:hAnsiTheme="minorHAnsi" w:cstheme="minorHAnsi"/>
          <w:sz w:val="16"/>
          <w:szCs w:val="16"/>
        </w:rPr>
        <w:t>W</w:t>
      </w:r>
      <w:r w:rsidRPr="00707B4A">
        <w:rPr>
          <w:rFonts w:asciiTheme="minorHAnsi" w:hAnsiTheme="minorHAnsi" w:cstheme="minorHAnsi"/>
          <w:sz w:val="16"/>
          <w:szCs w:val="16"/>
        </w:rPr>
        <w:t>hile the Attorney General’s Office may not charge a registration fee to attend the training programs it conducts, outside public or private entities that contract with the Attorney General’s Office to conduct the training programs may charge a registration fee.</w:t>
      </w:r>
    </w:p>
  </w:endnote>
  <w:endnote w:id="963">
    <w:p w14:paraId="3EEE09FC" w14:textId="07D05F11" w:rsidR="002F23BE" w:rsidRPr="004B13A5" w:rsidRDefault="002F23BE" w:rsidP="004B13A5">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67" w:history="1">
        <w:r w:rsidRPr="00707B4A">
          <w:rPr>
            <w:rStyle w:val="Hyperlink"/>
            <w:rFonts w:asciiTheme="minorHAnsi" w:hAnsiTheme="minorHAnsi" w:cstheme="minorHAnsi"/>
            <w:sz w:val="16"/>
            <w:szCs w:val="16"/>
          </w:rPr>
          <w:t xml:space="preserve"> R.C. 121.22(B)(2).</w:t>
        </w:r>
      </w:hyperlink>
    </w:p>
  </w:endnote>
  <w:endnote w:id="964">
    <w:p w14:paraId="4D01D353" w14:textId="603713AB"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68" w:history="1">
        <w:r w:rsidRPr="004B13A5">
          <w:rPr>
            <w:rStyle w:val="Hyperlink"/>
            <w:rFonts w:asciiTheme="minorHAnsi" w:hAnsiTheme="minorHAnsi" w:cstheme="minorHAnsi"/>
            <w:sz w:val="16"/>
            <w:szCs w:val="16"/>
          </w:rPr>
          <w:t>R.C. 121.22(B)(1)(a).</w:t>
        </w:r>
      </w:hyperlink>
    </w:p>
  </w:endnote>
  <w:endnote w:id="965">
    <w:p w14:paraId="5A14FBA1" w14:textId="242411EF"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69" w:history="1">
        <w:r w:rsidRPr="004B13A5">
          <w:rPr>
            <w:rStyle w:val="Hyperlink"/>
            <w:rFonts w:asciiTheme="minorHAnsi" w:hAnsiTheme="minorHAnsi" w:cstheme="minorHAnsi"/>
            <w:sz w:val="16"/>
            <w:szCs w:val="16"/>
          </w:rPr>
          <w:t>R.C. 121.22(B)(1)(b)</w:t>
        </w:r>
      </w:hyperlink>
      <w:r w:rsidRPr="004B13A5">
        <w:rPr>
          <w:rFonts w:asciiTheme="minorHAnsi" w:hAnsiTheme="minorHAnsi" w:cstheme="minorHAnsi"/>
          <w:sz w:val="16"/>
          <w:szCs w:val="16"/>
        </w:rPr>
        <w:t xml:space="preserve">; </w:t>
      </w:r>
      <w:hyperlink r:id="rId1270" w:history="1">
        <w:r w:rsidRPr="004B13A5">
          <w:rPr>
            <w:rStyle w:val="Hyperlink"/>
            <w:rFonts w:asciiTheme="minorHAnsi" w:hAnsiTheme="minorHAnsi" w:cstheme="minorHAnsi"/>
            <w:i/>
            <w:sz w:val="16"/>
            <w:szCs w:val="16"/>
          </w:rPr>
          <w:t>State ex rel. Long v. Cardington Village Council</w:t>
        </w:r>
      </w:hyperlink>
      <w:r w:rsidRPr="004B13A5">
        <w:rPr>
          <w:rFonts w:asciiTheme="minorHAnsi" w:hAnsiTheme="minorHAnsi" w:cstheme="minorHAnsi"/>
          <w:sz w:val="16"/>
          <w:szCs w:val="16"/>
        </w:rPr>
        <w:t xml:space="preserve">, 92 Ohio St.3d 54, 58-59 (2001) (“R.C. 121.22(B)(1)(b) includes any committee or subcommittee of a legislative authority of a political subdivision, </w:t>
      </w:r>
      <w:r w:rsidRPr="004B13A5">
        <w:rPr>
          <w:rFonts w:asciiTheme="minorHAnsi" w:hAnsiTheme="minorHAnsi" w:cstheme="minorHAnsi"/>
          <w:i/>
          <w:sz w:val="16"/>
          <w:szCs w:val="16"/>
        </w:rPr>
        <w:t>e.g.</w:t>
      </w:r>
      <w:r w:rsidRPr="004B13A5">
        <w:rPr>
          <w:rFonts w:asciiTheme="minorHAnsi" w:hAnsiTheme="minorHAnsi" w:cstheme="minorHAnsi"/>
          <w:sz w:val="16"/>
          <w:szCs w:val="16"/>
        </w:rPr>
        <w:t xml:space="preserve">, a village council, as a ‘public body’ for purposes of the Sunshine Law, so that the council’s personnel and finance committees constitute public bodies in that context.”); </w:t>
      </w:r>
      <w:r w:rsidRPr="004B13A5">
        <w:rPr>
          <w:rFonts w:asciiTheme="minorHAnsi" w:hAnsiTheme="minorHAnsi" w:cstheme="minorHAnsi"/>
          <w:i/>
          <w:sz w:val="16"/>
          <w:szCs w:val="16"/>
        </w:rPr>
        <w:t xml:space="preserve">State ex rel. Maynard v. Medina </w:t>
      </w:r>
      <w:r w:rsidRPr="004B13A5">
        <w:rPr>
          <w:rFonts w:asciiTheme="minorHAnsi" w:hAnsiTheme="minorHAnsi" w:cstheme="minorHAnsi"/>
          <w:i/>
          <w:sz w:val="16"/>
          <w:szCs w:val="16"/>
        </w:rPr>
        <w:t xml:space="preserve">Cty. Facilities Taskforce Subcommt., </w:t>
      </w:r>
      <w:r w:rsidRPr="004B13A5">
        <w:rPr>
          <w:rFonts w:asciiTheme="minorHAnsi" w:hAnsiTheme="minorHAnsi" w:cstheme="minorHAnsi"/>
          <w:sz w:val="16"/>
          <w:szCs w:val="16"/>
        </w:rPr>
        <w:t>9th Dist. Medina No. 19VA0083-M, 2020-Ohio-5561, ¶ 18-20 (finding that subcommittee can be sued for Open Meetings Act violation even though it is not a “decision-making body” and does not have “decision-making authority”)</w:t>
      </w:r>
      <w:r w:rsidR="00707B4A" w:rsidRPr="004B13A5">
        <w:rPr>
          <w:rFonts w:asciiTheme="minorHAnsi" w:hAnsiTheme="minorHAnsi" w:cstheme="minorHAnsi"/>
          <w:sz w:val="16"/>
          <w:szCs w:val="16"/>
        </w:rPr>
        <w:t>.</w:t>
      </w:r>
    </w:p>
  </w:endnote>
  <w:endnote w:id="966">
    <w:p w14:paraId="72063F94" w14:textId="53DEC58E"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r w:rsidR="005E0EB4" w:rsidRPr="004B13A5">
        <w:rPr>
          <w:rFonts w:asciiTheme="minorHAnsi" w:hAnsiTheme="minorHAnsi" w:cstheme="minorHAnsi"/>
          <w:sz w:val="16"/>
          <w:szCs w:val="16"/>
        </w:rPr>
        <w:t xml:space="preserve">Except for </w:t>
      </w:r>
      <w:r w:rsidRPr="004B13A5">
        <w:rPr>
          <w:rFonts w:asciiTheme="minorHAnsi" w:hAnsiTheme="minorHAnsi" w:cstheme="minorHAnsi"/>
          <w:sz w:val="16"/>
          <w:szCs w:val="16"/>
        </w:rPr>
        <w:t xml:space="preserve">sanitation courts, the definition of “public body” does not include courts.  </w:t>
      </w:r>
      <w:r w:rsidRPr="004B13A5">
        <w:rPr>
          <w:rFonts w:asciiTheme="minorHAnsi" w:hAnsiTheme="minorHAnsi" w:cstheme="minorHAnsi"/>
          <w:i/>
          <w:sz w:val="16"/>
          <w:szCs w:val="16"/>
        </w:rPr>
        <w:t xml:space="preserve">See </w:t>
      </w:r>
      <w:hyperlink r:id="rId1271" w:history="1">
        <w:r w:rsidRPr="004B13A5">
          <w:rPr>
            <w:rStyle w:val="Hyperlink"/>
            <w:rFonts w:asciiTheme="minorHAnsi" w:hAnsiTheme="minorHAnsi" w:cstheme="minorHAnsi"/>
            <w:i/>
            <w:sz w:val="16"/>
            <w:szCs w:val="16"/>
          </w:rPr>
          <w:t>Walker v. Muskingum Watershed Conservancy Dist.</w:t>
        </w:r>
      </w:hyperlink>
      <w:r w:rsidRPr="004B13A5">
        <w:rPr>
          <w:rFonts w:asciiTheme="minorHAnsi" w:hAnsiTheme="minorHAnsi" w:cstheme="minorHAnsi"/>
          <w:sz w:val="16"/>
          <w:szCs w:val="16"/>
        </w:rPr>
        <w:t>, 5th Dist. Tuscarawas No. 2007 AP 01 0005, 2008-Ohio-4060, ¶ 27.</w:t>
      </w:r>
      <w:r w:rsidR="00212CF8" w:rsidRPr="004B13A5">
        <w:rPr>
          <w:rFonts w:asciiTheme="minorHAnsi" w:hAnsiTheme="minorHAnsi" w:cstheme="minorHAnsi"/>
          <w:sz w:val="16"/>
          <w:szCs w:val="16"/>
        </w:rPr>
        <w:t xml:space="preserve"> Note that </w:t>
      </w:r>
      <w:hyperlink r:id="rId1272" w:history="1">
        <w:r w:rsidR="00212CF8" w:rsidRPr="004B13A5">
          <w:rPr>
            <w:rStyle w:val="Hyperlink"/>
            <w:rFonts w:asciiTheme="minorHAnsi" w:hAnsiTheme="minorHAnsi" w:cstheme="minorHAnsi"/>
            <w:sz w:val="16"/>
            <w:szCs w:val="16"/>
          </w:rPr>
          <w:t>R.C. 121.22(G)</w:t>
        </w:r>
      </w:hyperlink>
      <w:r w:rsidR="00212CF8" w:rsidRPr="004B13A5">
        <w:rPr>
          <w:rFonts w:asciiTheme="minorHAnsi" w:hAnsiTheme="minorHAnsi" w:cstheme="minorHAnsi"/>
          <w:sz w:val="16"/>
          <w:szCs w:val="16"/>
        </w:rPr>
        <w:t xml:space="preserve"> prohibits executive sessions for sanitation courts.</w:t>
      </w:r>
    </w:p>
  </w:endnote>
  <w:endnote w:id="967">
    <w:p w14:paraId="74C206C6" w14:textId="245BF905" w:rsidR="002F23BE" w:rsidRPr="004B13A5"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73" w:history="1">
        <w:r w:rsidRPr="004B13A5">
          <w:rPr>
            <w:rStyle w:val="Hyperlink"/>
            <w:rFonts w:asciiTheme="minorHAnsi" w:hAnsiTheme="minorHAnsi" w:cstheme="minorHAnsi"/>
            <w:sz w:val="16"/>
            <w:szCs w:val="16"/>
          </w:rPr>
          <w:t>R.C. 121.22(B)(1)(c)</w:t>
        </w:r>
      </w:hyperlink>
      <w:r w:rsidRPr="004B13A5">
        <w:rPr>
          <w:rFonts w:asciiTheme="minorHAnsi" w:hAnsiTheme="minorHAnsi" w:cstheme="minorHAnsi"/>
          <w:sz w:val="16"/>
          <w:szCs w:val="16"/>
        </w:rPr>
        <w:t xml:space="preserve">.  </w:t>
      </w:r>
    </w:p>
  </w:endnote>
  <w:endnote w:id="968">
    <w:p w14:paraId="1C3DA859" w14:textId="68320592" w:rsidR="00543015" w:rsidRPr="004B13A5" w:rsidRDefault="00543015" w:rsidP="004B13A5">
      <w:pPr>
        <w:pStyle w:val="EndnoteText"/>
        <w:spacing w:line="160" w:lineRule="exact"/>
        <w:jc w:val="both"/>
        <w:rPr>
          <w:sz w:val="16"/>
          <w:szCs w:val="16"/>
        </w:rPr>
      </w:pPr>
      <w:r w:rsidRPr="004B13A5">
        <w:rPr>
          <w:rStyle w:val="EndnoteReference"/>
          <w:sz w:val="16"/>
          <w:szCs w:val="16"/>
        </w:rPr>
        <w:endnoteRef/>
      </w:r>
      <w:r w:rsidRPr="004B13A5">
        <w:rPr>
          <w:sz w:val="16"/>
          <w:szCs w:val="16"/>
        </w:rPr>
        <w:t xml:space="preserve"> “[The Supreme Court of Ohio has] never expressly held that once an entity qualifies as a public body for purposes of R.C. 121.22, it is also a public office for purposes of R.C. 149.011(A) and 149.43 </w:t>
      </w:r>
      <w:r w:rsidRPr="004B13A5">
        <w:rPr>
          <w:sz w:val="16"/>
          <w:szCs w:val="16"/>
        </w:rPr>
        <w:t>so as to make all of its nonexempt records subject to disclosure.  In fact, R.C. 121.22 suggests otherwise because it contains separate definitions for ‘public body,’ R.C. 121.22(B)(1), and ‘public office,’ R.C. 121.22(B)(4), which provides that ‘[p]</w:t>
      </w:r>
      <w:r w:rsidRPr="004B13A5">
        <w:rPr>
          <w:sz w:val="16"/>
          <w:szCs w:val="16"/>
        </w:rPr>
        <w:t xml:space="preserve">ublic office’ has the same meaning as in section 149.011 of the Revised Code.’  Had the General Assembly intended that a ‘public body’ for the purposes of R.C. 121.22 be considered a ‘public office’ for purposes of R.C. 149.011(A) and 149.43, it would have so provided.”  </w:t>
      </w:r>
      <w:hyperlink r:id="rId1274" w:history="1">
        <w:r w:rsidRPr="004B13A5">
          <w:rPr>
            <w:rStyle w:val="Hyperlink"/>
            <w:i/>
            <w:sz w:val="16"/>
            <w:szCs w:val="16"/>
          </w:rPr>
          <w:t>State ex rel. Am. Civ. Liberties Union of Ohio, Inc. v. Cuyahoga Cty. Bd. Commrs.</w:t>
        </w:r>
      </w:hyperlink>
      <w:hyperlink r:id="rId1275" w:history="1"/>
      <w:r w:rsidRPr="004B13A5">
        <w:rPr>
          <w:sz w:val="16"/>
          <w:szCs w:val="16"/>
        </w:rPr>
        <w:t>, 128 Ohio St.3d 256, 2011-Ohio-625, ¶ 38.</w:t>
      </w:r>
    </w:p>
  </w:endnote>
  <w:endnote w:id="969">
    <w:p w14:paraId="528ADD6E" w14:textId="4C0FD7AD" w:rsidR="002F23BE" w:rsidRPr="00707B4A" w:rsidRDefault="002F23BE" w:rsidP="004B13A5">
      <w:pPr>
        <w:pStyle w:val="EndnoteText"/>
        <w:spacing w:line="160" w:lineRule="exact"/>
        <w:jc w:val="both"/>
        <w:rPr>
          <w:rFonts w:asciiTheme="minorHAnsi" w:hAnsiTheme="minorHAnsi" w:cstheme="minorHAnsi"/>
          <w:sz w:val="16"/>
          <w:szCs w:val="16"/>
        </w:rPr>
      </w:pPr>
      <w:r w:rsidRPr="004B13A5">
        <w:rPr>
          <w:rStyle w:val="EndnoteReference"/>
          <w:rFonts w:asciiTheme="minorHAnsi" w:hAnsiTheme="minorHAnsi" w:cstheme="minorHAnsi"/>
          <w:sz w:val="16"/>
          <w:szCs w:val="16"/>
        </w:rPr>
        <w:endnoteRef/>
      </w:r>
      <w:r w:rsidRPr="004B13A5">
        <w:rPr>
          <w:rFonts w:asciiTheme="minorHAnsi" w:hAnsiTheme="minorHAnsi" w:cstheme="minorHAnsi"/>
          <w:sz w:val="16"/>
          <w:szCs w:val="16"/>
        </w:rPr>
        <w:t xml:space="preserve"> </w:t>
      </w:r>
      <w:hyperlink r:id="rId1276" w:history="1">
        <w:r w:rsidRPr="004B13A5">
          <w:rPr>
            <w:rStyle w:val="Hyperlink"/>
            <w:rFonts w:asciiTheme="minorHAnsi" w:hAnsiTheme="minorHAnsi" w:cstheme="minorHAnsi"/>
            <w:i/>
            <w:sz w:val="16"/>
            <w:szCs w:val="16"/>
          </w:rPr>
          <w:t>Wheeling Corp. v. Columbus &amp; Ohio River R.R. Co.</w:t>
        </w:r>
      </w:hyperlink>
      <w:r w:rsidRPr="004B13A5">
        <w:rPr>
          <w:rFonts w:asciiTheme="minorHAnsi" w:hAnsiTheme="minorHAnsi" w:cstheme="minorHAnsi"/>
          <w:sz w:val="16"/>
          <w:szCs w:val="16"/>
        </w:rPr>
        <w:t>, 147 Ohio App.3d 460, 472 (10th Dist. 2001) (selection committee established by Ohio Rail Development Commission was a “public body” under the Open Meetings Act because it made decisions and advised the commission; that the selection committee was created without</w:t>
      </w:r>
      <w:r w:rsidRPr="00543015">
        <w:rPr>
          <w:rFonts w:asciiTheme="minorHAnsi" w:hAnsiTheme="minorHAnsi" w:cstheme="minorHAnsi"/>
          <w:sz w:val="16"/>
          <w:szCs w:val="16"/>
        </w:rPr>
        <w:t xml:space="preserve"> formal action was immaterial); </w:t>
      </w:r>
      <w:hyperlink r:id="rId1277" w:history="1">
        <w:r w:rsidRPr="00543015">
          <w:rPr>
            <w:rStyle w:val="Hyperlink"/>
            <w:rFonts w:asciiTheme="minorHAnsi" w:hAnsiTheme="minorHAnsi" w:cstheme="minorHAnsi"/>
            <w:i/>
            <w:sz w:val="16"/>
            <w:szCs w:val="16"/>
          </w:rPr>
          <w:t>State ex rel. Mohr v. Colerain Twp</w:t>
        </w:r>
      </w:hyperlink>
      <w:r w:rsidRPr="00543015">
        <w:rPr>
          <w:rFonts w:asciiTheme="minorHAnsi" w:hAnsiTheme="minorHAnsi" w:cstheme="minorHAnsi"/>
          <w:i/>
          <w:sz w:val="16"/>
          <w:szCs w:val="16"/>
        </w:rPr>
        <w:t xml:space="preserve">., </w:t>
      </w:r>
      <w:r w:rsidR="00B051BB" w:rsidRPr="00543015">
        <w:rPr>
          <w:rFonts w:asciiTheme="minorHAnsi" w:hAnsiTheme="minorHAnsi" w:cstheme="minorHAnsi"/>
          <w:iCs/>
          <w:sz w:val="16"/>
          <w:szCs w:val="16"/>
        </w:rPr>
        <w:t xml:space="preserve">1st Dist. Hamilton No. C-210369, </w:t>
      </w:r>
      <w:r w:rsidRPr="00543015">
        <w:rPr>
          <w:rFonts w:asciiTheme="minorHAnsi" w:hAnsiTheme="minorHAnsi" w:cstheme="minorHAnsi"/>
          <w:sz w:val="16"/>
          <w:szCs w:val="16"/>
        </w:rPr>
        <w:t>2022-Ohio-1109 (land-use planning committee created by a township’s board of trustees was a “public body” under the Open Meetings Act because the</w:t>
      </w:r>
      <w:r w:rsidRPr="00707B4A">
        <w:rPr>
          <w:rFonts w:asciiTheme="minorHAnsi" w:hAnsiTheme="minorHAnsi" w:cstheme="minorHAnsi"/>
          <w:sz w:val="16"/>
          <w:szCs w:val="16"/>
        </w:rPr>
        <w:t xml:space="preserve"> committee’s members were appointed to make recommendations for a land-use plan that the trustees had the power to approve; the committee’s lack of formal decision-making power was not dispositive); </w:t>
      </w:r>
      <w:r w:rsidRPr="00707B4A">
        <w:rPr>
          <w:rFonts w:asciiTheme="minorHAnsi" w:hAnsiTheme="minorHAnsi" w:cstheme="minorHAnsi"/>
          <w:i/>
          <w:sz w:val="16"/>
          <w:szCs w:val="16"/>
        </w:rPr>
        <w:t>but see</w:t>
      </w:r>
      <w:r w:rsidRPr="00707B4A">
        <w:rPr>
          <w:rFonts w:asciiTheme="minorHAnsi" w:hAnsiTheme="minorHAnsi" w:cstheme="minorHAnsi"/>
          <w:sz w:val="16"/>
          <w:szCs w:val="16"/>
        </w:rPr>
        <w:t xml:space="preserve"> </w:t>
      </w:r>
      <w:hyperlink r:id="rId1278" w:history="1">
        <w:r w:rsidRPr="00707B4A">
          <w:rPr>
            <w:rStyle w:val="Hyperlink"/>
            <w:rFonts w:asciiTheme="minorHAnsi" w:hAnsiTheme="minorHAnsi" w:cstheme="minorHAnsi"/>
            <w:i/>
            <w:sz w:val="16"/>
            <w:szCs w:val="16"/>
          </w:rPr>
          <w:t xml:space="preserve">State ex rel. Am. Civ. Liberties Union of Ohio, Inc. v. Cuyahoga </w:t>
        </w:r>
        <w:r w:rsidRPr="00707B4A">
          <w:rPr>
            <w:rStyle w:val="Hyperlink"/>
            <w:rFonts w:asciiTheme="minorHAnsi" w:hAnsiTheme="minorHAnsi" w:cstheme="minorHAnsi"/>
            <w:i/>
            <w:sz w:val="16"/>
            <w:szCs w:val="16"/>
          </w:rPr>
          <w:t>Cty. Bd. Commrs.</w:t>
        </w:r>
      </w:hyperlink>
      <w:r w:rsidRPr="00707B4A">
        <w:rPr>
          <w:rFonts w:asciiTheme="minorHAnsi" w:hAnsiTheme="minorHAnsi" w:cstheme="minorHAnsi"/>
          <w:sz w:val="16"/>
          <w:szCs w:val="16"/>
        </w:rPr>
        <w:t xml:space="preserve">, 128 Ohio St.3d 256, 2011-Ohio-625, ¶ 44 (groups formed by private entities to provide community input, not established by governmental entity, and to which no government duties or authority have been delegated, were not “public bodies”); </w:t>
      </w:r>
      <w:hyperlink r:id="rId1279" w:history="1">
        <w:r w:rsidRPr="00C36F4A">
          <w:rPr>
            <w:rStyle w:val="Hyperlink"/>
            <w:rFonts w:asciiTheme="minorHAnsi" w:hAnsiTheme="minorHAnsi" w:cstheme="minorHAnsi"/>
            <w:i/>
            <w:sz w:val="16"/>
            <w:szCs w:val="16"/>
          </w:rPr>
          <w:t xml:space="preserve">State ex rel. Massie v. Lake Cty. Bd. </w:t>
        </w:r>
        <w:r w:rsidR="002E7FF7">
          <w:rPr>
            <w:rStyle w:val="Hyperlink"/>
            <w:rFonts w:asciiTheme="minorHAnsi" w:hAnsiTheme="minorHAnsi" w:cstheme="minorHAnsi"/>
            <w:i/>
            <w:sz w:val="16"/>
            <w:szCs w:val="16"/>
          </w:rPr>
          <w:t>o</w:t>
        </w:r>
        <w:r w:rsidRPr="00C36F4A">
          <w:rPr>
            <w:rStyle w:val="Hyperlink"/>
            <w:rFonts w:asciiTheme="minorHAnsi" w:hAnsiTheme="minorHAnsi" w:cstheme="minorHAnsi"/>
            <w:i/>
            <w:sz w:val="16"/>
            <w:szCs w:val="16"/>
          </w:rPr>
          <w:t>f Commrs.</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11th Dist. Lake No. 2020-L-087, 2021-Ohio-786, ¶ 41 (county visitor’s bureau, a non-profit corporation, was not a public body because it was not established by statute and its authority was independent from any government entity).</w:t>
      </w:r>
    </w:p>
  </w:endnote>
  <w:endnote w:id="970">
    <w:p w14:paraId="345D9669" w14:textId="7D84426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0"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472 (10th Dist. 2001) (</w:t>
      </w:r>
      <w:r w:rsidR="00C43907" w:rsidRPr="00707B4A">
        <w:rPr>
          <w:rFonts w:asciiTheme="minorHAnsi" w:hAnsiTheme="minorHAnsi" w:cstheme="minorHAnsi"/>
          <w:sz w:val="16"/>
          <w:szCs w:val="16"/>
        </w:rPr>
        <w:t xml:space="preserve">in </w:t>
      </w:r>
      <w:r w:rsidRPr="00707B4A">
        <w:rPr>
          <w:rFonts w:asciiTheme="minorHAnsi" w:hAnsiTheme="minorHAnsi" w:cstheme="minorHAnsi"/>
          <w:sz w:val="16"/>
          <w:szCs w:val="16"/>
        </w:rPr>
        <w:t>finding that a selection committee was a “public body</w:t>
      </w:r>
      <w:r w:rsidR="00C43907" w:rsidRPr="00707B4A">
        <w:rPr>
          <w:rFonts w:asciiTheme="minorHAnsi" w:hAnsiTheme="minorHAnsi" w:cstheme="minorHAnsi"/>
          <w:sz w:val="16"/>
          <w:szCs w:val="16"/>
        </w:rPr>
        <w:t>,</w:t>
      </w:r>
      <w:r w:rsidRPr="00707B4A">
        <w:rPr>
          <w:rFonts w:asciiTheme="minorHAnsi" w:hAnsiTheme="minorHAnsi" w:cstheme="minorHAnsi"/>
          <w:sz w:val="16"/>
          <w:szCs w:val="16"/>
        </w:rPr>
        <w:t xml:space="preserve">” it was relevant that the entity was called a “committee,” a term included in the definition of a “public body” in R.C. 121.22); </w:t>
      </w:r>
      <w:r w:rsidRPr="00707B4A">
        <w:rPr>
          <w:rFonts w:asciiTheme="minorHAnsi" w:hAnsiTheme="minorHAnsi" w:cstheme="minorHAnsi"/>
          <w:i/>
          <w:sz w:val="16"/>
          <w:szCs w:val="16"/>
        </w:rPr>
        <w:t>Stegall v. Joint Twp. Dist. Mem. Hosp.</w:t>
      </w:r>
      <w:r w:rsidRPr="00707B4A">
        <w:rPr>
          <w:rFonts w:asciiTheme="minorHAnsi" w:hAnsiTheme="minorHAnsi" w:cstheme="minorHAnsi"/>
          <w:sz w:val="16"/>
          <w:szCs w:val="16"/>
        </w:rPr>
        <w:t>, 20 Ohio App.3d 100, 103 (3d Dist. 1985) (</w:t>
      </w:r>
      <w:r w:rsidR="00C43907" w:rsidRPr="00707B4A">
        <w:rPr>
          <w:rFonts w:asciiTheme="minorHAnsi" w:hAnsiTheme="minorHAnsi" w:cstheme="minorHAnsi"/>
          <w:sz w:val="16"/>
          <w:szCs w:val="16"/>
        </w:rPr>
        <w:t>finding relevant t</w:t>
      </w:r>
      <w:r w:rsidRPr="00707B4A">
        <w:rPr>
          <w:rFonts w:asciiTheme="minorHAnsi" w:hAnsiTheme="minorHAnsi" w:cstheme="minorHAnsi"/>
          <w:sz w:val="16"/>
          <w:szCs w:val="16"/>
        </w:rPr>
        <w:t xml:space="preserve">hat the name of the entity is one of the public body titles listed in R.C. 121.22(B)(1), </w:t>
      </w:r>
      <w:r w:rsidRPr="00B051BB">
        <w:rPr>
          <w:rFonts w:asciiTheme="minorHAnsi" w:hAnsiTheme="minorHAnsi" w:cstheme="minorHAnsi"/>
          <w:i/>
          <w:iCs/>
          <w:sz w:val="16"/>
          <w:szCs w:val="16"/>
        </w:rPr>
        <w:t>i.e.</w:t>
      </w:r>
      <w:r w:rsidRPr="00707B4A">
        <w:rPr>
          <w:rFonts w:asciiTheme="minorHAnsi" w:hAnsiTheme="minorHAnsi" w:cstheme="minorHAnsi"/>
          <w:sz w:val="16"/>
          <w:szCs w:val="16"/>
        </w:rPr>
        <w:t>, Board of Hospital Governors).</w:t>
      </w:r>
    </w:p>
  </w:endnote>
  <w:endnote w:id="971">
    <w:p w14:paraId="055FFEA2"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1"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xml:space="preserve">, 147 Ohio App.3d 460, 472 (10th Dist. 2001) (finding relevant that commissioners of the parent Ohio Rail Development Commission comprised </w:t>
      </w:r>
      <w:r w:rsidRPr="00707B4A">
        <w:rPr>
          <w:rFonts w:asciiTheme="minorHAnsi" w:hAnsiTheme="minorHAnsi" w:cstheme="minorHAnsi"/>
          <w:sz w:val="16"/>
          <w:szCs w:val="16"/>
        </w:rPr>
        <w:t>a majority of a selection committee’s membership).</w:t>
      </w:r>
    </w:p>
  </w:endnote>
  <w:endnote w:id="972">
    <w:p w14:paraId="4EB84113" w14:textId="2B45E5A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Thomas v. White</w:t>
      </w:r>
      <w:r w:rsidRPr="00707B4A">
        <w:rPr>
          <w:rFonts w:asciiTheme="minorHAnsi" w:hAnsiTheme="minorHAnsi" w:cstheme="minorHAnsi"/>
          <w:sz w:val="16"/>
          <w:szCs w:val="16"/>
        </w:rPr>
        <w:t xml:space="preserve">, 85 Ohio App.3d 410, 412 (9th Dist. 1992) (tasks such as making recommendations and advising involve decision-making); </w:t>
      </w:r>
      <w:r w:rsidRPr="00707B4A">
        <w:rPr>
          <w:rFonts w:asciiTheme="minorHAnsi" w:hAnsiTheme="minorHAnsi" w:cstheme="minorHAnsi"/>
          <w:i/>
          <w:sz w:val="16"/>
          <w:szCs w:val="16"/>
        </w:rPr>
        <w:t>Cincinnati Enquirer v. Cincinnati</w:t>
      </w:r>
      <w:r w:rsidRPr="00707B4A">
        <w:rPr>
          <w:rFonts w:asciiTheme="minorHAnsi" w:hAnsiTheme="minorHAnsi" w:cstheme="minorHAnsi"/>
          <w:sz w:val="16"/>
          <w:szCs w:val="16"/>
        </w:rPr>
        <w:t>, 145 Ohio App.3d 335, 339 (1st Dist. 2001) (whether urban design review board, comprised of a group of architectural consultants for the city, had ultimate authority to decide matters was not controlling because the board actually made decisions in the process of formulating its advice);</w:t>
      </w:r>
      <w:r w:rsidRPr="00707B4A">
        <w:rPr>
          <w:rFonts w:asciiTheme="minorHAnsi" w:hAnsiTheme="minorHAnsi" w:cstheme="minorHAnsi"/>
          <w:i/>
          <w:sz w:val="16"/>
          <w:szCs w:val="16"/>
        </w:rPr>
        <w:t xml:space="preserve"> </w:t>
      </w:r>
      <w:hyperlink r:id="rId1282" w:history="1">
        <w:r w:rsidR="00C36F4A" w:rsidRPr="00C36F4A">
          <w:rPr>
            <w:rStyle w:val="Hyperlink"/>
            <w:rFonts w:asciiTheme="minorHAnsi" w:hAnsiTheme="minorHAnsi" w:cstheme="minorHAnsi"/>
            <w:i/>
            <w:sz w:val="16"/>
            <w:szCs w:val="16"/>
          </w:rPr>
          <w:t>State ex rel. Mohr v. Colerain Twp</w:t>
        </w:r>
      </w:hyperlink>
      <w:r w:rsidR="00C36F4A" w:rsidRPr="00707B4A">
        <w:rPr>
          <w:rFonts w:asciiTheme="minorHAnsi" w:hAnsiTheme="minorHAnsi" w:cstheme="minorHAnsi"/>
          <w:i/>
          <w:sz w:val="16"/>
          <w:szCs w:val="16"/>
        </w:rPr>
        <w:t xml:space="preserve">., </w:t>
      </w:r>
      <w:r w:rsidR="00B051BB">
        <w:rPr>
          <w:rFonts w:asciiTheme="minorHAnsi" w:hAnsiTheme="minorHAnsi" w:cstheme="minorHAnsi"/>
          <w:iCs/>
          <w:sz w:val="16"/>
          <w:szCs w:val="16"/>
        </w:rPr>
        <w:t xml:space="preserve">1st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 xml:space="preserve">2022-Ohio-1109 (land-use planning committee’s lack of formal decision-making power was not dispositive because it made recommendations and advised other public bodies, which necessitated making decisions); </w:t>
      </w:r>
      <w:hyperlink r:id="rId1283"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472 (10th Dist. 2001) (selection committee made decisions in its role of reviewing and evaluating proposals and making a recommendation to the Ohio Rail Development Commission).</w:t>
      </w:r>
    </w:p>
  </w:endnote>
  <w:endnote w:id="973">
    <w:p w14:paraId="0DA566E6"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Cincinnati Enquirer v. Cincinnati</w:t>
      </w:r>
      <w:r w:rsidRPr="00707B4A">
        <w:rPr>
          <w:rFonts w:asciiTheme="minorHAnsi" w:hAnsiTheme="minorHAnsi" w:cstheme="minorHAnsi"/>
          <w:sz w:val="16"/>
          <w:szCs w:val="16"/>
        </w:rPr>
        <w:t>, 145 Ohio App.3d 335, 339 (1st Dist. 2001) (finding an urban design review board that advised not only the city manager, but also the city council, to be a public body).</w:t>
      </w:r>
    </w:p>
  </w:endnote>
  <w:endnote w:id="974">
    <w:p w14:paraId="1D6935BC"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4"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472 (10th Dist. 2001) (finding relevant that the group was called a “committee,” a term included in the definition of a “public body” in R.C. 121.22; that a majority of the selection committee’s members were commissioners of the commission itself; that the selection committee made decisions in its role of reviewing and evaluating proposals and making a recommendation to the Ohio Rail Development Commission (a public body); that the selection committee was established by the committee without formal action is immaterial).</w:t>
      </w:r>
    </w:p>
  </w:endnote>
  <w:endnote w:id="975">
    <w:p w14:paraId="683F3F44" w14:textId="7608CF1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Cincinnati Enquirer v. Cincinnati</w:t>
      </w:r>
      <w:r w:rsidRPr="00707B4A">
        <w:rPr>
          <w:rFonts w:asciiTheme="minorHAnsi" w:hAnsiTheme="minorHAnsi" w:cstheme="minorHAnsi"/>
          <w:sz w:val="16"/>
          <w:szCs w:val="16"/>
        </w:rPr>
        <w:t>, 145 Ohio App.3d 335, 339 (1st Dist. 2001) (whether an urban design review board, comprised of a group of architectural consultants for the city, had ultimate authority to decide matters was not controlling, as the board actually made decisions in the process of formulating its advice; the board advised not only the city manager, but also the city council, a public body);</w:t>
      </w:r>
      <w:r w:rsidR="00C36F4A" w:rsidRPr="00C36F4A">
        <w:rPr>
          <w:rFonts w:asciiTheme="minorHAnsi" w:hAnsiTheme="minorHAnsi" w:cstheme="minorHAnsi"/>
          <w:i/>
          <w:sz w:val="16"/>
          <w:szCs w:val="16"/>
        </w:rPr>
        <w:t xml:space="preserve"> </w:t>
      </w:r>
      <w:hyperlink r:id="rId1285" w:history="1">
        <w:r w:rsidR="00C36F4A" w:rsidRPr="00C36F4A">
          <w:rPr>
            <w:rStyle w:val="Hyperlink"/>
            <w:rFonts w:asciiTheme="minorHAnsi" w:hAnsiTheme="minorHAnsi" w:cstheme="minorHAnsi"/>
            <w:i/>
            <w:sz w:val="16"/>
            <w:szCs w:val="16"/>
          </w:rPr>
          <w:t>State ex rel. Mohr v. Colerain Twp</w:t>
        </w:r>
      </w:hyperlink>
      <w:r w:rsidR="00C36F4A" w:rsidRPr="00B051BB">
        <w:rPr>
          <w:rFonts w:asciiTheme="minorHAnsi" w:hAnsiTheme="minorHAnsi" w:cstheme="minorHAnsi"/>
          <w:iCs/>
          <w:sz w:val="16"/>
          <w:szCs w:val="16"/>
        </w:rPr>
        <w:t>.</w:t>
      </w:r>
      <w:r w:rsidRPr="00B051BB">
        <w:rPr>
          <w:rFonts w:asciiTheme="minorHAnsi" w:hAnsiTheme="minorHAnsi" w:cstheme="minorHAnsi"/>
          <w:iCs/>
          <w:sz w:val="16"/>
          <w:szCs w:val="16"/>
        </w:rPr>
        <w:t xml:space="preserve">, </w:t>
      </w:r>
      <w:r w:rsidR="00B051BB" w:rsidRPr="00B051BB">
        <w:rPr>
          <w:rFonts w:asciiTheme="minorHAnsi" w:hAnsiTheme="minorHAnsi" w:cstheme="minorHAnsi"/>
          <w:iCs/>
          <w:sz w:val="16"/>
          <w:szCs w:val="16"/>
        </w:rPr>
        <w:t>1st</w:t>
      </w:r>
      <w:r w:rsidR="00B051BB">
        <w:rPr>
          <w:rFonts w:asciiTheme="minorHAnsi" w:hAnsiTheme="minorHAnsi" w:cstheme="minorHAnsi"/>
          <w:iCs/>
          <w:sz w:val="16"/>
          <w:szCs w:val="16"/>
        </w:rPr>
        <w:t xml:space="preserve">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2022-Ohio-1109 (a land-use planning committee created by a township’s board of trustees was a “public body” even though it had no formal decision-making power, because it was a subcommittee to which the trustees referred business- and because it made recommendations and advised other public bodies, which necessitated making decisions).</w:t>
      </w:r>
    </w:p>
  </w:endnote>
  <w:endnote w:id="976">
    <w:p w14:paraId="5D6B08F7" w14:textId="3388A22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Stegall v. Joint Twp. Dist. Mem. Hosp.</w:t>
      </w:r>
      <w:r w:rsidRPr="00707B4A">
        <w:rPr>
          <w:rFonts w:asciiTheme="minorHAnsi" w:hAnsiTheme="minorHAnsi" w:cstheme="minorHAnsi"/>
          <w:sz w:val="16"/>
          <w:szCs w:val="16"/>
        </w:rPr>
        <w:t>, 20 Ohio App.3d 100, 102-03 (3d Dist. 1985) (the Board of Governors of a joint township hospital fell within the definition of “public body” because this definition includes “boards”; the board made decisions essential to the construction and equipping of a general hospital; and the board was of a “township” or of a “local public institution” because it existed by virtue of authority granted by the legislature for the creation of joint township hospital facilities).</w:t>
      </w:r>
    </w:p>
  </w:endnote>
  <w:endnote w:id="977">
    <w:p w14:paraId="6E43CFD5" w14:textId="0CB6AD7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Thomas v. White</w:t>
      </w:r>
      <w:r w:rsidRPr="00707B4A">
        <w:rPr>
          <w:rFonts w:asciiTheme="minorHAnsi" w:hAnsiTheme="minorHAnsi" w:cstheme="minorHAnsi"/>
          <w:sz w:val="16"/>
          <w:szCs w:val="16"/>
        </w:rPr>
        <w:t xml:space="preserve">, 85 Ohio App.3d 410, 412 (9th Dist. 1992) (committee was a public body because the subject matter of the committee’s operations is the public business, each of its duties involves decisions as to what will be done, and the committee by law elects a chairman who serves as an </w:t>
      </w:r>
      <w:r w:rsidRPr="00707B4A">
        <w:rPr>
          <w:rFonts w:asciiTheme="minorHAnsi" w:hAnsiTheme="minorHAnsi" w:cstheme="minorHAnsi"/>
          <w:i/>
          <w:sz w:val="16"/>
          <w:szCs w:val="16"/>
        </w:rPr>
        <w:t>ex officio</w:t>
      </w:r>
      <w:r w:rsidRPr="00707B4A">
        <w:rPr>
          <w:rFonts w:asciiTheme="minorHAnsi" w:hAnsiTheme="minorHAnsi" w:cstheme="minorHAnsi"/>
          <w:sz w:val="16"/>
          <w:szCs w:val="16"/>
        </w:rPr>
        <w:t xml:space="preserve"> voting member of the children services board, which involves decision-making).</w:t>
      </w:r>
    </w:p>
  </w:endnote>
  <w:endnote w:id="978">
    <w:p w14:paraId="3A8911FE" w14:textId="2B50A05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6" w:history="1">
        <w:r w:rsidRPr="00707B4A">
          <w:rPr>
            <w:rStyle w:val="Hyperlink"/>
            <w:rFonts w:asciiTheme="minorHAnsi" w:hAnsiTheme="minorHAnsi" w:cstheme="minorHAnsi"/>
            <w:sz w:val="16"/>
            <w:szCs w:val="16"/>
          </w:rPr>
          <w:t xml:space="preserve">1992 Ohio </w:t>
        </w:r>
        <w:r w:rsidRPr="00707B4A">
          <w:rPr>
            <w:rStyle w:val="Hyperlink"/>
            <w:rFonts w:asciiTheme="minorHAnsi" w:hAnsiTheme="minorHAnsi" w:cstheme="minorHAnsi"/>
            <w:sz w:val="16"/>
            <w:szCs w:val="16"/>
          </w:rPr>
          <w:t>Atty.Gen.Ops. No. 078.</w:t>
        </w:r>
      </w:hyperlink>
    </w:p>
  </w:endnote>
  <w:endnote w:id="979">
    <w:p w14:paraId="3784219A" w14:textId="4C4AB07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Smith v. Cleveland</w:t>
      </w:r>
      <w:r w:rsidRPr="00707B4A">
        <w:rPr>
          <w:rFonts w:asciiTheme="minorHAnsi" w:hAnsiTheme="minorHAnsi" w:cstheme="minorHAnsi"/>
          <w:sz w:val="16"/>
          <w:szCs w:val="16"/>
        </w:rPr>
        <w:t>, 94 Ohio App.3d 780, 784-785 (8th Dist. 1994) (city safety director is not a public body and may conduct disciplinary hearings without complying with the Open Meetings Act).</w:t>
      </w:r>
    </w:p>
  </w:endnote>
  <w:endnote w:id="980">
    <w:p w14:paraId="6309F319" w14:textId="7E51F9F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Beacon Journal Publishing Co. v. Akron</w:t>
      </w:r>
      <w:r w:rsidRPr="00707B4A">
        <w:rPr>
          <w:rFonts w:asciiTheme="minorHAnsi" w:hAnsiTheme="minorHAnsi" w:cstheme="minorHAnsi"/>
          <w:sz w:val="16"/>
          <w:szCs w:val="16"/>
        </w:rPr>
        <w:t xml:space="preserve">, 3 Ohio St.2d 191 (1965) (boards, commissions, committees, etc., created by executive order of the mayor and chief administrator without the advice and consent of city council were not subject to the Open Meetings Act); </w:t>
      </w:r>
      <w:r w:rsidRPr="00707B4A">
        <w:rPr>
          <w:rFonts w:asciiTheme="minorHAnsi" w:hAnsiTheme="minorHAnsi" w:cstheme="minorHAnsi"/>
          <w:i/>
          <w:sz w:val="16"/>
          <w:szCs w:val="16"/>
        </w:rPr>
        <w:t>eFunds v. Ohio Dept. of Job &amp; Family Serv.</w:t>
      </w:r>
      <w:r w:rsidRPr="00707B4A">
        <w:rPr>
          <w:rFonts w:asciiTheme="minorHAnsi" w:hAnsiTheme="minorHAnsi" w:cstheme="minorHAnsi"/>
          <w:sz w:val="16"/>
          <w:szCs w:val="16"/>
        </w:rPr>
        <w:t xml:space="preserve">, Franklin C.P. No. 05CVH09-10276 (2006) (an “evaluation committee” of government employees under the authority of a state agency administrator is not a public body); </w:t>
      </w:r>
      <w:hyperlink r:id="rId1287" w:history="1">
        <w:r w:rsidRPr="00707B4A">
          <w:rPr>
            <w:rStyle w:val="Hyperlink"/>
            <w:rFonts w:asciiTheme="minorHAnsi" w:hAnsiTheme="minorHAnsi" w:cstheme="minorHAnsi"/>
            <w:sz w:val="16"/>
            <w:szCs w:val="16"/>
          </w:rPr>
          <w:t xml:space="preserve">1994 Ohio </w:t>
        </w:r>
        <w:r w:rsidRPr="00707B4A">
          <w:rPr>
            <w:rStyle w:val="Hyperlink"/>
            <w:rFonts w:asciiTheme="minorHAnsi" w:hAnsiTheme="minorHAnsi" w:cstheme="minorHAnsi"/>
            <w:sz w:val="16"/>
            <w:szCs w:val="16"/>
          </w:rPr>
          <w:t>Atty.Gen.Ops. No. 096</w:t>
        </w:r>
      </w:hyperlink>
      <w:r w:rsidRPr="00707B4A">
        <w:rPr>
          <w:rFonts w:asciiTheme="minorHAnsi" w:hAnsiTheme="minorHAnsi" w:cstheme="minorHAnsi"/>
          <w:sz w:val="16"/>
          <w:szCs w:val="16"/>
        </w:rPr>
        <w:t xml:space="preserve"> (when a committee of private citizens and various public officers or employees is established solely pursuant to the executive authority of the administrator of a general health district for the purpose of providing advice pertaining to the administration of a grant, and establishment of the committee is not required or authorized by the grant or board action, such a committee is not a public body for purposes of</w:t>
      </w:r>
      <w:r w:rsidR="00C43907" w:rsidRPr="00707B4A">
        <w:rPr>
          <w:rFonts w:asciiTheme="minorHAnsi" w:hAnsiTheme="minorHAnsi" w:cstheme="minorHAnsi"/>
          <w:sz w:val="16"/>
          <w:szCs w:val="16"/>
        </w:rPr>
        <w:t xml:space="preserve"> the Open Meetings Act</w:t>
      </w:r>
      <w:r w:rsidRPr="00707B4A">
        <w:rPr>
          <w:rFonts w:asciiTheme="minorHAnsi" w:hAnsiTheme="minorHAnsi" w:cstheme="minorHAnsi"/>
          <w:sz w:val="16"/>
          <w:szCs w:val="16"/>
        </w:rPr>
        <w:t xml:space="preserve"> and is not subject to the requirements of t</w:t>
      </w:r>
      <w:r w:rsidR="00C43907" w:rsidRPr="00707B4A">
        <w:rPr>
          <w:rFonts w:asciiTheme="minorHAnsi" w:hAnsiTheme="minorHAnsi" w:cstheme="minorHAnsi"/>
          <w:sz w:val="16"/>
          <w:szCs w:val="16"/>
        </w:rPr>
        <w:t xml:space="preserve">he </w:t>
      </w:r>
      <w:r w:rsidRPr="00707B4A">
        <w:rPr>
          <w:rFonts w:asciiTheme="minorHAnsi" w:hAnsiTheme="minorHAnsi" w:cstheme="minorHAnsi"/>
          <w:sz w:val="16"/>
          <w:szCs w:val="16"/>
        </w:rPr>
        <w:t>Act).</w:t>
      </w:r>
    </w:p>
  </w:endnote>
  <w:endnote w:id="981">
    <w:p w14:paraId="0FC00457"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88" w:history="1">
        <w:r w:rsidRPr="00707B4A">
          <w:rPr>
            <w:rStyle w:val="Hyperlink"/>
            <w:rFonts w:asciiTheme="minorHAnsi" w:hAnsiTheme="minorHAnsi" w:cstheme="minorHAnsi"/>
            <w:i/>
            <w:sz w:val="16"/>
            <w:szCs w:val="16"/>
          </w:rPr>
          <w:t>Wheeling Corp. v. Columbus &amp; Ohio River R.R. Co.</w:t>
        </w:r>
      </w:hyperlink>
      <w:r w:rsidRPr="00707B4A">
        <w:rPr>
          <w:rFonts w:asciiTheme="minorHAnsi" w:hAnsiTheme="minorHAnsi" w:cstheme="minorHAnsi"/>
          <w:sz w:val="16"/>
          <w:szCs w:val="16"/>
        </w:rPr>
        <w:t>, 147 Ohio App.3d 460 (10th Dist. 2001).</w:t>
      </w:r>
    </w:p>
  </w:endnote>
  <w:endnote w:id="982">
    <w:p w14:paraId="6E413DC0" w14:textId="19F25DF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State ex rel. Toledo Blade Co. v. Economic Opportunity Planning Assn. of Greater Toledo, </w:t>
      </w:r>
      <w:r w:rsidRPr="00707B4A">
        <w:rPr>
          <w:rFonts w:asciiTheme="minorHAnsi" w:hAnsiTheme="minorHAnsi" w:cstheme="minorHAnsi"/>
          <w:sz w:val="16"/>
          <w:szCs w:val="16"/>
        </w:rPr>
        <w:t>61 Ohio Misc.2d 631, 640 (C.P. 1990) (</w:t>
      </w:r>
      <w:r w:rsidR="009E4E1A" w:rsidRPr="00707B4A">
        <w:rPr>
          <w:rFonts w:asciiTheme="minorHAnsi" w:hAnsiTheme="minorHAnsi" w:cstheme="minorHAnsi"/>
          <w:sz w:val="16"/>
          <w:szCs w:val="16"/>
        </w:rPr>
        <w:t>an economic opportunity planning association was a public body because it was designed as a community action agency under the Open Meetings Act</w:t>
      </w:r>
      <w:r w:rsidRPr="00707B4A">
        <w:rPr>
          <w:rFonts w:asciiTheme="minorHAnsi" w:hAnsiTheme="minorHAnsi" w:cstheme="minorHAnsi"/>
          <w:sz w:val="16"/>
          <w:szCs w:val="16"/>
        </w:rPr>
        <w:t>).</w:t>
      </w:r>
    </w:p>
  </w:endnote>
  <w:endnote w:id="983">
    <w:p w14:paraId="6AFA9718" w14:textId="0C2C9822"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While the</w:t>
      </w:r>
      <w:r w:rsidR="009E4E1A" w:rsidRPr="00707B4A">
        <w:rPr>
          <w:rFonts w:asciiTheme="minorHAnsi" w:hAnsiTheme="minorHAnsi" w:cstheme="minorHAnsi"/>
          <w:sz w:val="16"/>
          <w:szCs w:val="16"/>
        </w:rPr>
        <w:t xml:space="preserve"> Open Meetings Act does not apply to the</w:t>
      </w:r>
      <w:r w:rsidRPr="00707B4A">
        <w:rPr>
          <w:rFonts w:asciiTheme="minorHAnsi" w:hAnsiTheme="minorHAnsi" w:cstheme="minorHAnsi"/>
          <w:sz w:val="16"/>
          <w:szCs w:val="16"/>
        </w:rPr>
        <w:t xml:space="preserve"> General Assembly as a whole, legislative committees are required to follow the guidelines set forth in the General Assembly’s own open meetings law (</w:t>
      </w:r>
      <w:hyperlink r:id="rId1289" w:history="1">
        <w:r w:rsidRPr="00C36F4A">
          <w:rPr>
            <w:rStyle w:val="Hyperlink"/>
            <w:rFonts w:asciiTheme="minorHAnsi" w:hAnsiTheme="minorHAnsi" w:cstheme="minorHAnsi"/>
            <w:sz w:val="16"/>
            <w:szCs w:val="16"/>
          </w:rPr>
          <w:t>R.C. 101.15</w:t>
        </w:r>
      </w:hyperlink>
      <w:r w:rsidRPr="00707B4A">
        <w:rPr>
          <w:rFonts w:asciiTheme="minorHAnsi" w:hAnsiTheme="minorHAnsi" w:cstheme="minorHAnsi"/>
          <w:sz w:val="16"/>
          <w:szCs w:val="16"/>
        </w:rPr>
        <w:t>), which requires committee meetings to be open to the public and that minutes of those meetings be made available for public inspection. Like the Open Meetings Act, the legislature’s open meetings law includes some exemptions.  For example, the law does not apply to meetings of the Joint Legislative Ethics Committee, other than those meetings specified in the law (</w:t>
      </w:r>
      <w:hyperlink r:id="rId1290" w:history="1">
        <w:r w:rsidRPr="00C36F4A">
          <w:rPr>
            <w:rStyle w:val="Hyperlink"/>
            <w:rFonts w:asciiTheme="minorHAnsi" w:hAnsiTheme="minorHAnsi" w:cstheme="minorHAnsi"/>
            <w:sz w:val="16"/>
            <w:szCs w:val="16"/>
          </w:rPr>
          <w:t>R.C. 101.15(F)(1)</w:t>
        </w:r>
      </w:hyperlink>
      <w:r w:rsidRPr="00707B4A">
        <w:rPr>
          <w:rFonts w:asciiTheme="minorHAnsi" w:hAnsiTheme="minorHAnsi" w:cstheme="minorHAnsi"/>
          <w:sz w:val="16"/>
          <w:szCs w:val="16"/>
        </w:rPr>
        <w:t>), or to meetings of a political party caucus (</w:t>
      </w:r>
      <w:hyperlink r:id="rId1291" w:history="1">
        <w:r w:rsidRPr="00C36F4A">
          <w:rPr>
            <w:rStyle w:val="Hyperlink"/>
            <w:rFonts w:asciiTheme="minorHAnsi" w:hAnsiTheme="minorHAnsi" w:cstheme="minorHAnsi"/>
            <w:sz w:val="16"/>
            <w:szCs w:val="16"/>
          </w:rPr>
          <w:t>R.C. 101.15(F)(2)</w:t>
        </w:r>
      </w:hyperlink>
      <w:r w:rsidRPr="00707B4A">
        <w:rPr>
          <w:rFonts w:asciiTheme="minorHAnsi" w:hAnsiTheme="minorHAnsi" w:cstheme="minorHAnsi"/>
          <w:sz w:val="16"/>
          <w:szCs w:val="16"/>
        </w:rPr>
        <w:t>).</w:t>
      </w:r>
    </w:p>
  </w:endnote>
  <w:endnote w:id="984">
    <w:p w14:paraId="2A83513B" w14:textId="669415DB"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2" w:history="1">
        <w:r w:rsidRPr="00707B4A">
          <w:rPr>
            <w:rStyle w:val="Hyperlink"/>
            <w:rFonts w:asciiTheme="minorHAnsi" w:hAnsiTheme="minorHAnsi" w:cstheme="minorHAnsi"/>
            <w:sz w:val="16"/>
            <w:szCs w:val="16"/>
          </w:rPr>
          <w:t>R.C. 121.22(D)(1).</w:t>
        </w:r>
      </w:hyperlink>
    </w:p>
  </w:endnote>
  <w:endnote w:id="985">
    <w:p w14:paraId="0AD0124A" w14:textId="6125A47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3" w:history="1">
        <w:r w:rsidRPr="00707B4A">
          <w:rPr>
            <w:rStyle w:val="Hyperlink"/>
            <w:rFonts w:asciiTheme="minorHAnsi" w:hAnsiTheme="minorHAnsi" w:cstheme="minorHAnsi"/>
            <w:sz w:val="16"/>
            <w:szCs w:val="16"/>
          </w:rPr>
          <w:t>R.C. 121.22(D)(2).</w:t>
        </w:r>
      </w:hyperlink>
    </w:p>
  </w:endnote>
  <w:endnote w:id="986">
    <w:p w14:paraId="6B5A49CB" w14:textId="00C582D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4" w:history="1">
        <w:r w:rsidRPr="00707B4A">
          <w:rPr>
            <w:rStyle w:val="Hyperlink"/>
            <w:rFonts w:asciiTheme="minorHAnsi" w:hAnsiTheme="minorHAnsi" w:cstheme="minorHAnsi"/>
            <w:sz w:val="16"/>
            <w:szCs w:val="16"/>
          </w:rPr>
          <w:t>R.C. 121.22(D)(4).</w:t>
        </w:r>
      </w:hyperlink>
    </w:p>
  </w:endnote>
  <w:endnote w:id="987">
    <w:p w14:paraId="01CDD155" w14:textId="136D4749"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5" w:history="1">
        <w:r w:rsidRPr="00707B4A">
          <w:rPr>
            <w:rStyle w:val="Hyperlink"/>
            <w:rFonts w:asciiTheme="minorHAnsi" w:hAnsiTheme="minorHAnsi" w:cstheme="minorHAnsi"/>
            <w:sz w:val="16"/>
            <w:szCs w:val="16"/>
          </w:rPr>
          <w:t xml:space="preserve"> R.C. 121.22(D)(5).</w:t>
        </w:r>
      </w:hyperlink>
    </w:p>
  </w:endnote>
  <w:endnote w:id="988">
    <w:p w14:paraId="4FE46299" w14:textId="570951D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6" w:history="1">
        <w:r w:rsidRPr="00707B4A">
          <w:rPr>
            <w:rStyle w:val="Hyperlink"/>
            <w:rFonts w:asciiTheme="minorHAnsi" w:hAnsiTheme="minorHAnsi" w:cstheme="minorHAnsi"/>
            <w:sz w:val="16"/>
            <w:szCs w:val="16"/>
          </w:rPr>
          <w:t xml:space="preserve"> R.C. 121.22(D)(11).</w:t>
        </w:r>
      </w:hyperlink>
    </w:p>
  </w:endnote>
  <w:endnote w:id="989">
    <w:p w14:paraId="07A774AF" w14:textId="01B5EA6E"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7" w:history="1">
        <w:r w:rsidRPr="00707B4A">
          <w:rPr>
            <w:rStyle w:val="Hyperlink"/>
            <w:rFonts w:asciiTheme="minorHAnsi" w:hAnsiTheme="minorHAnsi" w:cstheme="minorHAnsi"/>
            <w:sz w:val="16"/>
            <w:szCs w:val="16"/>
          </w:rPr>
          <w:t xml:space="preserve"> R.C. 121.22(D)(12).</w:t>
        </w:r>
      </w:hyperlink>
    </w:p>
  </w:endnote>
  <w:endnote w:id="990">
    <w:p w14:paraId="25462B54" w14:textId="6FD79575"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298" w:history="1">
        <w:r w:rsidRPr="00707B4A">
          <w:rPr>
            <w:rStyle w:val="Hyperlink"/>
            <w:rFonts w:asciiTheme="minorHAnsi" w:hAnsiTheme="minorHAnsi" w:cstheme="minorHAnsi"/>
            <w:sz w:val="16"/>
            <w:szCs w:val="16"/>
          </w:rPr>
          <w:t xml:space="preserve"> R.C. 121.22(D)(16)-(</w:t>
        </w:r>
        <w:r w:rsidR="00726249" w:rsidRPr="00707B4A">
          <w:rPr>
            <w:rStyle w:val="Hyperlink"/>
            <w:rFonts w:asciiTheme="minorHAnsi" w:hAnsiTheme="minorHAnsi" w:cstheme="minorHAnsi"/>
            <w:sz w:val="16"/>
            <w:szCs w:val="16"/>
          </w:rPr>
          <w:t>19</w:t>
        </w:r>
        <w:r w:rsidRPr="00707B4A">
          <w:rPr>
            <w:rStyle w:val="Hyperlink"/>
            <w:rFonts w:asciiTheme="minorHAnsi" w:hAnsiTheme="minorHAnsi" w:cstheme="minorHAnsi"/>
            <w:sz w:val="16"/>
            <w:szCs w:val="16"/>
          </w:rPr>
          <w:t>)</w:t>
        </w:r>
        <w:r w:rsidR="00726249" w:rsidRPr="00707B4A">
          <w:rPr>
            <w:rStyle w:val="Hyperlink"/>
            <w:rFonts w:asciiTheme="minorHAnsi" w:hAnsiTheme="minorHAnsi" w:cstheme="minorHAnsi"/>
            <w:sz w:val="16"/>
            <w:szCs w:val="16"/>
          </w:rPr>
          <w:t>, (21)</w:t>
        </w:r>
        <w:r w:rsidRPr="00707B4A">
          <w:rPr>
            <w:rStyle w:val="Hyperlink"/>
            <w:rFonts w:asciiTheme="minorHAnsi" w:hAnsiTheme="minorHAnsi" w:cstheme="minorHAnsi"/>
            <w:sz w:val="16"/>
            <w:szCs w:val="16"/>
          </w:rPr>
          <w:t>.</w:t>
        </w:r>
      </w:hyperlink>
    </w:p>
  </w:endnote>
  <w:endnote w:id="991">
    <w:p w14:paraId="3E3413AC" w14:textId="0C6BE9A6"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299" w:history="1">
        <w:r w:rsidRPr="00707B4A">
          <w:rPr>
            <w:rStyle w:val="Hyperlink"/>
            <w:rFonts w:asciiTheme="minorHAnsi" w:hAnsiTheme="minorHAnsi" w:cstheme="minorHAnsi"/>
            <w:sz w:val="16"/>
            <w:szCs w:val="16"/>
          </w:rPr>
          <w:t>R.C. 121.22(D)(3).</w:t>
        </w:r>
      </w:hyperlink>
    </w:p>
  </w:endnote>
  <w:endnote w:id="992">
    <w:p w14:paraId="6EE38CDE" w14:textId="4AE24A4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0" w:history="1">
        <w:r w:rsidRPr="00707B4A">
          <w:rPr>
            <w:rStyle w:val="Hyperlink"/>
            <w:rFonts w:asciiTheme="minorHAnsi" w:hAnsiTheme="minorHAnsi" w:cstheme="minorHAnsi"/>
            <w:sz w:val="16"/>
            <w:szCs w:val="16"/>
          </w:rPr>
          <w:t>R.C. 4730.25(G)</w:t>
        </w:r>
      </w:hyperlink>
      <w:r w:rsidRPr="00707B4A">
        <w:rPr>
          <w:rFonts w:asciiTheme="minorHAnsi" w:hAnsiTheme="minorHAnsi" w:cstheme="minorHAnsi"/>
          <w:sz w:val="16"/>
          <w:szCs w:val="16"/>
        </w:rPr>
        <w:t xml:space="preserve">; </w:t>
      </w:r>
      <w:hyperlink r:id="rId1301" w:history="1">
        <w:r w:rsidRPr="00707B4A">
          <w:rPr>
            <w:rStyle w:val="Hyperlink"/>
            <w:rFonts w:asciiTheme="minorHAnsi" w:hAnsiTheme="minorHAnsi" w:cstheme="minorHAnsi"/>
            <w:sz w:val="16"/>
            <w:szCs w:val="16"/>
          </w:rPr>
          <w:t>R.C. 4731.22(G)</w:t>
        </w:r>
      </w:hyperlink>
      <w:r w:rsidRPr="00707B4A">
        <w:rPr>
          <w:rFonts w:asciiTheme="minorHAnsi" w:hAnsiTheme="minorHAnsi" w:cstheme="minorHAnsi"/>
          <w:sz w:val="16"/>
          <w:szCs w:val="16"/>
        </w:rPr>
        <w:t>.</w:t>
      </w:r>
    </w:p>
  </w:endnote>
  <w:endnote w:id="993">
    <w:p w14:paraId="2AA00341" w14:textId="1EE9D7B0"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2" w:history="1">
        <w:r w:rsidRPr="00707B4A">
          <w:rPr>
            <w:rStyle w:val="Hyperlink"/>
            <w:rFonts w:asciiTheme="minorHAnsi" w:hAnsiTheme="minorHAnsi" w:cstheme="minorHAnsi"/>
            <w:sz w:val="16"/>
            <w:szCs w:val="16"/>
          </w:rPr>
          <w:t>R.C. 4723.281(B).</w:t>
        </w:r>
      </w:hyperlink>
    </w:p>
  </w:endnote>
  <w:endnote w:id="994">
    <w:p w14:paraId="23CFE73A" w14:textId="2D2DB65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3" w:history="1">
        <w:r w:rsidRPr="00707B4A">
          <w:rPr>
            <w:rStyle w:val="Hyperlink"/>
            <w:rFonts w:asciiTheme="minorHAnsi" w:hAnsiTheme="minorHAnsi" w:cstheme="minorHAnsi"/>
            <w:sz w:val="16"/>
            <w:szCs w:val="16"/>
          </w:rPr>
          <w:t>R.C. 4734.37.</w:t>
        </w:r>
      </w:hyperlink>
    </w:p>
  </w:endnote>
  <w:endnote w:id="995">
    <w:p w14:paraId="79E66FC3" w14:textId="09B587C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4" w:history="1">
        <w:r w:rsidRPr="00707B4A">
          <w:rPr>
            <w:rStyle w:val="Hyperlink"/>
            <w:rFonts w:asciiTheme="minorHAnsi" w:hAnsiTheme="minorHAnsi" w:cstheme="minorHAnsi"/>
            <w:sz w:val="16"/>
            <w:szCs w:val="16"/>
          </w:rPr>
          <w:t>R.C. 121.22(D)(6)-(7), (9).</w:t>
        </w:r>
      </w:hyperlink>
    </w:p>
  </w:endnote>
  <w:endnote w:id="996">
    <w:p w14:paraId="597E35D9" w14:textId="568B6D60"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05" w:history="1">
        <w:r w:rsidRPr="00707B4A">
          <w:rPr>
            <w:rStyle w:val="Hyperlink"/>
            <w:rFonts w:asciiTheme="minorHAnsi" w:hAnsiTheme="minorHAnsi" w:cstheme="minorHAnsi"/>
            <w:sz w:val="16"/>
            <w:szCs w:val="16"/>
          </w:rPr>
          <w:t>R.C. 121.22(D)(8)(a)</w:t>
        </w:r>
      </w:hyperlink>
      <w:r w:rsidRPr="00707B4A">
        <w:rPr>
          <w:rFonts w:asciiTheme="minorHAnsi" w:hAnsiTheme="minorHAnsi" w:cstheme="minorHAnsi"/>
          <w:sz w:val="16"/>
          <w:szCs w:val="16"/>
        </w:rPr>
        <w:t xml:space="preserve">; </w:t>
      </w:r>
      <w:hyperlink r:id="rId1306" w:history="1">
        <w:r w:rsidRPr="00707B4A">
          <w:rPr>
            <w:rStyle w:val="Hyperlink"/>
            <w:rFonts w:asciiTheme="minorHAnsi" w:hAnsiTheme="minorHAnsi" w:cstheme="minorHAnsi"/>
            <w:sz w:val="16"/>
            <w:szCs w:val="16"/>
          </w:rPr>
          <w:t>R.C. 4729.16(D)</w:t>
        </w:r>
      </w:hyperlink>
      <w:r w:rsidRPr="00707B4A">
        <w:rPr>
          <w:rFonts w:asciiTheme="minorHAnsi" w:hAnsiTheme="minorHAnsi" w:cstheme="minorHAnsi"/>
          <w:sz w:val="16"/>
          <w:szCs w:val="16"/>
        </w:rPr>
        <w:t xml:space="preserve">; </w:t>
      </w:r>
      <w:hyperlink r:id="rId1307" w:history="1">
        <w:r w:rsidRPr="00707B4A">
          <w:rPr>
            <w:rStyle w:val="Hyperlink"/>
            <w:rFonts w:asciiTheme="minorHAnsi" w:hAnsiTheme="minorHAnsi" w:cstheme="minorHAnsi"/>
            <w:sz w:val="16"/>
            <w:szCs w:val="16"/>
          </w:rPr>
          <w:t>R.C. 3796.14(B)</w:t>
        </w:r>
      </w:hyperlink>
      <w:r w:rsidRPr="00707B4A">
        <w:rPr>
          <w:rFonts w:asciiTheme="minorHAnsi" w:hAnsiTheme="minorHAnsi" w:cstheme="minorHAnsi"/>
          <w:sz w:val="16"/>
          <w:szCs w:val="16"/>
        </w:rPr>
        <w:t xml:space="preserve">; </w:t>
      </w:r>
      <w:hyperlink r:id="rId1308" w:history="1">
        <w:r w:rsidRPr="00707B4A">
          <w:rPr>
            <w:rStyle w:val="Hyperlink"/>
            <w:rFonts w:asciiTheme="minorHAnsi" w:hAnsiTheme="minorHAnsi" w:cstheme="minorHAnsi"/>
            <w:sz w:val="16"/>
            <w:szCs w:val="16"/>
          </w:rPr>
          <w:t>R.C. 4752.09(C)</w:t>
        </w:r>
      </w:hyperlink>
      <w:r w:rsidRPr="00707B4A">
        <w:rPr>
          <w:rFonts w:asciiTheme="minorHAnsi" w:hAnsiTheme="minorHAnsi" w:cstheme="minorHAnsi"/>
          <w:sz w:val="16"/>
          <w:szCs w:val="16"/>
        </w:rPr>
        <w:t xml:space="preserve">; </w:t>
      </w:r>
      <w:hyperlink r:id="rId1309" w:history="1">
        <w:r w:rsidRPr="00707B4A">
          <w:rPr>
            <w:rStyle w:val="Hyperlink"/>
            <w:rFonts w:asciiTheme="minorHAnsi" w:hAnsiTheme="minorHAnsi" w:cstheme="minorHAnsi"/>
            <w:sz w:val="16"/>
            <w:szCs w:val="16"/>
          </w:rPr>
          <w:t>R.C.3719.121(B)</w:t>
        </w:r>
      </w:hyperlink>
      <w:r w:rsidRPr="00707B4A">
        <w:rPr>
          <w:rFonts w:asciiTheme="minorHAnsi" w:hAnsiTheme="minorHAnsi" w:cstheme="minorHAnsi"/>
          <w:sz w:val="16"/>
          <w:szCs w:val="16"/>
        </w:rPr>
        <w:t>.</w:t>
      </w:r>
    </w:p>
  </w:endnote>
  <w:endnote w:id="997">
    <w:p w14:paraId="1AF63676" w14:textId="537E18A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310" w:history="1">
        <w:r w:rsidRPr="00707B4A">
          <w:rPr>
            <w:rStyle w:val="Hyperlink"/>
            <w:rFonts w:asciiTheme="minorHAnsi" w:hAnsiTheme="minorHAnsi" w:cstheme="minorHAnsi"/>
            <w:sz w:val="16"/>
            <w:szCs w:val="16"/>
          </w:rPr>
          <w:t xml:space="preserve"> R.C. 121.22(D)(8)(b)</w:t>
        </w:r>
      </w:hyperlink>
      <w:r w:rsidRPr="00707B4A">
        <w:rPr>
          <w:rFonts w:asciiTheme="minorHAnsi" w:hAnsiTheme="minorHAnsi" w:cstheme="minorHAnsi"/>
          <w:sz w:val="16"/>
          <w:szCs w:val="16"/>
        </w:rPr>
        <w:t xml:space="preserve">; </w:t>
      </w:r>
      <w:hyperlink r:id="rId1311" w:history="1">
        <w:r w:rsidRPr="00707B4A">
          <w:rPr>
            <w:rStyle w:val="Hyperlink"/>
            <w:rFonts w:asciiTheme="minorHAnsi" w:hAnsiTheme="minorHAnsi" w:cstheme="minorHAnsi"/>
            <w:sz w:val="16"/>
            <w:szCs w:val="16"/>
          </w:rPr>
          <w:t>R.C. 4729.75</w:t>
        </w:r>
      </w:hyperlink>
      <w:r w:rsidRPr="00707B4A">
        <w:rPr>
          <w:rFonts w:asciiTheme="minorHAnsi" w:hAnsiTheme="minorHAnsi" w:cstheme="minorHAnsi"/>
          <w:sz w:val="16"/>
          <w:szCs w:val="16"/>
        </w:rPr>
        <w:t xml:space="preserve">; </w:t>
      </w:r>
      <w:hyperlink r:id="rId1312" w:history="1">
        <w:r w:rsidRPr="00707B4A">
          <w:rPr>
            <w:rStyle w:val="Hyperlink"/>
            <w:rFonts w:asciiTheme="minorHAnsi" w:hAnsiTheme="minorHAnsi" w:cstheme="minorHAnsi"/>
            <w:sz w:val="16"/>
            <w:szCs w:val="16"/>
          </w:rPr>
          <w:t>R.C. 4729.86(C).</w:t>
        </w:r>
      </w:hyperlink>
    </w:p>
  </w:endnote>
  <w:endnote w:id="998">
    <w:p w14:paraId="185A87ED" w14:textId="6A88BFAE"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3" w:history="1">
        <w:r w:rsidRPr="00707B4A">
          <w:rPr>
            <w:rStyle w:val="Hyperlink"/>
            <w:rFonts w:asciiTheme="minorHAnsi" w:hAnsiTheme="minorHAnsi" w:cstheme="minorHAnsi"/>
            <w:sz w:val="16"/>
            <w:szCs w:val="16"/>
          </w:rPr>
          <w:t>R.C. 121.22(D)(10).</w:t>
        </w:r>
      </w:hyperlink>
    </w:p>
  </w:endnote>
  <w:endnote w:id="999">
    <w:p w14:paraId="641D3AC7" w14:textId="0E882BC7"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4" w:history="1">
        <w:r w:rsidRPr="00707B4A">
          <w:rPr>
            <w:rStyle w:val="Hyperlink"/>
            <w:rFonts w:asciiTheme="minorHAnsi" w:hAnsiTheme="minorHAnsi" w:cstheme="minorHAnsi"/>
            <w:sz w:val="16"/>
            <w:szCs w:val="16"/>
          </w:rPr>
          <w:t>R.C. 121.22(D)(13)-(15)</w:t>
        </w:r>
      </w:hyperlink>
      <w:r w:rsidRPr="00707B4A">
        <w:rPr>
          <w:rFonts w:asciiTheme="minorHAnsi" w:hAnsiTheme="minorHAnsi" w:cstheme="minorHAnsi"/>
          <w:sz w:val="16"/>
          <w:szCs w:val="16"/>
        </w:rPr>
        <w:t xml:space="preserve">; </w:t>
      </w:r>
      <w:hyperlink r:id="rId1315" w:history="1">
        <w:r w:rsidRPr="00707B4A">
          <w:rPr>
            <w:rStyle w:val="Hyperlink"/>
            <w:rFonts w:asciiTheme="minorHAnsi" w:hAnsiTheme="minorHAnsi" w:cstheme="minorHAnsi"/>
            <w:sz w:val="16"/>
            <w:szCs w:val="16"/>
          </w:rPr>
          <w:t>R.C. 4755.11</w:t>
        </w:r>
      </w:hyperlink>
      <w:r w:rsidRPr="00707B4A">
        <w:rPr>
          <w:rFonts w:asciiTheme="minorHAnsi" w:hAnsiTheme="minorHAnsi" w:cstheme="minorHAnsi"/>
          <w:sz w:val="16"/>
          <w:szCs w:val="16"/>
        </w:rPr>
        <w:t xml:space="preserve">; </w:t>
      </w:r>
      <w:hyperlink r:id="rId1316" w:history="1">
        <w:r w:rsidRPr="00707B4A">
          <w:rPr>
            <w:rStyle w:val="Hyperlink"/>
            <w:rFonts w:asciiTheme="minorHAnsi" w:hAnsiTheme="minorHAnsi" w:cstheme="minorHAnsi"/>
            <w:sz w:val="16"/>
            <w:szCs w:val="16"/>
          </w:rPr>
          <w:t>R.C. 4755.47</w:t>
        </w:r>
      </w:hyperlink>
      <w:r w:rsidRPr="00707B4A">
        <w:rPr>
          <w:rFonts w:asciiTheme="minorHAnsi" w:hAnsiTheme="minorHAnsi" w:cstheme="minorHAnsi"/>
          <w:sz w:val="16"/>
          <w:szCs w:val="16"/>
        </w:rPr>
        <w:t xml:space="preserve">; </w:t>
      </w:r>
      <w:hyperlink r:id="rId1317" w:history="1">
        <w:r w:rsidRPr="00707B4A">
          <w:rPr>
            <w:rStyle w:val="Hyperlink"/>
            <w:rFonts w:asciiTheme="minorHAnsi" w:hAnsiTheme="minorHAnsi" w:cstheme="minorHAnsi"/>
            <w:sz w:val="16"/>
            <w:szCs w:val="16"/>
          </w:rPr>
          <w:t>R.C. 4755.64</w:t>
        </w:r>
      </w:hyperlink>
      <w:r w:rsidRPr="00707B4A">
        <w:rPr>
          <w:rFonts w:asciiTheme="minorHAnsi" w:hAnsiTheme="minorHAnsi" w:cstheme="minorHAnsi"/>
          <w:sz w:val="16"/>
          <w:szCs w:val="16"/>
        </w:rPr>
        <w:t>.</w:t>
      </w:r>
    </w:p>
  </w:endnote>
  <w:endnote w:id="1000">
    <w:p w14:paraId="1A7E266F" w14:textId="0B4FEDD3"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8" w:history="1">
        <w:r w:rsidR="00324EF9" w:rsidRPr="00707B4A">
          <w:rPr>
            <w:rStyle w:val="Hyperlink"/>
            <w:rFonts w:asciiTheme="minorHAnsi" w:hAnsiTheme="minorHAnsi" w:cstheme="minorHAnsi"/>
            <w:sz w:val="16"/>
            <w:szCs w:val="16"/>
          </w:rPr>
          <w:t>R.C. 121.22(D)(20)</w:t>
        </w:r>
      </w:hyperlink>
      <w:r w:rsidR="00324EF9" w:rsidRPr="00707B4A">
        <w:rPr>
          <w:rFonts w:asciiTheme="minorHAnsi" w:hAnsiTheme="minorHAnsi" w:cstheme="minorHAnsi"/>
          <w:sz w:val="16"/>
          <w:szCs w:val="16"/>
        </w:rPr>
        <w:t>.</w:t>
      </w:r>
    </w:p>
  </w:endnote>
  <w:endnote w:id="1001">
    <w:p w14:paraId="5064E086" w14:textId="6BDDA161"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19" w:history="1">
        <w:r w:rsidRPr="00707B4A">
          <w:rPr>
            <w:rStyle w:val="Hyperlink"/>
            <w:rFonts w:asciiTheme="minorHAnsi" w:hAnsiTheme="minorHAnsi" w:cstheme="minorHAnsi"/>
            <w:sz w:val="16"/>
            <w:szCs w:val="16"/>
          </w:rPr>
          <w:t>R.C. 121.22(E)</w:t>
        </w:r>
      </w:hyperlink>
      <w:r w:rsidRPr="00707B4A">
        <w:rPr>
          <w:rFonts w:asciiTheme="minorHAnsi" w:hAnsiTheme="minorHAnsi" w:cstheme="minorHAnsi"/>
          <w:sz w:val="16"/>
          <w:szCs w:val="16"/>
        </w:rPr>
        <w:t>.</w:t>
      </w:r>
    </w:p>
  </w:endnote>
  <w:endnote w:id="1002">
    <w:p w14:paraId="490654AA" w14:textId="378FFD9F"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0" w:history="1">
        <w:r w:rsidRPr="00707B4A">
          <w:rPr>
            <w:rStyle w:val="Hyperlink"/>
            <w:rFonts w:asciiTheme="minorHAnsi" w:hAnsiTheme="minorHAnsi" w:cstheme="minorHAnsi"/>
            <w:sz w:val="16"/>
            <w:szCs w:val="16"/>
          </w:rPr>
          <w:t>R.C. 121.22(E)(1)-(5)</w:t>
        </w:r>
      </w:hyperlink>
      <w:r w:rsidRPr="00707B4A">
        <w:rPr>
          <w:rFonts w:asciiTheme="minorHAnsi" w:hAnsiTheme="minorHAnsi" w:cstheme="minorHAnsi"/>
          <w:sz w:val="16"/>
          <w:szCs w:val="16"/>
        </w:rPr>
        <w:t>.</w:t>
      </w:r>
    </w:p>
  </w:endnote>
  <w:endnote w:id="1003">
    <w:p w14:paraId="12EACB63" w14:textId="361F86EE"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1" w:history="1">
        <w:r w:rsidRPr="00707B4A">
          <w:rPr>
            <w:rStyle w:val="Hyperlink"/>
            <w:rFonts w:asciiTheme="minorHAnsi" w:hAnsiTheme="minorHAnsi" w:cstheme="minorHAnsi"/>
            <w:sz w:val="16"/>
            <w:szCs w:val="16"/>
          </w:rPr>
          <w:t>R.C. 1724.11(B)(1)</w:t>
        </w:r>
      </w:hyperlink>
      <w:r w:rsidRPr="00707B4A">
        <w:rPr>
          <w:rFonts w:asciiTheme="minorHAnsi" w:hAnsiTheme="minorHAnsi" w:cstheme="minorHAnsi"/>
          <w:sz w:val="16"/>
          <w:szCs w:val="16"/>
        </w:rPr>
        <w:t xml:space="preserve"> (providing that the board, committee, or subcommittee shall consider no other information during the closed session).</w:t>
      </w:r>
    </w:p>
  </w:endnote>
  <w:endnote w:id="1004">
    <w:p w14:paraId="54894F55" w14:textId="1E430D6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2" w:history="1">
        <w:r w:rsidRPr="00707B4A">
          <w:rPr>
            <w:rStyle w:val="Hyperlink"/>
            <w:rFonts w:asciiTheme="minorHAnsi" w:hAnsiTheme="minorHAnsi" w:cstheme="minorHAnsi"/>
            <w:sz w:val="16"/>
            <w:szCs w:val="16"/>
          </w:rPr>
          <w:t>R.C. 121.22(A), (B)(2), (C)</w:t>
        </w:r>
      </w:hyperlink>
      <w:r w:rsidRPr="00707B4A">
        <w:rPr>
          <w:rFonts w:asciiTheme="minorHAnsi" w:hAnsiTheme="minorHAnsi" w:cstheme="minorHAnsi"/>
          <w:sz w:val="16"/>
          <w:szCs w:val="16"/>
        </w:rPr>
        <w:t>.</w:t>
      </w:r>
    </w:p>
  </w:endnote>
  <w:endnote w:id="1005">
    <w:p w14:paraId="32B55CD3" w14:textId="29E59492"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3" w:history="1">
        <w:r w:rsidRPr="00707B4A">
          <w:rPr>
            <w:rStyle w:val="Hyperlink"/>
            <w:rFonts w:asciiTheme="minorHAnsi" w:hAnsiTheme="minorHAnsi" w:cstheme="minorHAnsi"/>
            <w:sz w:val="16"/>
            <w:szCs w:val="16"/>
          </w:rPr>
          <w:t>R.C. 121.22(B)(2)</w:t>
        </w:r>
      </w:hyperlink>
      <w:r w:rsidRPr="00707B4A">
        <w:rPr>
          <w:rFonts w:asciiTheme="minorHAnsi" w:hAnsiTheme="minorHAnsi" w:cstheme="minorHAnsi"/>
          <w:sz w:val="16"/>
          <w:szCs w:val="16"/>
        </w:rPr>
        <w:t>.</w:t>
      </w:r>
    </w:p>
  </w:endnote>
  <w:endnote w:id="1006">
    <w:p w14:paraId="72B6E889" w14:textId="6D1C6671"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4"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76 Ohio St.3d 540, 544 (1996) (back-to-back, prearranged discussions of city council members constitute a “majority,” but clarifying that the Open Meetings Act does not prohibit impromptu meetings between council members or prearranged member-to-member discussion).</w:t>
      </w:r>
    </w:p>
  </w:endnote>
  <w:endnote w:id="1007">
    <w:p w14:paraId="6E03C076" w14:textId="141458DF"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5" w:history="1">
        <w:r w:rsidRPr="00707B4A">
          <w:rPr>
            <w:rStyle w:val="Hyperlink"/>
            <w:rFonts w:asciiTheme="minorHAnsi" w:hAnsiTheme="minorHAnsi" w:cstheme="minorHAnsi"/>
            <w:i/>
            <w:sz w:val="16"/>
            <w:szCs w:val="16"/>
          </w:rPr>
          <w:t>Haverkos v. Northwest Local School Dist. Bd. of Edn.</w:t>
        </w:r>
      </w:hyperlink>
      <w:r w:rsidRPr="00707B4A">
        <w:rPr>
          <w:rFonts w:asciiTheme="minorHAnsi" w:hAnsiTheme="minorHAnsi" w:cstheme="minorHAnsi"/>
          <w:sz w:val="16"/>
          <w:szCs w:val="16"/>
        </w:rPr>
        <w:t>, 1st Dist. Hamilton Nos. C-040578, C-040589, 2005-Ohio-3489, ¶ 7.</w:t>
      </w:r>
    </w:p>
  </w:endnote>
  <w:endnote w:id="1008">
    <w:p w14:paraId="23F22C2F" w14:textId="79A73AAC" w:rsidR="004F2C69" w:rsidRPr="00707B4A" w:rsidRDefault="004F2C69"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E002FB">
        <w:rPr>
          <w:rFonts w:asciiTheme="minorHAnsi" w:hAnsiTheme="minorHAnsi" w:cstheme="minorHAnsi"/>
          <w:i/>
          <w:iCs/>
          <w:sz w:val="16"/>
          <w:szCs w:val="16"/>
        </w:rPr>
        <w:t xml:space="preserve">State ex rel. Ames v. Portage </w:t>
      </w:r>
      <w:r w:rsidRPr="00E002FB">
        <w:rPr>
          <w:rFonts w:asciiTheme="minorHAnsi" w:hAnsiTheme="minorHAnsi" w:cstheme="minorHAnsi"/>
          <w:i/>
          <w:iCs/>
          <w:sz w:val="16"/>
          <w:szCs w:val="16"/>
        </w:rPr>
        <w:t xml:space="preserve">Cty. Bd. </w:t>
      </w:r>
      <w:r w:rsidR="00C36F4A" w:rsidRPr="00E002FB">
        <w:rPr>
          <w:rFonts w:asciiTheme="minorHAnsi" w:hAnsiTheme="minorHAnsi" w:cstheme="minorHAnsi"/>
          <w:i/>
          <w:iCs/>
          <w:sz w:val="16"/>
          <w:szCs w:val="16"/>
        </w:rPr>
        <w:t>o</w:t>
      </w:r>
      <w:r w:rsidRPr="00E002FB">
        <w:rPr>
          <w:rFonts w:asciiTheme="minorHAnsi" w:hAnsiTheme="minorHAnsi" w:cstheme="minorHAnsi"/>
          <w:i/>
          <w:iCs/>
          <w:sz w:val="16"/>
          <w:szCs w:val="16"/>
        </w:rPr>
        <w:t>f Commrs</w:t>
      </w:r>
      <w:r w:rsidRPr="00707B4A">
        <w:rPr>
          <w:rFonts w:asciiTheme="minorHAnsi" w:hAnsiTheme="minorHAnsi" w:cstheme="minorHAnsi"/>
          <w:sz w:val="16"/>
          <w:szCs w:val="16"/>
        </w:rPr>
        <w:t>., 11th Dist. Portage No. 2023-P-0044, 2024-Ohio-146, ¶ 32-33.</w:t>
      </w:r>
    </w:p>
  </w:endnote>
  <w:endnote w:id="1009">
    <w:p w14:paraId="20FB4FE7" w14:textId="57DA0850"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6" w:history="1">
        <w:r w:rsidRPr="00707B4A">
          <w:rPr>
            <w:rStyle w:val="Hyperlink"/>
            <w:rFonts w:asciiTheme="minorHAnsi" w:hAnsiTheme="minorHAnsi" w:cstheme="minorHAnsi"/>
            <w:i/>
            <w:sz w:val="16"/>
            <w:szCs w:val="16"/>
          </w:rPr>
          <w:t>White v. King</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147 Ohio St.3d 74, 2016-Ohio-2770, ¶ 15-20.</w:t>
      </w:r>
    </w:p>
  </w:endnote>
  <w:endnote w:id="1010">
    <w:p w14:paraId="6243D95C" w14:textId="4AFFA13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7"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Long v. Cardington Village Council</w:t>
        </w:r>
      </w:hyperlink>
      <w:r w:rsidRPr="00707B4A">
        <w:rPr>
          <w:rFonts w:asciiTheme="minorHAnsi" w:hAnsiTheme="minorHAnsi" w:cstheme="minorHAnsi"/>
          <w:sz w:val="16"/>
          <w:szCs w:val="16"/>
        </w:rPr>
        <w:t>, 92 Ohio St.3d 54, 58-59 (2001).</w:t>
      </w:r>
    </w:p>
  </w:endnote>
  <w:endnote w:id="1011">
    <w:p w14:paraId="5FF68C7D" w14:textId="6110AD2D"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28" w:history="1">
        <w:r w:rsidRPr="00707B4A">
          <w:rPr>
            <w:rStyle w:val="Hyperlink"/>
            <w:rFonts w:asciiTheme="minorHAnsi" w:hAnsiTheme="minorHAnsi" w:cstheme="minorHAnsi"/>
            <w:sz w:val="16"/>
            <w:szCs w:val="16"/>
          </w:rPr>
          <w:t>R.C. 121.22(C)</w:t>
        </w:r>
      </w:hyperlink>
      <w:r w:rsidRPr="00707B4A">
        <w:rPr>
          <w:rFonts w:asciiTheme="minorHAnsi" w:hAnsiTheme="minorHAnsi" w:cstheme="minorHAnsi"/>
          <w:sz w:val="16"/>
          <w:szCs w:val="16"/>
        </w:rPr>
        <w:t>.</w:t>
      </w:r>
    </w:p>
  </w:endnote>
  <w:endnote w:id="1012">
    <w:p w14:paraId="10789119" w14:textId="5D04902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00324EF9" w:rsidRPr="00707B4A">
        <w:rPr>
          <w:rFonts w:asciiTheme="minorHAnsi" w:hAnsiTheme="minorHAnsi" w:cstheme="minorHAnsi"/>
          <w:iCs/>
          <w:sz w:val="16"/>
          <w:szCs w:val="16"/>
        </w:rPr>
        <w:t xml:space="preserve">The following are examples of public bodies that have statutory authority </w:t>
      </w:r>
      <w:r w:rsidR="00751188" w:rsidRPr="00707B4A">
        <w:rPr>
          <w:rFonts w:asciiTheme="minorHAnsi" w:hAnsiTheme="minorHAnsi" w:cstheme="minorHAnsi"/>
          <w:iCs/>
          <w:sz w:val="16"/>
          <w:szCs w:val="16"/>
        </w:rPr>
        <w:t xml:space="preserve">to conduct meetings via teleconference, videoconference, or other remote means: </w:t>
      </w:r>
      <w:hyperlink r:id="rId1329" w:history="1">
        <w:r w:rsidR="00751188" w:rsidRPr="00707B4A">
          <w:rPr>
            <w:rStyle w:val="Hyperlink"/>
            <w:rFonts w:asciiTheme="minorHAnsi" w:hAnsiTheme="minorHAnsi" w:cstheme="minorHAnsi"/>
            <w:iCs/>
            <w:sz w:val="16"/>
            <w:szCs w:val="16"/>
          </w:rPr>
          <w:t>R.C. 308.051</w:t>
        </w:r>
      </w:hyperlink>
      <w:r w:rsidR="00751188" w:rsidRPr="00707B4A">
        <w:rPr>
          <w:rFonts w:asciiTheme="minorHAnsi" w:hAnsiTheme="minorHAnsi" w:cstheme="minorHAnsi"/>
          <w:iCs/>
          <w:sz w:val="16"/>
          <w:szCs w:val="16"/>
        </w:rPr>
        <w:t xml:space="preserve"> (board of trustees of a regional airport authority); </w:t>
      </w:r>
      <w:hyperlink r:id="rId1330" w:history="1">
        <w:r w:rsidR="00751188" w:rsidRPr="00707B4A">
          <w:rPr>
            <w:rStyle w:val="Hyperlink"/>
            <w:rFonts w:asciiTheme="minorHAnsi" w:hAnsiTheme="minorHAnsi" w:cstheme="minorHAnsi"/>
            <w:iCs/>
            <w:sz w:val="16"/>
            <w:szCs w:val="16"/>
          </w:rPr>
          <w:t>R.C. 339.02</w:t>
        </w:r>
      </w:hyperlink>
      <w:r w:rsidR="00751188" w:rsidRPr="00707B4A">
        <w:rPr>
          <w:rFonts w:asciiTheme="minorHAnsi" w:hAnsiTheme="minorHAnsi" w:cstheme="minorHAnsi"/>
          <w:iCs/>
          <w:sz w:val="16"/>
          <w:szCs w:val="16"/>
        </w:rPr>
        <w:t xml:space="preserve"> (board of county hospital trustees); </w:t>
      </w:r>
      <w:hyperlink r:id="rId1331" w:history="1">
        <w:r w:rsidR="00751188" w:rsidRPr="00707B4A">
          <w:rPr>
            <w:rStyle w:val="Hyperlink"/>
            <w:rFonts w:asciiTheme="minorHAnsi" w:hAnsiTheme="minorHAnsi" w:cstheme="minorHAnsi"/>
            <w:iCs/>
            <w:sz w:val="16"/>
            <w:szCs w:val="16"/>
          </w:rPr>
          <w:t>R.C. 715.693</w:t>
        </w:r>
      </w:hyperlink>
      <w:r w:rsidR="00751188" w:rsidRPr="00707B4A">
        <w:rPr>
          <w:rFonts w:asciiTheme="minorHAnsi" w:hAnsiTheme="minorHAnsi" w:cstheme="minorHAnsi"/>
          <w:iCs/>
          <w:sz w:val="16"/>
          <w:szCs w:val="16"/>
        </w:rPr>
        <w:t xml:space="preserve"> (board of directors of joint economic development zones); </w:t>
      </w:r>
      <w:hyperlink r:id="rId1332" w:history="1">
        <w:r w:rsidR="00751188" w:rsidRPr="00707B4A">
          <w:rPr>
            <w:rStyle w:val="Hyperlink"/>
            <w:rFonts w:asciiTheme="minorHAnsi" w:hAnsiTheme="minorHAnsi" w:cstheme="minorHAnsi"/>
            <w:iCs/>
            <w:sz w:val="16"/>
            <w:szCs w:val="16"/>
          </w:rPr>
          <w:t>R.C. 940.39(B)</w:t>
        </w:r>
      </w:hyperlink>
      <w:r w:rsidR="00D06977" w:rsidRPr="00707B4A">
        <w:rPr>
          <w:rFonts w:asciiTheme="minorHAnsi" w:hAnsiTheme="minorHAnsi" w:cstheme="minorHAnsi"/>
          <w:iCs/>
          <w:sz w:val="16"/>
          <w:szCs w:val="16"/>
        </w:rPr>
        <w:t xml:space="preserve"> (board of supervisors of a soil and water conservation district; </w:t>
      </w:r>
      <w:hyperlink r:id="rId1333" w:history="1">
        <w:r w:rsidR="00D06977" w:rsidRPr="00707B4A">
          <w:rPr>
            <w:rStyle w:val="Hyperlink"/>
            <w:rFonts w:asciiTheme="minorHAnsi" w:hAnsiTheme="minorHAnsi" w:cstheme="minorHAnsi"/>
            <w:iCs/>
            <w:sz w:val="16"/>
            <w:szCs w:val="16"/>
          </w:rPr>
          <w:t xml:space="preserve">R.C. 3307.091 </w:t>
        </w:r>
      </w:hyperlink>
      <w:r w:rsidR="00D06977" w:rsidRPr="00707B4A">
        <w:rPr>
          <w:rFonts w:asciiTheme="minorHAnsi" w:hAnsiTheme="minorHAnsi" w:cstheme="minorHAnsi"/>
          <w:iCs/>
          <w:sz w:val="16"/>
          <w:szCs w:val="16"/>
        </w:rPr>
        <w:t xml:space="preserve">(State Teachers Retirement Board); </w:t>
      </w:r>
      <w:hyperlink r:id="rId1334" w:history="1">
        <w:r w:rsidR="00D06977" w:rsidRPr="00707B4A">
          <w:rPr>
            <w:rStyle w:val="Hyperlink"/>
            <w:rFonts w:asciiTheme="minorHAnsi" w:hAnsiTheme="minorHAnsi" w:cstheme="minorHAnsi"/>
            <w:iCs/>
            <w:sz w:val="16"/>
            <w:szCs w:val="16"/>
          </w:rPr>
          <w:t>R.C. 3316.05(K)</w:t>
        </w:r>
      </w:hyperlink>
      <w:r w:rsidR="00D06977" w:rsidRPr="00707B4A">
        <w:rPr>
          <w:rFonts w:asciiTheme="minorHAnsi" w:hAnsiTheme="minorHAnsi" w:cstheme="minorHAnsi"/>
          <w:iCs/>
          <w:sz w:val="16"/>
          <w:szCs w:val="16"/>
        </w:rPr>
        <w:t xml:space="preserve"> (school district financial planning and supervision commission); </w:t>
      </w:r>
      <w:hyperlink r:id="rId1335" w:history="1">
        <w:r w:rsidR="00D06977" w:rsidRPr="00707B4A">
          <w:rPr>
            <w:rStyle w:val="Hyperlink"/>
            <w:rFonts w:asciiTheme="minorHAnsi" w:hAnsiTheme="minorHAnsi" w:cstheme="minorHAnsi"/>
            <w:iCs/>
            <w:sz w:val="16"/>
            <w:szCs w:val="16"/>
          </w:rPr>
          <w:t>R.C. 3345.82</w:t>
        </w:r>
      </w:hyperlink>
      <w:r w:rsidR="00D06977" w:rsidRPr="00707B4A">
        <w:rPr>
          <w:rFonts w:asciiTheme="minorHAnsi" w:hAnsiTheme="minorHAnsi" w:cstheme="minorHAnsi"/>
          <w:iCs/>
          <w:sz w:val="16"/>
          <w:szCs w:val="16"/>
        </w:rPr>
        <w:t xml:space="preserve"> (board of trustees of a state institution of higher education); </w:t>
      </w:r>
      <w:hyperlink r:id="rId1336" w:history="1">
        <w:r w:rsidR="00D06977" w:rsidRPr="00707B4A">
          <w:rPr>
            <w:rStyle w:val="Hyperlink"/>
            <w:rFonts w:asciiTheme="minorHAnsi" w:hAnsiTheme="minorHAnsi" w:cstheme="minorHAnsi"/>
            <w:iCs/>
            <w:sz w:val="16"/>
            <w:szCs w:val="16"/>
          </w:rPr>
          <w:t>R.C. 4517.35</w:t>
        </w:r>
      </w:hyperlink>
      <w:r w:rsidR="00D06977" w:rsidRPr="00707B4A">
        <w:rPr>
          <w:rFonts w:asciiTheme="minorHAnsi" w:hAnsiTheme="minorHAnsi" w:cstheme="minorHAnsi"/>
          <w:iCs/>
          <w:sz w:val="16"/>
          <w:szCs w:val="16"/>
        </w:rPr>
        <w:t xml:space="preserve"> (motor vehicle dealers board); R.C. </w:t>
      </w:r>
      <w:hyperlink r:id="rId1337" w:history="1">
        <w:r w:rsidR="00D06977" w:rsidRPr="00707B4A">
          <w:rPr>
            <w:rStyle w:val="Hyperlink"/>
            <w:rFonts w:asciiTheme="minorHAnsi" w:hAnsiTheme="minorHAnsi" w:cstheme="minorHAnsi"/>
            <w:iCs/>
            <w:sz w:val="16"/>
            <w:szCs w:val="16"/>
          </w:rPr>
          <w:t>4582.60(A)</w:t>
        </w:r>
      </w:hyperlink>
      <w:r w:rsidR="00D06977" w:rsidRPr="00707B4A">
        <w:rPr>
          <w:rFonts w:asciiTheme="minorHAnsi" w:hAnsiTheme="minorHAnsi" w:cstheme="minorHAnsi"/>
          <w:iCs/>
          <w:sz w:val="16"/>
          <w:szCs w:val="16"/>
        </w:rPr>
        <w:t xml:space="preserve"> (board of directors of a port authority); </w:t>
      </w:r>
      <w:hyperlink r:id="rId1338" w:history="1">
        <w:r w:rsidR="00D06977" w:rsidRPr="00707B4A">
          <w:rPr>
            <w:rStyle w:val="Hyperlink"/>
            <w:rFonts w:asciiTheme="minorHAnsi" w:hAnsiTheme="minorHAnsi" w:cstheme="minorHAnsi"/>
            <w:iCs/>
            <w:sz w:val="16"/>
            <w:szCs w:val="16"/>
          </w:rPr>
          <w:t>R.C. 5123.35(F)</w:t>
        </w:r>
      </w:hyperlink>
      <w:r w:rsidR="00D06977" w:rsidRPr="00707B4A">
        <w:rPr>
          <w:rFonts w:asciiTheme="minorHAnsi" w:hAnsiTheme="minorHAnsi" w:cstheme="minorHAnsi"/>
          <w:iCs/>
          <w:sz w:val="16"/>
          <w:szCs w:val="16"/>
        </w:rPr>
        <w:t xml:space="preserve"> (developmental disabilities council); </w:t>
      </w:r>
      <w:hyperlink r:id="rId1339" w:history="1">
        <w:r w:rsidR="00D06977" w:rsidRPr="00707B4A">
          <w:rPr>
            <w:rStyle w:val="Hyperlink"/>
            <w:rFonts w:asciiTheme="minorHAnsi" w:hAnsiTheme="minorHAnsi" w:cstheme="minorHAnsi"/>
            <w:iCs/>
            <w:sz w:val="16"/>
            <w:szCs w:val="16"/>
          </w:rPr>
          <w:t>R.C. 5126.0223</w:t>
        </w:r>
      </w:hyperlink>
      <w:r w:rsidR="00E25922" w:rsidRPr="00707B4A">
        <w:rPr>
          <w:rFonts w:asciiTheme="minorHAnsi" w:hAnsiTheme="minorHAnsi" w:cstheme="minorHAnsi"/>
          <w:iCs/>
          <w:sz w:val="16"/>
          <w:szCs w:val="16"/>
        </w:rPr>
        <w:t xml:space="preserve"> (county board of developmental disabilities); </w:t>
      </w:r>
      <w:hyperlink r:id="rId1340" w:history="1">
        <w:r w:rsidR="00E25922" w:rsidRPr="00707B4A">
          <w:rPr>
            <w:rStyle w:val="Hyperlink"/>
            <w:rFonts w:asciiTheme="minorHAnsi" w:hAnsiTheme="minorHAnsi" w:cstheme="minorHAnsi"/>
            <w:iCs/>
            <w:sz w:val="16"/>
            <w:szCs w:val="16"/>
          </w:rPr>
          <w:t>R.C. 6133.041(A)</w:t>
        </w:r>
      </w:hyperlink>
      <w:r w:rsidR="00E25922" w:rsidRPr="00707B4A">
        <w:rPr>
          <w:rFonts w:asciiTheme="minorHAnsi" w:hAnsiTheme="minorHAnsi" w:cstheme="minorHAnsi"/>
          <w:iCs/>
          <w:sz w:val="16"/>
          <w:szCs w:val="16"/>
        </w:rPr>
        <w:t xml:space="preserve"> (joint board of county commissioners of joint county ditches).</w:t>
      </w:r>
      <w:r w:rsidR="000461AE">
        <w:rPr>
          <w:rFonts w:asciiTheme="minorHAnsi" w:hAnsiTheme="minorHAnsi" w:cstheme="minorHAnsi"/>
          <w:iCs/>
          <w:sz w:val="16"/>
          <w:szCs w:val="16"/>
        </w:rPr>
        <w:t xml:space="preserve"> NOTE: this list is not exhaustive, consult with legal counsel or conduct independent legal research to determine if a specific public body has statutory authority to meet via remote means.</w:t>
      </w:r>
    </w:p>
  </w:endnote>
  <w:endnote w:id="1013">
    <w:p w14:paraId="01A783A9" w14:textId="510206C5"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1"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xml:space="preserve">, 76 Ohio St.3d 540, 544 (1996) (“[The Open Meetings Act] does not prohibit member-to-member prearranged discussions.”); </w:t>
      </w:r>
      <w:hyperlink r:id="rId1342" w:history="1">
        <w:r w:rsidRPr="00707B4A">
          <w:rPr>
            <w:rStyle w:val="Hyperlink"/>
            <w:rFonts w:asciiTheme="minorHAnsi" w:hAnsiTheme="minorHAnsi" w:cstheme="minorHAnsi"/>
            <w:i/>
            <w:sz w:val="16"/>
            <w:szCs w:val="16"/>
          </w:rPr>
          <w:t>Haverkos v. Northwest Local School Dist. Bd. of Edn.</w:t>
        </w:r>
      </w:hyperlink>
      <w:r w:rsidRPr="00707B4A">
        <w:rPr>
          <w:rFonts w:asciiTheme="minorHAnsi" w:hAnsiTheme="minorHAnsi" w:cstheme="minorHAnsi"/>
          <w:sz w:val="16"/>
          <w:szCs w:val="16"/>
        </w:rPr>
        <w:t>, 1st Dist. Hamilton Nos. C-040578, C-040589, 2005-Ohio-3489, ¶ 11 (a spontaneous telephone call from one board member to another to discuss election politics, not school board business, did not violate the Open Meetings Act).</w:t>
      </w:r>
    </w:p>
  </w:endnote>
  <w:endnote w:id="1014">
    <w:p w14:paraId="1272982E" w14:textId="1C8ED618"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3"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76 Ohio St.3d 540, 543 (1996)</w:t>
      </w:r>
      <w:r w:rsidR="00E25922" w:rsidRPr="00707B4A">
        <w:rPr>
          <w:rFonts w:asciiTheme="minorHAnsi" w:hAnsiTheme="minorHAnsi" w:cstheme="minorHAnsi"/>
          <w:sz w:val="16"/>
          <w:szCs w:val="16"/>
        </w:rPr>
        <w:t xml:space="preserve"> (city council members had a “meeting” for purposes of the Open Meetings Act when it held back-to-back, prearranged discussions of public business)</w:t>
      </w:r>
      <w:r w:rsidRPr="00707B4A">
        <w:rPr>
          <w:rFonts w:asciiTheme="minorHAnsi" w:hAnsiTheme="minorHAnsi" w:cstheme="minorHAnsi"/>
          <w:sz w:val="16"/>
          <w:szCs w:val="16"/>
        </w:rPr>
        <w:t>.</w:t>
      </w:r>
    </w:p>
  </w:endnote>
  <w:endnote w:id="1015">
    <w:p w14:paraId="5144CF83" w14:textId="4127256C"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4" w:history="1">
        <w:r w:rsidRPr="00707B4A">
          <w:rPr>
            <w:rStyle w:val="Hyperlink"/>
            <w:rFonts w:asciiTheme="minorHAnsi" w:hAnsiTheme="minorHAnsi" w:cstheme="minorHAnsi"/>
            <w:i/>
            <w:sz w:val="16"/>
            <w:szCs w:val="16"/>
          </w:rPr>
          <w:t>State ex rel. Cincinnati Post v. Cincinnati</w:t>
        </w:r>
      </w:hyperlink>
      <w:r w:rsidRPr="00707B4A">
        <w:rPr>
          <w:rFonts w:asciiTheme="minorHAnsi" w:hAnsiTheme="minorHAnsi" w:cstheme="minorHAnsi"/>
          <w:sz w:val="16"/>
          <w:szCs w:val="16"/>
        </w:rPr>
        <w:t xml:space="preserve">, 76 Ohio St.3d 540, 542-44 (1996) (noting the purpose of the Open Meetings Act is to prevent a game of “musical chairs” in which elected officials contrive to meet secretly to deliberate on public issues without accountability to the public); </w:t>
      </w:r>
      <w:r w:rsidRPr="00707B4A">
        <w:rPr>
          <w:rFonts w:asciiTheme="minorHAnsi" w:hAnsiTheme="minorHAnsi" w:cstheme="minorHAnsi"/>
          <w:i/>
          <w:sz w:val="16"/>
          <w:szCs w:val="16"/>
        </w:rPr>
        <w:t>State ex rel.</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Floyd v. Rock Hill Local School Bd. of </w:t>
      </w:r>
      <w:r w:rsidRPr="00707B4A">
        <w:rPr>
          <w:rFonts w:asciiTheme="minorHAnsi" w:hAnsiTheme="minorHAnsi" w:cstheme="minorHAnsi"/>
          <w:i/>
          <w:sz w:val="16"/>
          <w:szCs w:val="16"/>
        </w:rPr>
        <w:t>Edn.</w:t>
      </w:r>
      <w:r w:rsidRPr="00707B4A">
        <w:rPr>
          <w:rFonts w:asciiTheme="minorHAnsi" w:hAnsiTheme="minorHAnsi" w:cstheme="minorHAnsi"/>
          <w:sz w:val="16"/>
          <w:szCs w:val="16"/>
        </w:rPr>
        <w:t xml:space="preserve">, 4th Dist. Lawrence No. 1862, 1988 Ohio App. LEXIS 471, *4, 13-16 (Feb. 10, 1988) (school board president improperly discussed and deliberated dismissal of principal with other board members in multiple one-on-one conversations, and came to next meeting with letter of non-renewal ready for superintendent to deliver to principal, which the board voted to approve without discussion); </w:t>
      </w:r>
      <w:r w:rsidR="00E25922" w:rsidRPr="00707B4A">
        <w:rPr>
          <w:rFonts w:asciiTheme="minorHAnsi" w:hAnsiTheme="minorHAnsi" w:cstheme="minorHAnsi"/>
          <w:i/>
          <w:iCs/>
          <w:sz w:val="16"/>
          <w:szCs w:val="16"/>
        </w:rPr>
        <w:t>but see</w:t>
      </w:r>
      <w:r w:rsidR="00E25922" w:rsidRPr="00707B4A">
        <w:rPr>
          <w:rFonts w:asciiTheme="minorHAnsi" w:hAnsiTheme="minorHAnsi" w:cstheme="minorHAnsi"/>
          <w:sz w:val="16"/>
          <w:szCs w:val="16"/>
        </w:rPr>
        <w:t xml:space="preserve"> </w:t>
      </w:r>
      <w:hyperlink r:id="rId1345" w:history="1">
        <w:r w:rsidRPr="00707B4A">
          <w:rPr>
            <w:rStyle w:val="Hyperlink"/>
            <w:rFonts w:asciiTheme="minorHAnsi" w:hAnsiTheme="minorHAnsi" w:cstheme="minorHAnsi"/>
            <w:i/>
            <w:sz w:val="16"/>
            <w:szCs w:val="16"/>
          </w:rPr>
          <w:t>Wilkins v. Harrisburg</w:t>
        </w:r>
      </w:hyperlink>
      <w:r w:rsidRPr="00707B4A">
        <w:rPr>
          <w:rFonts w:asciiTheme="minorHAnsi" w:hAnsiTheme="minorHAnsi" w:cstheme="minorHAnsi"/>
          <w:sz w:val="16"/>
          <w:szCs w:val="16"/>
        </w:rPr>
        <w:t>, 10th Dist. Franklin No. 12AP-1046, 2013-Ohio-2751 (two presentations were not serial meetings whe</w:t>
      </w:r>
      <w:r w:rsidR="000461AE">
        <w:rPr>
          <w:rFonts w:asciiTheme="minorHAnsi" w:hAnsiTheme="minorHAnsi" w:cstheme="minorHAnsi"/>
          <w:sz w:val="16"/>
          <w:szCs w:val="16"/>
        </w:rPr>
        <w:t>n</w:t>
      </w:r>
      <w:r w:rsidRPr="00707B4A">
        <w:rPr>
          <w:rFonts w:asciiTheme="minorHAnsi" w:hAnsiTheme="minorHAnsi" w:cstheme="minorHAnsi"/>
          <w:sz w:val="16"/>
          <w:szCs w:val="16"/>
        </w:rPr>
        <w:t xml:space="preserve"> the gatherings were separated by two months, the presentations were discussed at regularly scheduled meetings, and a regularly scheduled meeting was held between the two presentations).</w:t>
      </w:r>
    </w:p>
  </w:endnote>
  <w:endnote w:id="1016">
    <w:p w14:paraId="57D9BFC6" w14:textId="48B10EA4"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6" w:history="1">
        <w:r w:rsidRPr="00707B4A">
          <w:rPr>
            <w:rStyle w:val="Hyperlink"/>
            <w:rFonts w:asciiTheme="minorHAnsi" w:hAnsiTheme="minorHAnsi" w:cstheme="minorHAnsi"/>
            <w:i/>
            <w:sz w:val="16"/>
            <w:szCs w:val="16"/>
          </w:rPr>
          <w:t>White v. King</w:t>
        </w:r>
      </w:hyperlink>
      <w:r w:rsidRPr="00707B4A">
        <w:rPr>
          <w:rFonts w:asciiTheme="minorHAnsi" w:hAnsiTheme="minorHAnsi" w:cstheme="minorHAnsi"/>
          <w:sz w:val="16"/>
          <w:szCs w:val="16"/>
        </w:rPr>
        <w:t>, 147 Ohio St.3d 74, 2016-Ohio-2770, ¶ 16-18 (“Allowing public bodies to avoid the requirements of the Open Meetings Act by discussing public business via serial electronic communications subverts the purpose of the act.”).</w:t>
      </w:r>
    </w:p>
  </w:endnote>
  <w:endnote w:id="1017">
    <w:p w14:paraId="579EF5BB" w14:textId="2466364B"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7" w:history="1">
        <w:r w:rsidRPr="00707B4A">
          <w:rPr>
            <w:rStyle w:val="Hyperlink"/>
            <w:rFonts w:asciiTheme="minorHAnsi" w:hAnsiTheme="minorHAnsi" w:cstheme="minorHAnsi"/>
            <w:sz w:val="16"/>
            <w:szCs w:val="16"/>
          </w:rPr>
          <w:t>R.C. 121.22(A</w:t>
        </w:r>
        <w:r w:rsidR="000461AE">
          <w:rPr>
            <w:rStyle w:val="Hyperlink"/>
            <w:rFonts w:asciiTheme="minorHAnsi" w:hAnsiTheme="minorHAnsi" w:cstheme="minorHAnsi"/>
            <w:sz w:val="16"/>
            <w:szCs w:val="16"/>
          </w:rPr>
          <w:t>), (B)(2), (C</w:t>
        </w:r>
        <w:r w:rsidRPr="00707B4A">
          <w:rPr>
            <w:rStyle w:val="Hyperlink"/>
            <w:rFonts w:asciiTheme="minorHAnsi" w:hAnsiTheme="minorHAnsi" w:cstheme="minorHAnsi"/>
            <w:sz w:val="16"/>
            <w:szCs w:val="16"/>
          </w:rPr>
          <w:t>)</w:t>
        </w:r>
      </w:hyperlink>
      <w:r w:rsidRPr="00707B4A">
        <w:rPr>
          <w:rFonts w:asciiTheme="minorHAnsi" w:hAnsiTheme="minorHAnsi" w:cstheme="minorHAnsi"/>
          <w:sz w:val="16"/>
          <w:szCs w:val="16"/>
        </w:rPr>
        <w:t>.</w:t>
      </w:r>
    </w:p>
  </w:endnote>
  <w:endnote w:id="1018">
    <w:p w14:paraId="0845E8DE" w14:textId="503CC36A"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DeVere v. Miami Univ. Bd. of Trustees</w:t>
      </w:r>
      <w:r w:rsidRPr="00707B4A">
        <w:rPr>
          <w:rFonts w:asciiTheme="minorHAnsi" w:hAnsiTheme="minorHAnsi" w:cstheme="minorHAnsi"/>
          <w:sz w:val="16"/>
          <w:szCs w:val="16"/>
        </w:rPr>
        <w:t>, 12th Dist. Butler No. CA85-05-065, 1986 Ohio App. LEXIS 7171</w:t>
      </w:r>
      <w:r w:rsidR="00E25922" w:rsidRPr="00707B4A">
        <w:rPr>
          <w:rFonts w:asciiTheme="minorHAnsi" w:hAnsiTheme="minorHAnsi" w:cstheme="minorHAnsi"/>
          <w:sz w:val="16"/>
          <w:szCs w:val="16"/>
        </w:rPr>
        <w:t>, *10</w:t>
      </w:r>
      <w:r w:rsidRPr="00707B4A">
        <w:rPr>
          <w:rFonts w:asciiTheme="minorHAnsi" w:hAnsiTheme="minorHAnsi" w:cstheme="minorHAnsi"/>
          <w:sz w:val="16"/>
          <w:szCs w:val="16"/>
        </w:rPr>
        <w:t xml:space="preserve"> (June 10, 1986)</w:t>
      </w:r>
      <w:r w:rsidR="00E25922" w:rsidRPr="00707B4A">
        <w:rPr>
          <w:rFonts w:asciiTheme="minorHAnsi" w:hAnsiTheme="minorHAnsi" w:cstheme="minorHAnsi"/>
          <w:sz w:val="16"/>
          <w:szCs w:val="16"/>
        </w:rPr>
        <w:t xml:space="preserve"> (no discussion of public business when board president simply conveyed information to the board and there was no exchange of words, </w:t>
      </w:r>
      <w:r w:rsidR="00B051BB" w:rsidRPr="00707B4A">
        <w:rPr>
          <w:rFonts w:asciiTheme="minorHAnsi" w:hAnsiTheme="minorHAnsi" w:cstheme="minorHAnsi"/>
          <w:sz w:val="16"/>
          <w:szCs w:val="16"/>
        </w:rPr>
        <w:t>comments,</w:t>
      </w:r>
      <w:r w:rsidR="00E25922" w:rsidRPr="00707B4A">
        <w:rPr>
          <w:rFonts w:asciiTheme="minorHAnsi" w:hAnsiTheme="minorHAnsi" w:cstheme="minorHAnsi"/>
          <w:sz w:val="16"/>
          <w:szCs w:val="16"/>
        </w:rPr>
        <w:t xml:space="preserve"> or ideas)</w:t>
      </w:r>
      <w:r w:rsidRPr="00707B4A">
        <w:rPr>
          <w:rFonts w:asciiTheme="minorHAnsi" w:hAnsiTheme="minorHAnsi" w:cstheme="minorHAnsi"/>
          <w:sz w:val="16"/>
          <w:szCs w:val="16"/>
        </w:rPr>
        <w:t>.</w:t>
      </w:r>
    </w:p>
  </w:endnote>
  <w:endnote w:id="1019">
    <w:p w14:paraId="7D034FA2" w14:textId="34A9AFD2"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8" w:history="1">
        <w:r w:rsidR="00B051BB" w:rsidRPr="00C36F4A">
          <w:rPr>
            <w:rStyle w:val="Hyperlink"/>
            <w:rFonts w:asciiTheme="minorHAnsi" w:hAnsiTheme="minorHAnsi" w:cstheme="minorHAnsi"/>
            <w:i/>
            <w:sz w:val="16"/>
            <w:szCs w:val="16"/>
          </w:rPr>
          <w:t>State ex rel. Mohr v. Colerain Twp</w:t>
        </w:r>
      </w:hyperlink>
      <w:r w:rsidR="00B051BB" w:rsidRPr="00B051BB">
        <w:rPr>
          <w:rFonts w:asciiTheme="minorHAnsi" w:hAnsiTheme="minorHAnsi" w:cstheme="minorHAnsi"/>
          <w:iCs/>
          <w:sz w:val="16"/>
          <w:szCs w:val="16"/>
        </w:rPr>
        <w:t xml:space="preserve">., </w:t>
      </w:r>
      <w:r w:rsidR="00B051BB">
        <w:rPr>
          <w:rFonts w:asciiTheme="minorHAnsi" w:hAnsiTheme="minorHAnsi" w:cstheme="minorHAnsi"/>
          <w:iCs/>
          <w:sz w:val="16"/>
          <w:szCs w:val="16"/>
        </w:rPr>
        <w:t xml:space="preserve">1st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2022-Ohio-1109</w:t>
      </w:r>
      <w:r w:rsidR="00B051BB">
        <w:rPr>
          <w:rFonts w:asciiTheme="minorHAnsi" w:hAnsiTheme="minorHAnsi" w:cstheme="minorHAnsi"/>
          <w:sz w:val="16"/>
          <w:szCs w:val="16"/>
        </w:rPr>
        <w:t>,</w:t>
      </w:r>
      <w:r w:rsidRPr="00707B4A">
        <w:rPr>
          <w:rFonts w:asciiTheme="minorHAnsi" w:hAnsiTheme="minorHAnsi" w:cstheme="minorHAnsi"/>
          <w:sz w:val="16"/>
          <w:szCs w:val="16"/>
        </w:rPr>
        <w:t xml:space="preserve"> ¶ 39.</w:t>
      </w:r>
    </w:p>
  </w:endnote>
  <w:endnote w:id="1020">
    <w:p w14:paraId="0312E288" w14:textId="2F61DCCD"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State ex rel. Ames v. Brimfield Twp. Bd. of Trustees, </w:t>
      </w:r>
      <w:r w:rsidRPr="00707B4A">
        <w:rPr>
          <w:rFonts w:asciiTheme="minorHAnsi" w:hAnsiTheme="minorHAnsi" w:cstheme="minorHAnsi"/>
          <w:sz w:val="16"/>
          <w:szCs w:val="16"/>
        </w:rPr>
        <w:t xml:space="preserve">11th Dist. Portage No. 2019-P-0018, 2019-Ohio-5311, ¶ </w:t>
      </w:r>
      <w:r w:rsidR="00C36DBA" w:rsidRPr="00707B4A">
        <w:rPr>
          <w:rFonts w:asciiTheme="minorHAnsi" w:hAnsiTheme="minorHAnsi" w:cstheme="minorHAnsi"/>
          <w:sz w:val="16"/>
          <w:szCs w:val="16"/>
        </w:rPr>
        <w:t>13-</w:t>
      </w:r>
      <w:r w:rsidRPr="00707B4A">
        <w:rPr>
          <w:rFonts w:asciiTheme="minorHAnsi" w:hAnsiTheme="minorHAnsi" w:cstheme="minorHAnsi"/>
          <w:sz w:val="16"/>
          <w:szCs w:val="16"/>
        </w:rPr>
        <w:t xml:space="preserve">15. </w:t>
      </w:r>
    </w:p>
  </w:endnote>
  <w:endnote w:id="1021">
    <w:p w14:paraId="06892572" w14:textId="77777777"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49" w:history="1">
        <w:r w:rsidRPr="00707B4A">
          <w:rPr>
            <w:rStyle w:val="Hyperlink"/>
            <w:rFonts w:asciiTheme="minorHAnsi" w:hAnsiTheme="minorHAnsi" w:cstheme="minorHAnsi"/>
            <w:i/>
            <w:sz w:val="16"/>
            <w:szCs w:val="16"/>
          </w:rPr>
          <w:t>Piekutowski v. S. Cent. Ohio Edn. Serv. Ctr. Governing Bd.</w:t>
        </w:r>
      </w:hyperlink>
      <w:r w:rsidRPr="00707B4A">
        <w:rPr>
          <w:rFonts w:asciiTheme="minorHAnsi" w:hAnsiTheme="minorHAnsi" w:cstheme="minorHAnsi"/>
          <w:sz w:val="16"/>
          <w:szCs w:val="16"/>
        </w:rPr>
        <w:t>, 161 Ohio App.3d 372, 2005-Ohio-2868, ¶ 14 (4th Dist.).</w:t>
      </w:r>
    </w:p>
  </w:endnote>
  <w:endnote w:id="1022">
    <w:p w14:paraId="566E3612" w14:textId="0A2A7A59"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0" w:history="1">
        <w:r w:rsidRPr="00707B4A">
          <w:rPr>
            <w:rStyle w:val="Hyperlink"/>
            <w:rFonts w:asciiTheme="minorHAnsi" w:hAnsiTheme="minorHAnsi" w:cstheme="minorHAnsi"/>
            <w:i/>
            <w:sz w:val="16"/>
            <w:szCs w:val="16"/>
          </w:rPr>
          <w:t>White v. King</w:t>
        </w:r>
      </w:hyperlink>
      <w:r w:rsidRPr="00707B4A">
        <w:rPr>
          <w:rFonts w:asciiTheme="minorHAnsi" w:hAnsiTheme="minorHAnsi" w:cstheme="minorHAnsi"/>
          <w:sz w:val="16"/>
          <w:szCs w:val="16"/>
        </w:rPr>
        <w:t xml:space="preserve">, 147 Ohio St.3d 74, 2016-Ohio-2770, ¶ 16; </w:t>
      </w:r>
      <w:hyperlink r:id="rId1351" w:history="1">
        <w:r w:rsidR="00B051BB" w:rsidRPr="00C36F4A">
          <w:rPr>
            <w:rStyle w:val="Hyperlink"/>
            <w:rFonts w:asciiTheme="minorHAnsi" w:hAnsiTheme="minorHAnsi" w:cstheme="minorHAnsi"/>
            <w:i/>
            <w:sz w:val="16"/>
            <w:szCs w:val="16"/>
          </w:rPr>
          <w:t>State ex rel. Mohr v. Colerain Twp</w:t>
        </w:r>
      </w:hyperlink>
      <w:r w:rsidR="00B051BB" w:rsidRPr="00B051BB">
        <w:rPr>
          <w:rFonts w:asciiTheme="minorHAnsi" w:hAnsiTheme="minorHAnsi" w:cstheme="minorHAnsi"/>
          <w:iCs/>
          <w:sz w:val="16"/>
          <w:szCs w:val="16"/>
        </w:rPr>
        <w:t xml:space="preserve">., </w:t>
      </w:r>
      <w:r w:rsidR="00B051BB">
        <w:rPr>
          <w:rFonts w:asciiTheme="minorHAnsi" w:hAnsiTheme="minorHAnsi" w:cstheme="minorHAnsi"/>
          <w:iCs/>
          <w:sz w:val="16"/>
          <w:szCs w:val="16"/>
        </w:rPr>
        <w:t xml:space="preserve">1st Dist. Hamilton </w:t>
      </w:r>
      <w:r w:rsidR="00B051BB" w:rsidRPr="00B051BB">
        <w:rPr>
          <w:rFonts w:asciiTheme="minorHAnsi" w:hAnsiTheme="minorHAnsi" w:cstheme="minorHAnsi"/>
          <w:iCs/>
          <w:sz w:val="16"/>
          <w:szCs w:val="16"/>
        </w:rPr>
        <w:t>N</w:t>
      </w:r>
      <w:r w:rsidR="00B051BB">
        <w:rPr>
          <w:rFonts w:asciiTheme="minorHAnsi" w:hAnsiTheme="minorHAnsi" w:cstheme="minorHAnsi"/>
          <w:iCs/>
          <w:sz w:val="16"/>
          <w:szCs w:val="16"/>
        </w:rPr>
        <w:t>o</w:t>
      </w:r>
      <w:r w:rsidR="00B051BB" w:rsidRPr="00B051BB">
        <w:rPr>
          <w:rFonts w:asciiTheme="minorHAnsi" w:hAnsiTheme="minorHAnsi" w:cstheme="minorHAnsi"/>
          <w:iCs/>
          <w:sz w:val="16"/>
          <w:szCs w:val="16"/>
        </w:rPr>
        <w:t>. C-210369</w:t>
      </w:r>
      <w:r w:rsidR="00B051BB">
        <w:rPr>
          <w:rFonts w:asciiTheme="minorHAnsi" w:hAnsiTheme="minorHAnsi" w:cstheme="minorHAnsi"/>
          <w:iCs/>
          <w:sz w:val="16"/>
          <w:szCs w:val="16"/>
        </w:rPr>
        <w:t xml:space="preserve">, </w:t>
      </w:r>
      <w:r w:rsidRPr="00707B4A">
        <w:rPr>
          <w:rFonts w:asciiTheme="minorHAnsi" w:hAnsiTheme="minorHAnsi" w:cstheme="minorHAnsi"/>
          <w:sz w:val="16"/>
          <w:szCs w:val="16"/>
        </w:rPr>
        <w:t>2022-Ohio-1109, ¶ 39.</w:t>
      </w:r>
    </w:p>
  </w:endnote>
  <w:endnote w:id="1023">
    <w:p w14:paraId="5D1D2F16" w14:textId="77777777"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Holeski v. Lawrence</w:t>
      </w:r>
      <w:r w:rsidRPr="00707B4A">
        <w:rPr>
          <w:rFonts w:asciiTheme="minorHAnsi" w:hAnsiTheme="minorHAnsi" w:cstheme="minorHAnsi"/>
          <w:sz w:val="16"/>
          <w:szCs w:val="16"/>
        </w:rPr>
        <w:t>, 85 Ohio App.3d 824, 829 (11th Dist. 1993).</w:t>
      </w:r>
    </w:p>
  </w:endnote>
  <w:endnote w:id="1024">
    <w:p w14:paraId="43A458C0" w14:textId="555452C9" w:rsidR="002F23BE" w:rsidRPr="00707B4A" w:rsidRDefault="002F23BE" w:rsidP="00562FA8">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2" w:history="1">
        <w:r w:rsidRPr="00707B4A">
          <w:rPr>
            <w:rStyle w:val="Hyperlink"/>
            <w:rFonts w:asciiTheme="minorHAnsi" w:hAnsiTheme="minorHAnsi" w:cstheme="minorHAnsi"/>
            <w:i/>
            <w:sz w:val="16"/>
            <w:szCs w:val="16"/>
          </w:rPr>
          <w:t xml:space="preserve">State ex rel. Ames v. Portage </w:t>
        </w:r>
        <w:r w:rsidRPr="00707B4A">
          <w:rPr>
            <w:rStyle w:val="Hyperlink"/>
            <w:rFonts w:asciiTheme="minorHAnsi" w:hAnsiTheme="minorHAnsi" w:cstheme="minorHAnsi"/>
            <w:i/>
            <w:sz w:val="16"/>
            <w:szCs w:val="16"/>
          </w:rPr>
          <w:t>Cty. Bd. of Commrs.</w:t>
        </w:r>
      </w:hyperlink>
      <w:r w:rsidRPr="00707B4A">
        <w:rPr>
          <w:rFonts w:asciiTheme="minorHAnsi" w:hAnsiTheme="minorHAnsi" w:cstheme="minorHAnsi"/>
          <w:sz w:val="16"/>
          <w:szCs w:val="16"/>
        </w:rPr>
        <w:t>, 11th Dist. Portage No. 2017-P-0093, 2018-Ohio-2888, ¶ 25 (no deliberations occurred when the evidence established that the public body convened for informational purposes, and the members did not “exchange[] any ideas amongst one another”);</w:t>
      </w:r>
      <w:r w:rsidRPr="00707B4A">
        <w:rPr>
          <w:rFonts w:asciiTheme="minorHAnsi" w:hAnsiTheme="minorHAnsi" w:cstheme="minorHAnsi"/>
          <w:i/>
          <w:sz w:val="16"/>
          <w:szCs w:val="16"/>
        </w:rPr>
        <w:t xml:space="preserve"> </w:t>
      </w:r>
      <w:hyperlink r:id="rId1353" w:history="1">
        <w:r w:rsidRPr="00707B4A">
          <w:rPr>
            <w:rStyle w:val="Hyperlink"/>
            <w:rFonts w:asciiTheme="minorHAnsi" w:hAnsiTheme="minorHAnsi" w:cstheme="minorHAnsi"/>
            <w:i/>
            <w:sz w:val="16"/>
            <w:szCs w:val="16"/>
          </w:rPr>
          <w:t>Piekutowski v. S. Cent. Ohio Edn. Serv. Ctr. Governing Bd.</w:t>
        </w:r>
      </w:hyperlink>
      <w:r w:rsidRPr="00707B4A">
        <w:rPr>
          <w:rFonts w:asciiTheme="minorHAnsi" w:hAnsiTheme="minorHAnsi" w:cstheme="minorHAnsi"/>
          <w:sz w:val="16"/>
          <w:szCs w:val="16"/>
        </w:rPr>
        <w:t xml:space="preserve">, 161 Ohio App.3d 372, 2005-Ohio-2868, ¶ 14-18 (4th Dist.) (a board </w:t>
      </w:r>
      <w:r w:rsidR="00C36DBA" w:rsidRPr="00707B4A">
        <w:rPr>
          <w:rFonts w:asciiTheme="minorHAnsi" w:hAnsiTheme="minorHAnsi" w:cstheme="minorHAnsi"/>
          <w:sz w:val="16"/>
          <w:szCs w:val="16"/>
        </w:rPr>
        <w:t xml:space="preserve">may </w:t>
      </w:r>
      <w:r w:rsidRPr="00707B4A">
        <w:rPr>
          <w:rFonts w:asciiTheme="minorHAnsi" w:hAnsiTheme="minorHAnsi" w:cstheme="minorHAnsi"/>
          <w:sz w:val="16"/>
          <w:szCs w:val="16"/>
        </w:rPr>
        <w:t xml:space="preserve">gather information on proposed school district in private, but it cannot deliberate privately in the absence of specifically authorized purposes); </w:t>
      </w:r>
      <w:hyperlink r:id="rId1354" w:history="1">
        <w:r w:rsidRPr="00E002FB">
          <w:rPr>
            <w:rStyle w:val="Hyperlink"/>
            <w:rFonts w:asciiTheme="minorHAnsi" w:hAnsiTheme="minorHAnsi" w:cstheme="minorHAnsi"/>
            <w:i/>
            <w:sz w:val="16"/>
            <w:szCs w:val="16"/>
          </w:rPr>
          <w:t>State ex rel. Massie v. Lake County Bd. Of Commrs</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11th Dist. Lake No. 2020-L-087, 2021-Ohio-786, ¶ 27 (evidence supported finding that commission members’ gathering was for information-seeking and was not a “meeting” under the Open Meetings Act)</w:t>
      </w:r>
      <w:r w:rsidR="00C36DBA" w:rsidRPr="00707B4A">
        <w:rPr>
          <w:rFonts w:asciiTheme="minorHAnsi" w:hAnsiTheme="minorHAnsi" w:cstheme="minorHAnsi"/>
          <w:sz w:val="16"/>
          <w:szCs w:val="16"/>
        </w:rPr>
        <w:t>;</w:t>
      </w:r>
      <w:r w:rsidR="00C36DBA" w:rsidRPr="00707B4A">
        <w:rPr>
          <w:rFonts w:asciiTheme="minorHAnsi" w:hAnsiTheme="minorHAnsi" w:cstheme="minorHAnsi"/>
          <w:i/>
          <w:iCs/>
          <w:sz w:val="16"/>
          <w:szCs w:val="16"/>
        </w:rPr>
        <w:t xml:space="preserve"> </w:t>
      </w:r>
      <w:hyperlink r:id="rId1355" w:history="1">
        <w:r w:rsidR="00C36DBA" w:rsidRPr="00E002FB">
          <w:rPr>
            <w:rStyle w:val="Hyperlink"/>
            <w:rFonts w:asciiTheme="minorHAnsi" w:hAnsiTheme="minorHAnsi" w:cstheme="minorHAnsi"/>
            <w:i/>
            <w:iCs/>
            <w:sz w:val="16"/>
            <w:szCs w:val="16"/>
          </w:rPr>
          <w:t xml:space="preserve">State ex rel. Kovoor v. Trumbull Cty. Bd. </w:t>
        </w:r>
        <w:r w:rsidR="00E002FB">
          <w:rPr>
            <w:rStyle w:val="Hyperlink"/>
            <w:rFonts w:asciiTheme="minorHAnsi" w:hAnsiTheme="minorHAnsi" w:cstheme="minorHAnsi"/>
            <w:i/>
            <w:iCs/>
            <w:sz w:val="16"/>
            <w:szCs w:val="16"/>
          </w:rPr>
          <w:t>o</w:t>
        </w:r>
        <w:r w:rsidR="00C36DBA" w:rsidRPr="00E002FB">
          <w:rPr>
            <w:rStyle w:val="Hyperlink"/>
            <w:rFonts w:asciiTheme="minorHAnsi" w:hAnsiTheme="minorHAnsi" w:cstheme="minorHAnsi"/>
            <w:i/>
            <w:iCs/>
            <w:sz w:val="16"/>
            <w:szCs w:val="16"/>
          </w:rPr>
          <w:t>f Elections</w:t>
        </w:r>
      </w:hyperlink>
      <w:r w:rsidR="00C36DBA" w:rsidRPr="00707B4A">
        <w:rPr>
          <w:rFonts w:asciiTheme="minorHAnsi" w:hAnsiTheme="minorHAnsi" w:cstheme="minorHAnsi"/>
          <w:i/>
          <w:iCs/>
          <w:sz w:val="16"/>
          <w:szCs w:val="16"/>
        </w:rPr>
        <w:t xml:space="preserve">, </w:t>
      </w:r>
      <w:r w:rsidR="00C36DBA" w:rsidRPr="00707B4A">
        <w:rPr>
          <w:rFonts w:asciiTheme="minorHAnsi" w:hAnsiTheme="minorHAnsi" w:cstheme="minorHAnsi"/>
          <w:sz w:val="16"/>
          <w:szCs w:val="16"/>
        </w:rPr>
        <w:t xml:space="preserve">11th </w:t>
      </w:r>
      <w:r w:rsidR="0091368A" w:rsidRPr="00707B4A">
        <w:rPr>
          <w:rFonts w:asciiTheme="minorHAnsi" w:hAnsiTheme="minorHAnsi" w:cstheme="minorHAnsi"/>
          <w:sz w:val="16"/>
          <w:szCs w:val="16"/>
        </w:rPr>
        <w:t>Dist.</w:t>
      </w:r>
      <w:r w:rsidR="00C36DBA" w:rsidRPr="00707B4A">
        <w:rPr>
          <w:rFonts w:asciiTheme="minorHAnsi" w:hAnsiTheme="minorHAnsi" w:cstheme="minorHAnsi"/>
          <w:sz w:val="16"/>
          <w:szCs w:val="16"/>
        </w:rPr>
        <w:t xml:space="preserve"> Trumbull No. 2022-TR-0101, 2023-Ohio-2256, ¶ 33 (board’s request for a legal opinion from the prosecutor constituted information-gathering).</w:t>
      </w:r>
    </w:p>
  </w:endnote>
  <w:endnote w:id="1025">
    <w:p w14:paraId="12ED9DF6" w14:textId="358A10E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6" w:history="1">
        <w:r w:rsidRPr="00707B4A">
          <w:rPr>
            <w:rStyle w:val="Hyperlink"/>
            <w:rFonts w:asciiTheme="minorHAnsi" w:hAnsiTheme="minorHAnsi" w:cstheme="minorHAnsi"/>
            <w:i/>
            <w:sz w:val="16"/>
            <w:szCs w:val="16"/>
          </w:rPr>
          <w:t xml:space="preserve">Cincinnati Enquirer v. Cincinnati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192 Ohio App.3d 566, 2011-Ohio-703 (1st Dist.) (</w:t>
      </w:r>
      <w:r w:rsidR="00C36DBA" w:rsidRPr="00707B4A">
        <w:rPr>
          <w:rFonts w:asciiTheme="minorHAnsi" w:hAnsiTheme="minorHAnsi" w:cstheme="minorHAnsi"/>
          <w:sz w:val="16"/>
          <w:szCs w:val="16"/>
        </w:rPr>
        <w:t>a non-public information-gathering investigative session with legal counsel was not a “meeting” under the Open Meetings Act because board members did not deliberate or discuss public business</w:t>
      </w:r>
      <w:r w:rsidR="00C8440C">
        <w:rPr>
          <w:rFonts w:asciiTheme="minorHAnsi" w:hAnsiTheme="minorHAnsi" w:cstheme="minorHAnsi"/>
          <w:sz w:val="16"/>
          <w:szCs w:val="16"/>
        </w:rPr>
        <w:t>)</w:t>
      </w:r>
      <w:r w:rsidR="00C36DBA" w:rsidRPr="00707B4A">
        <w:rPr>
          <w:rFonts w:asciiTheme="minorHAnsi" w:hAnsiTheme="minorHAnsi" w:cstheme="minorHAnsi"/>
          <w:sz w:val="16"/>
          <w:szCs w:val="16"/>
        </w:rPr>
        <w:t>.</w:t>
      </w:r>
    </w:p>
  </w:endnote>
  <w:endnote w:id="1026">
    <w:p w14:paraId="40D1A289" w14:textId="7B52E1C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Kandell v. City Council of Kent</w:t>
      </w:r>
      <w:r w:rsidRPr="00707B4A">
        <w:rPr>
          <w:rFonts w:asciiTheme="minorHAnsi" w:hAnsiTheme="minorHAnsi" w:cstheme="minorHAnsi"/>
          <w:sz w:val="16"/>
          <w:szCs w:val="16"/>
        </w:rPr>
        <w:t xml:space="preserve">, 11th Dist. Portage No. 90-P-2255, 1991 Ohio App. LEXIS 3640 (Aug. 2, 1991); </w:t>
      </w:r>
      <w:r w:rsidR="00C36DBA" w:rsidRPr="00707B4A">
        <w:rPr>
          <w:rFonts w:asciiTheme="minorHAnsi" w:hAnsiTheme="minorHAnsi" w:cstheme="minorHAnsi"/>
          <w:i/>
          <w:iCs/>
          <w:sz w:val="16"/>
          <w:szCs w:val="16"/>
        </w:rPr>
        <w:t xml:space="preserve">see also </w:t>
      </w:r>
      <w:r w:rsidRPr="00707B4A">
        <w:rPr>
          <w:rFonts w:asciiTheme="minorHAnsi" w:hAnsiTheme="minorHAnsi" w:cstheme="minorHAnsi"/>
          <w:i/>
          <w:sz w:val="16"/>
          <w:szCs w:val="16"/>
        </w:rPr>
        <w:t>State ex rel. Bd. of Edn. for Fairview Park School Dist. v. Bd. of Edn. for Rocky River School Dist.</w:t>
      </w:r>
      <w:r w:rsidRPr="00707B4A">
        <w:rPr>
          <w:rFonts w:asciiTheme="minorHAnsi" w:hAnsiTheme="minorHAnsi" w:cstheme="minorHAnsi"/>
          <w:sz w:val="16"/>
          <w:szCs w:val="16"/>
        </w:rPr>
        <w:t>, 40 Ohio St.3d 136, 140 (1988) (employee’s discussions with a superintendent did not amount to secret deliberations within the meaning of R.C. 121.22(H)).</w:t>
      </w:r>
    </w:p>
  </w:endnote>
  <w:endnote w:id="1027">
    <w:p w14:paraId="45553624" w14:textId="36F49A1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7" w:history="1">
        <w:r w:rsidRPr="00707B4A">
          <w:rPr>
            <w:rStyle w:val="Hyperlink"/>
            <w:rFonts w:asciiTheme="minorHAnsi" w:hAnsiTheme="minorHAnsi" w:cstheme="minorHAnsi"/>
            <w:i/>
            <w:sz w:val="16"/>
            <w:szCs w:val="16"/>
          </w:rPr>
          <w:t xml:space="preserve">Cincinnati Enquirer v. Cincinnati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192 Ohio App.3d 566, 2011-Ohio-703 (1st Dist.)</w:t>
      </w:r>
      <w:r w:rsidR="00C36DBA" w:rsidRPr="00707B4A">
        <w:rPr>
          <w:rFonts w:asciiTheme="minorHAnsi" w:hAnsiTheme="minorHAnsi" w:cstheme="minorHAnsi"/>
          <w:sz w:val="16"/>
          <w:szCs w:val="16"/>
        </w:rPr>
        <w:t>.</w:t>
      </w:r>
    </w:p>
  </w:endnote>
  <w:endnote w:id="1028">
    <w:p w14:paraId="4E55A06E" w14:textId="0DC57478" w:rsidR="00241A8C" w:rsidRPr="00707B4A" w:rsidRDefault="00241A8C" w:rsidP="00707B4A">
      <w:pPr>
        <w:pStyle w:val="EndnoteText"/>
        <w:spacing w:line="160" w:lineRule="exact"/>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58" w:history="1">
        <w:r w:rsidRPr="00E002FB">
          <w:rPr>
            <w:rStyle w:val="Hyperlink"/>
            <w:rFonts w:asciiTheme="minorHAnsi" w:hAnsiTheme="minorHAnsi" w:cstheme="minorHAnsi"/>
            <w:i/>
            <w:iCs/>
            <w:sz w:val="16"/>
            <w:szCs w:val="16"/>
          </w:rPr>
          <w:t xml:space="preserve">State ex rel. </w:t>
        </w:r>
        <w:r w:rsidRPr="00E002FB">
          <w:rPr>
            <w:rStyle w:val="Hyperlink"/>
            <w:rFonts w:asciiTheme="minorHAnsi" w:hAnsiTheme="minorHAnsi" w:cstheme="minorHAnsi"/>
            <w:i/>
            <w:iCs/>
            <w:sz w:val="16"/>
            <w:szCs w:val="16"/>
          </w:rPr>
          <w:t xml:space="preserve">Kovoor v. Trumbull Cty. Bd. </w:t>
        </w:r>
        <w:r w:rsidR="00E002FB">
          <w:rPr>
            <w:rStyle w:val="Hyperlink"/>
            <w:rFonts w:asciiTheme="minorHAnsi" w:hAnsiTheme="minorHAnsi" w:cstheme="minorHAnsi"/>
            <w:i/>
            <w:iCs/>
            <w:sz w:val="16"/>
            <w:szCs w:val="16"/>
          </w:rPr>
          <w:t>o</w:t>
        </w:r>
        <w:r w:rsidRPr="00E002FB">
          <w:rPr>
            <w:rStyle w:val="Hyperlink"/>
            <w:rFonts w:asciiTheme="minorHAnsi" w:hAnsiTheme="minorHAnsi" w:cstheme="minorHAnsi"/>
            <w:i/>
            <w:iCs/>
            <w:sz w:val="16"/>
            <w:szCs w:val="16"/>
          </w:rPr>
          <w:t>f Elections</w:t>
        </w:r>
      </w:hyperlink>
      <w:r w:rsidRPr="00707B4A">
        <w:rPr>
          <w:rFonts w:asciiTheme="minorHAnsi" w:hAnsiTheme="minorHAnsi" w:cstheme="minorHAnsi"/>
          <w:sz w:val="16"/>
          <w:szCs w:val="16"/>
        </w:rPr>
        <w:t>, 11th Dist. Trumbull No. 2022-TR-0101, 2023-Ohio-2256, ¶ 29-33.</w:t>
      </w:r>
    </w:p>
  </w:endnote>
  <w:endnote w:id="1029">
    <w:p w14:paraId="710ACAC8"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Holeski v. Lawrence</w:t>
      </w:r>
      <w:r w:rsidRPr="00707B4A">
        <w:rPr>
          <w:rFonts w:asciiTheme="minorHAnsi" w:hAnsiTheme="minorHAnsi" w:cstheme="minorHAnsi"/>
          <w:sz w:val="16"/>
          <w:szCs w:val="16"/>
        </w:rPr>
        <w:t>, 85 Ohio App.3d 824 (11th Dist. 1993).</w:t>
      </w:r>
    </w:p>
  </w:endnote>
  <w:endnote w:id="1030">
    <w:p w14:paraId="46125457" w14:textId="1383EFB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Fairfield Leader v. Ricketts</w:t>
      </w:r>
      <w:r w:rsidRPr="00707B4A">
        <w:rPr>
          <w:rFonts w:asciiTheme="minorHAnsi" w:hAnsiTheme="minorHAnsi" w:cstheme="minorHAnsi"/>
          <w:sz w:val="16"/>
          <w:szCs w:val="16"/>
        </w:rPr>
        <w:t xml:space="preserve">, 56 Ohio St.3d 97 (1990); </w:t>
      </w:r>
      <w:hyperlink r:id="rId1359"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Wengerd v. Baughman Twp. Bd. of Trustees</w:t>
        </w:r>
      </w:hyperlink>
      <w:r w:rsidRPr="00707B4A">
        <w:rPr>
          <w:rFonts w:asciiTheme="minorHAnsi" w:hAnsiTheme="minorHAnsi" w:cstheme="minorHAnsi"/>
          <w:sz w:val="16"/>
          <w:szCs w:val="16"/>
        </w:rPr>
        <w:t>, 9th Dist. Wayne No. 13CA0048, 2014-Ohio-4749.</w:t>
      </w:r>
    </w:p>
  </w:endnote>
  <w:endnote w:id="1031">
    <w:p w14:paraId="483A66D8" w14:textId="03D9BD2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Singh v. Schoenfeld</w:t>
      </w:r>
      <w:r w:rsidRPr="00707B4A">
        <w:rPr>
          <w:rFonts w:asciiTheme="minorHAnsi" w:hAnsiTheme="minorHAnsi" w:cstheme="minorHAnsi"/>
          <w:sz w:val="16"/>
          <w:szCs w:val="16"/>
        </w:rPr>
        <w:t>, 10th Dist. Franklin Nos. 92AP-188, 92AP-193, 1993 Ohio App. LEXIS 2409 (May 4, 1993).</w:t>
      </w:r>
    </w:p>
  </w:endnote>
  <w:endnote w:id="1032">
    <w:p w14:paraId="03885320"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Fairfield Leader v. Ricketts</w:t>
      </w:r>
      <w:r w:rsidRPr="00707B4A">
        <w:rPr>
          <w:rFonts w:asciiTheme="minorHAnsi" w:hAnsiTheme="minorHAnsi" w:cstheme="minorHAnsi"/>
          <w:sz w:val="16"/>
          <w:szCs w:val="16"/>
        </w:rPr>
        <w:t>, 56 Ohio St.3d 97 (1990).</w:t>
      </w:r>
    </w:p>
  </w:endnote>
  <w:endnote w:id="1033">
    <w:p w14:paraId="1FE9A042"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0" w:history="1">
        <w:r w:rsidRPr="00707B4A">
          <w:rPr>
            <w:rStyle w:val="Hyperlink"/>
            <w:rFonts w:asciiTheme="minorHAnsi" w:hAnsiTheme="minorHAnsi" w:cstheme="minorHAnsi"/>
            <w:i/>
            <w:sz w:val="16"/>
            <w:szCs w:val="16"/>
          </w:rPr>
          <w:t xml:space="preserve">TBC Westlake v. Hamilton </w:t>
        </w:r>
        <w:r w:rsidRPr="00707B4A">
          <w:rPr>
            <w:rStyle w:val="Hyperlink"/>
            <w:rFonts w:asciiTheme="minorHAnsi" w:hAnsiTheme="minorHAnsi" w:cstheme="minorHAnsi"/>
            <w:i/>
            <w:sz w:val="16"/>
            <w:szCs w:val="16"/>
          </w:rPr>
          <w:t>Cty. Bd. of Revision</w:t>
        </w:r>
      </w:hyperlink>
      <w:r w:rsidRPr="00707B4A">
        <w:rPr>
          <w:rFonts w:asciiTheme="minorHAnsi" w:hAnsiTheme="minorHAnsi" w:cstheme="minorHAnsi"/>
          <w:sz w:val="16"/>
          <w:szCs w:val="16"/>
        </w:rPr>
        <w:t>, 81 Ohio St.3d 58, 62 (1998).</w:t>
      </w:r>
    </w:p>
  </w:endnote>
  <w:endnote w:id="1034">
    <w:p w14:paraId="60B5CF34" w14:textId="43FF22F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1" w:history="1">
        <w:r w:rsidRPr="00707B4A">
          <w:rPr>
            <w:rStyle w:val="Hyperlink"/>
            <w:rFonts w:asciiTheme="minorHAnsi" w:hAnsiTheme="minorHAnsi" w:cstheme="minorHAnsi"/>
            <w:i/>
            <w:sz w:val="16"/>
            <w:szCs w:val="16"/>
          </w:rPr>
          <w:t xml:space="preserve">TBC Westlake v. Hamilton </w:t>
        </w:r>
        <w:r w:rsidRPr="00707B4A">
          <w:rPr>
            <w:rStyle w:val="Hyperlink"/>
            <w:rFonts w:asciiTheme="minorHAnsi" w:hAnsiTheme="minorHAnsi" w:cstheme="minorHAnsi"/>
            <w:i/>
            <w:sz w:val="16"/>
            <w:szCs w:val="16"/>
          </w:rPr>
          <w:t>Cty. Bd. of Revision</w:t>
        </w:r>
      </w:hyperlink>
      <w:r w:rsidRPr="00707B4A">
        <w:rPr>
          <w:rFonts w:asciiTheme="minorHAnsi" w:hAnsiTheme="minorHAnsi" w:cstheme="minorHAnsi"/>
          <w:sz w:val="16"/>
          <w:szCs w:val="16"/>
        </w:rPr>
        <w:t xml:space="preserve">, 81 Ohio St.3d 58, 62 (1998) (“[T]he Sunshine Law does not apply to adjudications of disputes in quasi-judicial proceedings, such as the [Board of Tax Appeals].”); </w:t>
      </w:r>
      <w:hyperlink r:id="rId1362" w:history="1">
        <w:r w:rsidRPr="00707B4A">
          <w:rPr>
            <w:rStyle w:val="Hyperlink"/>
            <w:rFonts w:asciiTheme="minorHAnsi" w:hAnsiTheme="minorHAnsi" w:cstheme="minorHAnsi"/>
            <w:i/>
            <w:sz w:val="16"/>
            <w:szCs w:val="16"/>
          </w:rPr>
          <w:t>State ex rel. Ross v. Crawford Cty. Bd. of Elections</w:t>
        </w:r>
      </w:hyperlink>
      <w:r w:rsidRPr="00707B4A">
        <w:rPr>
          <w:rFonts w:asciiTheme="minorHAnsi" w:hAnsiTheme="minorHAnsi" w:cstheme="minorHAnsi"/>
          <w:sz w:val="16"/>
          <w:szCs w:val="16"/>
        </w:rPr>
        <w:t>, 125 Ohio St.3d 438, 445, 2010-Ohio-2167</w:t>
      </w:r>
      <w:r w:rsidR="00C36DBA" w:rsidRPr="00707B4A">
        <w:rPr>
          <w:rFonts w:asciiTheme="minorHAnsi" w:hAnsiTheme="minorHAnsi" w:cstheme="minorHAnsi"/>
          <w:sz w:val="16"/>
          <w:szCs w:val="16"/>
        </w:rPr>
        <w:t>, ¶ 32 (board of elections proceeding determining whether to remove a candidate from the ballot was a quasi-judicial proceeding and the Open Meetings Act did not apply)</w:t>
      </w:r>
      <w:r w:rsidRPr="00707B4A">
        <w:rPr>
          <w:rFonts w:asciiTheme="minorHAnsi" w:hAnsiTheme="minorHAnsi" w:cstheme="minorHAnsi"/>
          <w:sz w:val="16"/>
          <w:szCs w:val="16"/>
        </w:rPr>
        <w:t xml:space="preserve">; </w:t>
      </w:r>
      <w:hyperlink r:id="rId1363" w:history="1">
        <w:r w:rsidRPr="00707B4A">
          <w:rPr>
            <w:rStyle w:val="Hyperlink"/>
            <w:rFonts w:asciiTheme="minorHAnsi" w:hAnsiTheme="minorHAnsi" w:cstheme="minorHAnsi"/>
            <w:i/>
            <w:sz w:val="16"/>
            <w:szCs w:val="16"/>
          </w:rPr>
          <w:t>Pennell v. Brown Twp.</w:t>
        </w:r>
      </w:hyperlink>
      <w:r w:rsidRPr="00707B4A">
        <w:rPr>
          <w:rFonts w:asciiTheme="minorHAnsi" w:hAnsiTheme="minorHAnsi" w:cstheme="minorHAnsi"/>
          <w:sz w:val="16"/>
          <w:szCs w:val="16"/>
        </w:rPr>
        <w:t xml:space="preserve">, 5th Dist. Delaware No. 15 CAH 09 0074, 2016-Ohio-2652, ¶ 34-37 (board of zoning appeals hearing was quasi-judicial and Open Meetings Act did not apply); </w:t>
      </w:r>
      <w:hyperlink r:id="rId1364" w:history="1">
        <w:r w:rsidRPr="00707B4A">
          <w:rPr>
            <w:rStyle w:val="Hyperlink"/>
            <w:rFonts w:asciiTheme="minorHAnsi" w:hAnsiTheme="minorHAnsi" w:cstheme="minorHAnsi"/>
            <w:i/>
            <w:sz w:val="16"/>
            <w:szCs w:val="16"/>
          </w:rPr>
          <w:t>Wightman v. Ohio Real Estate Comm.</w:t>
        </w:r>
      </w:hyperlink>
      <w:r w:rsidRPr="00707B4A">
        <w:rPr>
          <w:rFonts w:asciiTheme="minorHAnsi" w:hAnsiTheme="minorHAnsi" w:cstheme="minorHAnsi"/>
          <w:sz w:val="16"/>
          <w:szCs w:val="16"/>
        </w:rPr>
        <w:t>, 10th Dist. Franklin No. 16AP-466, 2017-Ohio-756, ¶ 26 (state professional licensing board was quasi-judicial and Open Meetings Act did not apply).</w:t>
      </w:r>
    </w:p>
  </w:endnote>
  <w:endnote w:id="1035">
    <w:p w14:paraId="39DAE5D1" w14:textId="367B9ED5" w:rsidR="002F23BE" w:rsidRPr="00707B4A" w:rsidRDefault="002F23BE" w:rsidP="00707B4A">
      <w:pPr>
        <w:pStyle w:val="EndnoteText"/>
        <w:spacing w:line="160" w:lineRule="exact"/>
        <w:jc w:val="both"/>
        <w:rPr>
          <w:rFonts w:asciiTheme="minorHAnsi" w:hAnsiTheme="minorHAnsi" w:cstheme="minorHAnsi"/>
          <w:b/>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5" w:history="1">
        <w:r w:rsidRPr="00707B4A">
          <w:rPr>
            <w:rStyle w:val="Hyperlink"/>
            <w:rFonts w:asciiTheme="minorHAnsi" w:hAnsiTheme="minorHAnsi" w:cstheme="minorHAnsi"/>
            <w:i/>
            <w:sz w:val="16"/>
            <w:szCs w:val="16"/>
          </w:rPr>
          <w:t xml:space="preserve">State ex rel. Ross v. Crawford </w:t>
        </w:r>
        <w:r w:rsidRPr="00707B4A">
          <w:rPr>
            <w:rStyle w:val="Hyperlink"/>
            <w:rFonts w:asciiTheme="minorHAnsi" w:hAnsiTheme="minorHAnsi" w:cstheme="minorHAnsi"/>
            <w:i/>
            <w:sz w:val="16"/>
            <w:szCs w:val="16"/>
          </w:rPr>
          <w:t>Cty. Bd. of Elections</w:t>
        </w:r>
      </w:hyperlink>
      <w:r w:rsidRPr="00707B4A">
        <w:rPr>
          <w:rFonts w:asciiTheme="minorHAnsi" w:hAnsiTheme="minorHAnsi" w:cstheme="minorHAnsi"/>
          <w:sz w:val="16"/>
          <w:szCs w:val="16"/>
        </w:rPr>
        <w:t xml:space="preserve">, 125 Ohio St.3d 438, 2010-Ohio-2167 (because the Open Meetings Act did not apply to the elections board’s quasi-judicial proceeding, there was no violation in failing to publicly vote on whether to adjourn the public hearing to deliberate, and failing to publicly vote on the matters at issue following deliberations); </w:t>
      </w:r>
      <w:hyperlink r:id="rId1366" w:history="1">
        <w:r w:rsidRPr="00707B4A">
          <w:rPr>
            <w:rStyle w:val="Hyperlink"/>
            <w:rFonts w:asciiTheme="minorHAnsi" w:hAnsiTheme="minorHAnsi" w:cstheme="minorHAnsi"/>
            <w:i/>
            <w:sz w:val="16"/>
            <w:szCs w:val="16"/>
          </w:rPr>
          <w:t>In re Application for Additional Use of Property v. Allen Twp. Zoning Bd. of Appeals</w:t>
        </w:r>
      </w:hyperlink>
      <w:r w:rsidRPr="00707B4A">
        <w:rPr>
          <w:rFonts w:asciiTheme="minorHAnsi" w:hAnsiTheme="minorHAnsi" w:cstheme="minorHAnsi"/>
          <w:sz w:val="16"/>
          <w:szCs w:val="16"/>
        </w:rPr>
        <w:t xml:space="preserve">, 6th Dist. Ottawa No. OT-12-008, 2013-Ohio-722, ¶ 15 (board of zoning appeals was acting in its quasi-judicial capacity in reviewing applications for conditional use); </w:t>
      </w:r>
      <w:hyperlink r:id="rId1367" w:history="1">
        <w:r w:rsidRPr="00707B4A">
          <w:rPr>
            <w:rStyle w:val="Hyperlink"/>
            <w:rFonts w:asciiTheme="minorHAnsi" w:hAnsiTheme="minorHAnsi" w:cstheme="minorHAnsi"/>
            <w:i/>
            <w:sz w:val="16"/>
            <w:szCs w:val="16"/>
          </w:rPr>
          <w:t>Beachland Ents., Inc. v. Cleveland Bd. of Rev.</w:t>
        </w:r>
      </w:hyperlink>
      <w:r w:rsidRPr="00707B4A">
        <w:rPr>
          <w:rFonts w:asciiTheme="minorHAnsi" w:hAnsiTheme="minorHAnsi" w:cstheme="minorHAnsi"/>
          <w:sz w:val="16"/>
          <w:szCs w:val="16"/>
        </w:rPr>
        <w:t xml:space="preserve">, 8th Dist. Cuyahoga No. 99770, 2013-Ohio-5585, ¶ 44-46 (board of review was acting in quasi-judicial capacity in adjudicating tax dispute between the city commissioner of assessments and licenses and the taxpayer); </w:t>
      </w:r>
      <w:hyperlink r:id="rId1368" w:history="1">
        <w:r w:rsidRPr="00707B4A">
          <w:rPr>
            <w:rStyle w:val="Hyperlink"/>
            <w:rFonts w:asciiTheme="minorHAnsi" w:hAnsiTheme="minorHAnsi" w:cstheme="minorHAnsi"/>
            <w:i/>
            <w:sz w:val="16"/>
            <w:szCs w:val="16"/>
          </w:rPr>
          <w:t>Electronic Classroom of Tomorrow v. Ohio State Bd. of Edn.</w:t>
        </w:r>
      </w:hyperlink>
      <w:r w:rsidRPr="00707B4A">
        <w:rPr>
          <w:rFonts w:asciiTheme="minorHAnsi" w:hAnsiTheme="minorHAnsi" w:cstheme="minorHAnsi"/>
          <w:sz w:val="16"/>
          <w:szCs w:val="16"/>
        </w:rPr>
        <w:t xml:space="preserve">, 10th Dist. Franklin No. 17AP-510, 2018-Ohio-716, ¶ 20-28 (consideration of hearing officer’s recommendation was a quasi-judicial function); </w:t>
      </w:r>
      <w:r w:rsidRPr="00707B4A">
        <w:rPr>
          <w:rFonts w:asciiTheme="minorHAnsi" w:hAnsiTheme="minorHAnsi" w:cstheme="minorHAnsi"/>
          <w:i/>
          <w:sz w:val="16"/>
          <w:szCs w:val="16"/>
        </w:rPr>
        <w:t xml:space="preserve">Howard v. Ohio State Racing Comm., </w:t>
      </w:r>
      <w:r w:rsidRPr="00707B4A">
        <w:rPr>
          <w:rFonts w:asciiTheme="minorHAnsi" w:hAnsiTheme="minorHAnsi" w:cstheme="minorHAnsi"/>
          <w:sz w:val="16"/>
          <w:szCs w:val="16"/>
        </w:rPr>
        <w:t xml:space="preserve">10th Dist. Franklin No. 18AP-349, 2019-Ohio-4013, ¶ 46 (proceedings before Ohio State Racing Commission were quasi-judicial in nature and Commission not obligated to deliberate in public); </w:t>
      </w:r>
      <w:r w:rsidRPr="00707B4A">
        <w:rPr>
          <w:rFonts w:asciiTheme="minorHAnsi" w:hAnsiTheme="minorHAnsi" w:cstheme="minorHAnsi"/>
          <w:i/>
          <w:sz w:val="16"/>
          <w:szCs w:val="16"/>
        </w:rPr>
        <w:t xml:space="preserve">Nosse v. Kirtland, </w:t>
      </w:r>
      <w:r w:rsidRPr="00707B4A">
        <w:rPr>
          <w:rFonts w:asciiTheme="minorHAnsi" w:hAnsiTheme="minorHAnsi" w:cstheme="minorHAnsi"/>
          <w:sz w:val="16"/>
          <w:szCs w:val="16"/>
        </w:rPr>
        <w:t>11th Dist. Lake No. 2022-L-032, 2022-Ohio-4161, ¶ 28 (public hearing on police chief’s removal was a quasi-judicial proceeding).</w:t>
      </w:r>
    </w:p>
  </w:endnote>
  <w:endnote w:id="1036">
    <w:p w14:paraId="1DAF5A4B" w14:textId="083F32D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69" w:history="1">
        <w:r w:rsidRPr="00707B4A">
          <w:rPr>
            <w:rStyle w:val="Hyperlink"/>
            <w:rFonts w:asciiTheme="minorHAnsi" w:hAnsiTheme="minorHAnsi" w:cstheme="minorHAnsi"/>
            <w:sz w:val="16"/>
            <w:szCs w:val="16"/>
          </w:rPr>
          <w:t xml:space="preserve">1980 Ohio </w:t>
        </w:r>
        <w:r w:rsidRPr="00707B4A">
          <w:rPr>
            <w:rStyle w:val="Hyperlink"/>
            <w:rFonts w:asciiTheme="minorHAnsi" w:hAnsiTheme="minorHAnsi" w:cstheme="minorHAnsi"/>
            <w:sz w:val="16"/>
            <w:szCs w:val="16"/>
          </w:rPr>
          <w:t>Atty.Gen.Ops. No. 083</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also </w:t>
      </w:r>
      <w:hyperlink r:id="rId1370" w:history="1">
        <w:r w:rsidRPr="00B277BB">
          <w:rPr>
            <w:rStyle w:val="Hyperlink"/>
            <w:rFonts w:asciiTheme="minorHAnsi" w:hAnsiTheme="minorHAnsi" w:cstheme="minorHAnsi"/>
            <w:i/>
            <w:sz w:val="16"/>
            <w:szCs w:val="16"/>
          </w:rPr>
          <w:t>Jones v. Geauga Cty. Republican Party Cent. Commt</w:t>
        </w:r>
      </w:hyperlink>
      <w:r w:rsidRPr="00707B4A">
        <w:rPr>
          <w:rFonts w:asciiTheme="minorHAnsi" w:hAnsiTheme="minorHAnsi" w:cstheme="minorHAnsi"/>
          <w:i/>
          <w:sz w:val="16"/>
          <w:szCs w:val="16"/>
        </w:rPr>
        <w:t>.</w:t>
      </w:r>
      <w:r w:rsidRPr="00707B4A">
        <w:rPr>
          <w:rFonts w:asciiTheme="minorHAnsi" w:hAnsiTheme="minorHAnsi" w:cstheme="minorHAnsi"/>
          <w:sz w:val="16"/>
          <w:szCs w:val="16"/>
        </w:rPr>
        <w:t xml:space="preserve">, 11th Dist. Geauga No. 2016-G-0056, 2017-Ohio-2930, ¶ 35 (upholding the trial court’s dismissal of the case because the meeting at issue concerned purely internal affairs, not public business, and was therefore not subject to the Open Meetings Act); </w:t>
      </w:r>
      <w:hyperlink r:id="rId1371" w:history="1">
        <w:r w:rsidRPr="00315D6F">
          <w:rPr>
            <w:rStyle w:val="Hyperlink"/>
            <w:rFonts w:asciiTheme="minorHAnsi" w:hAnsiTheme="minorHAnsi" w:cstheme="minorHAnsi"/>
            <w:i/>
            <w:sz w:val="16"/>
            <w:szCs w:val="16"/>
          </w:rPr>
          <w:t>State ex rel. Ames v. Geauga Cty. Republican Cent. &amp; Executive Commts</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11th Dist. Geauga No. 2021-G-0004, 2021-Ohio-2888 (the Open Meetings Act does not apply to meeting of county political party central committee when purpose of the meeting is to conduct internal party business).</w:t>
      </w:r>
    </w:p>
  </w:endnote>
  <w:endnote w:id="1037">
    <w:p w14:paraId="6B27C124" w14:textId="6F3B8ABF" w:rsidR="002F23BE" w:rsidRPr="00681BA7" w:rsidRDefault="002F23BE" w:rsidP="00707B4A">
      <w:pPr>
        <w:pStyle w:val="EndnoteText"/>
        <w:spacing w:line="160" w:lineRule="exact"/>
        <w:jc w:val="both"/>
        <w:rPr>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2" w:history="1">
        <w:r w:rsidRPr="00707B4A">
          <w:rPr>
            <w:rStyle w:val="Hyperlink"/>
            <w:rFonts w:asciiTheme="minorHAnsi" w:hAnsiTheme="minorHAnsi" w:cstheme="minorHAnsi"/>
            <w:sz w:val="16"/>
            <w:szCs w:val="16"/>
          </w:rPr>
          <w:t>R.C. 4117.21</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also Springfield Local School Dist. Bd. of </w:t>
      </w:r>
      <w:r w:rsidRPr="00707B4A">
        <w:rPr>
          <w:rFonts w:asciiTheme="minorHAnsi" w:hAnsiTheme="minorHAnsi" w:cstheme="minorHAnsi"/>
          <w:i/>
          <w:sz w:val="16"/>
          <w:szCs w:val="16"/>
        </w:rPr>
        <w:t>Edn. v. Ohio Assn. of Pub. School Emps.</w:t>
      </w:r>
      <w:r w:rsidRPr="00707B4A">
        <w:rPr>
          <w:rFonts w:asciiTheme="minorHAnsi" w:hAnsiTheme="minorHAnsi" w:cstheme="minorHAnsi"/>
          <w:sz w:val="16"/>
          <w:szCs w:val="16"/>
        </w:rPr>
        <w:t xml:space="preserve">, 106 Ohio App.3d 855, 869 (9th Dist. 1995) (R.C. 4117.21 manifests a legislative interest in protecting the privacy of the collective bargaining process); </w:t>
      </w:r>
      <w:hyperlink r:id="rId1373" w:history="1">
        <w:r w:rsidRPr="00707B4A">
          <w:rPr>
            <w:rStyle w:val="Hyperlink"/>
            <w:rFonts w:asciiTheme="minorHAnsi" w:hAnsiTheme="minorHAnsi" w:cstheme="minorHAnsi"/>
            <w:i/>
            <w:sz w:val="16"/>
            <w:szCs w:val="16"/>
          </w:rPr>
          <w:t>Back v. Madison Local School Dist. Bd. of Edn.</w:t>
        </w:r>
      </w:hyperlink>
      <w:r w:rsidRPr="00707B4A">
        <w:rPr>
          <w:rFonts w:asciiTheme="minorHAnsi" w:hAnsiTheme="minorHAnsi" w:cstheme="minorHAnsi"/>
          <w:sz w:val="16"/>
          <w:szCs w:val="16"/>
        </w:rPr>
        <w:t>, 12th Dist. Butler No. CA2007-03-066, 2007-Ohio-4218, ¶ 6-10 (school board’s consideration of a proposed collective bargaining agreement with teachers was properly held in a closed session</w:t>
      </w:r>
      <w:r w:rsidR="001D5448" w:rsidRPr="00707B4A">
        <w:rPr>
          <w:rFonts w:asciiTheme="minorHAnsi" w:hAnsiTheme="minorHAnsi" w:cstheme="minorHAnsi"/>
          <w:sz w:val="16"/>
          <w:szCs w:val="16"/>
        </w:rPr>
        <w:t>; collective bargaining meetings are exempt from Open Meetings Act requirements</w:t>
      </w:r>
      <w:r w:rsidRPr="00707B4A">
        <w:rPr>
          <w:rFonts w:asciiTheme="minorHAnsi" w:hAnsiTheme="minorHAnsi" w:cstheme="minorHAnsi"/>
          <w:sz w:val="16"/>
          <w:szCs w:val="16"/>
        </w:rPr>
        <w:t xml:space="preserve"> under RC. 4117.21).</w:t>
      </w:r>
    </w:p>
  </w:endnote>
  <w:endnote w:id="1038">
    <w:p w14:paraId="6F29705F" w14:textId="2EAB154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4" w:history="1">
        <w:r w:rsidRPr="00707B4A">
          <w:rPr>
            <w:rStyle w:val="Hyperlink"/>
            <w:rFonts w:asciiTheme="minorHAnsi" w:hAnsiTheme="minorHAnsi" w:cstheme="minorHAnsi"/>
            <w:sz w:val="16"/>
            <w:szCs w:val="16"/>
          </w:rPr>
          <w:t>R.C. 121.22(C).</w:t>
        </w:r>
      </w:hyperlink>
    </w:p>
  </w:endnote>
  <w:endnote w:id="1039">
    <w:p w14:paraId="23C8D4BD" w14:textId="6B2DD1F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5" w:history="1">
        <w:r w:rsidRPr="00707B4A">
          <w:rPr>
            <w:rStyle w:val="Hyperlink"/>
            <w:rFonts w:asciiTheme="minorHAnsi" w:hAnsiTheme="minorHAnsi" w:cstheme="minorHAnsi"/>
            <w:sz w:val="16"/>
            <w:szCs w:val="16"/>
          </w:rPr>
          <w:t>R.C. 121.22(A).</w:t>
        </w:r>
      </w:hyperlink>
    </w:p>
  </w:endnote>
  <w:endnote w:id="1040">
    <w:p w14:paraId="6A96239C" w14:textId="14096C4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6" w:history="1">
        <w:r w:rsidRPr="00707B4A">
          <w:rPr>
            <w:rStyle w:val="Hyperlink"/>
            <w:rFonts w:asciiTheme="minorHAnsi" w:hAnsiTheme="minorHAnsi" w:cstheme="minorHAnsi"/>
            <w:sz w:val="16"/>
            <w:szCs w:val="16"/>
          </w:rPr>
          <w:t>R.C. 121.22(C)</w:t>
        </w:r>
      </w:hyperlink>
      <w:r w:rsidRPr="00707B4A">
        <w:rPr>
          <w:rFonts w:asciiTheme="minorHAnsi" w:hAnsiTheme="minorHAnsi" w:cstheme="minorHAnsi"/>
          <w:sz w:val="16"/>
          <w:szCs w:val="16"/>
        </w:rPr>
        <w:t xml:space="preserve">; </w:t>
      </w:r>
      <w:hyperlink r:id="rId1377"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Randles v. Hill</w:t>
        </w:r>
      </w:hyperlink>
      <w:r w:rsidRPr="00707B4A">
        <w:rPr>
          <w:rFonts w:asciiTheme="minorHAnsi" w:hAnsiTheme="minorHAnsi" w:cstheme="minorHAnsi"/>
          <w:sz w:val="16"/>
          <w:szCs w:val="16"/>
        </w:rPr>
        <w:t xml:space="preserve">, 66 Ohio St.3d 32, 35 (1993) (locking the doors to the meeting hall, whether or not intentional, is not an excuse for failing to comply with the requirement that meetings be open to the public); </w:t>
      </w:r>
      <w:hyperlink r:id="rId1378" w:history="1">
        <w:r w:rsidRPr="00707B4A">
          <w:rPr>
            <w:rStyle w:val="Hyperlink"/>
            <w:rFonts w:asciiTheme="minorHAnsi" w:hAnsiTheme="minorHAnsi" w:cstheme="minorHAnsi"/>
            <w:i/>
            <w:sz w:val="16"/>
            <w:szCs w:val="16"/>
          </w:rPr>
          <w:t>Paridon v. Trumbull Cty. Children Servs. Bd.</w:t>
        </w:r>
      </w:hyperlink>
      <w:r w:rsidRPr="00707B4A">
        <w:rPr>
          <w:rFonts w:asciiTheme="minorHAnsi" w:hAnsiTheme="minorHAnsi" w:cstheme="minorHAnsi"/>
          <w:sz w:val="16"/>
          <w:szCs w:val="16"/>
        </w:rPr>
        <w:t>, 11th Dist. Trumbull No. 2012-T-0035, 2013-Ohio-881, ¶ 22 (a public body may limit the time, place, and m</w:t>
      </w:r>
      <w:r w:rsidR="00200F56" w:rsidRPr="00707B4A">
        <w:rPr>
          <w:rFonts w:asciiTheme="minorHAnsi" w:hAnsiTheme="minorHAnsi" w:cstheme="minorHAnsi"/>
          <w:sz w:val="16"/>
          <w:szCs w:val="16"/>
        </w:rPr>
        <w:t>eans</w:t>
      </w:r>
      <w:r w:rsidRPr="00707B4A">
        <w:rPr>
          <w:rFonts w:asciiTheme="minorHAnsi" w:hAnsiTheme="minorHAnsi" w:cstheme="minorHAnsi"/>
          <w:sz w:val="16"/>
          <w:szCs w:val="16"/>
        </w:rPr>
        <w:t xml:space="preserve"> of access to its meetings, </w:t>
      </w:r>
      <w:r w:rsidR="00707B4A" w:rsidRPr="00707B4A">
        <w:rPr>
          <w:rFonts w:asciiTheme="minorHAnsi" w:hAnsiTheme="minorHAnsi" w:cstheme="minorHAnsi"/>
          <w:sz w:val="16"/>
          <w:szCs w:val="16"/>
        </w:rPr>
        <w:t>if</w:t>
      </w:r>
      <w:r w:rsidRPr="00707B4A">
        <w:rPr>
          <w:rFonts w:asciiTheme="minorHAnsi" w:hAnsiTheme="minorHAnsi" w:cstheme="minorHAnsi"/>
          <w:sz w:val="16"/>
          <w:szCs w:val="16"/>
        </w:rPr>
        <w:t xml:space="preserve"> the restrictions are content neutral and narrowly tailored to serve a significant governmental interest).</w:t>
      </w:r>
    </w:p>
  </w:endnote>
  <w:endnote w:id="1041">
    <w:p w14:paraId="1CE1066B" w14:textId="2354283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79" w:history="1">
        <w:r w:rsidRPr="00707B4A">
          <w:rPr>
            <w:rStyle w:val="Hyperlink"/>
            <w:rFonts w:asciiTheme="minorHAnsi" w:hAnsiTheme="minorHAnsi" w:cstheme="minorHAnsi"/>
            <w:i/>
            <w:sz w:val="16"/>
            <w:szCs w:val="16"/>
          </w:rPr>
          <w:t>Paridon v. Trumbull Cty. Children Servs. Bd.</w:t>
        </w:r>
      </w:hyperlink>
      <w:r w:rsidRPr="00707B4A">
        <w:rPr>
          <w:rFonts w:asciiTheme="minorHAnsi" w:hAnsiTheme="minorHAnsi" w:cstheme="minorHAnsi"/>
          <w:sz w:val="16"/>
          <w:szCs w:val="16"/>
        </w:rPr>
        <w:t xml:space="preserve">, 11th Dist. Trumbull No. 2012-T-0035, 2013-Ohio-881, ¶ 24 (“While [the Open Meetings Act] does not state where a public body must hold its public meetings, it has been held that the public body must use a public meeting place.”); </w:t>
      </w:r>
      <w:hyperlink r:id="rId1380" w:history="1">
        <w:r w:rsidRPr="00707B4A">
          <w:rPr>
            <w:rStyle w:val="Hyperlink"/>
            <w:rFonts w:asciiTheme="minorHAnsi" w:hAnsiTheme="minorHAnsi" w:cstheme="minorHAnsi"/>
            <w:sz w:val="16"/>
            <w:szCs w:val="16"/>
          </w:rPr>
          <w:t>1992 Ohio Atty.Gen.Ops. No. 032</w:t>
        </w:r>
      </w:hyperlink>
      <w:r w:rsidRPr="00707B4A">
        <w:rPr>
          <w:rFonts w:asciiTheme="minorHAnsi" w:hAnsiTheme="minorHAnsi" w:cstheme="minorHAnsi"/>
          <w:sz w:val="16"/>
          <w:szCs w:val="16"/>
        </w:rPr>
        <w:t>.</w:t>
      </w:r>
    </w:p>
  </w:endnote>
  <w:endnote w:id="1042">
    <w:p w14:paraId="7FBFFC2D" w14:textId="1A73853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1" w:history="1">
        <w:r w:rsidRPr="00707B4A">
          <w:rPr>
            <w:rStyle w:val="Hyperlink"/>
            <w:rFonts w:asciiTheme="minorHAnsi" w:hAnsiTheme="minorHAnsi" w:cstheme="minorHAnsi"/>
            <w:sz w:val="16"/>
            <w:szCs w:val="16"/>
          </w:rPr>
          <w:t xml:space="preserve">1992 Ohio </w:t>
        </w:r>
        <w:r w:rsidRPr="00707B4A">
          <w:rPr>
            <w:rStyle w:val="Hyperlink"/>
            <w:rFonts w:asciiTheme="minorHAnsi" w:hAnsiTheme="minorHAnsi" w:cstheme="minorHAnsi"/>
            <w:sz w:val="16"/>
            <w:szCs w:val="16"/>
          </w:rPr>
          <w:t>Atty.Gen.Ops. No. 032</w:t>
        </w:r>
      </w:hyperlink>
      <w:r w:rsidR="00200F56" w:rsidRPr="00707B4A">
        <w:rPr>
          <w:rFonts w:asciiTheme="minorHAnsi" w:hAnsiTheme="minorHAnsi" w:cstheme="minorHAnsi"/>
          <w:sz w:val="16"/>
          <w:szCs w:val="16"/>
        </w:rPr>
        <w:t>.</w:t>
      </w:r>
    </w:p>
  </w:endnote>
  <w:endnote w:id="1043">
    <w:p w14:paraId="033A4B3A" w14:textId="28D8096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2" w:history="1">
        <w:r w:rsidRPr="00707B4A">
          <w:rPr>
            <w:rStyle w:val="Hyperlink"/>
            <w:rFonts w:asciiTheme="minorHAnsi" w:hAnsiTheme="minorHAnsi" w:cstheme="minorHAnsi"/>
            <w:i/>
            <w:sz w:val="16"/>
            <w:szCs w:val="16"/>
          </w:rPr>
          <w:t>Specht v. Finnegan</w:t>
        </w:r>
      </w:hyperlink>
      <w:r w:rsidRPr="00707B4A">
        <w:rPr>
          <w:rFonts w:asciiTheme="minorHAnsi" w:hAnsiTheme="minorHAnsi" w:cstheme="minorHAnsi"/>
          <w:sz w:val="16"/>
          <w:szCs w:val="16"/>
        </w:rPr>
        <w:t>, 149 Ohio App.3d 201, 2002-Ohio-4660, ¶ 33-35 (6th Dist.).</w:t>
      </w:r>
    </w:p>
  </w:endnote>
  <w:endnote w:id="1044">
    <w:p w14:paraId="6E64B3BA" w14:textId="1461646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Wyse v. Rupp</w:t>
      </w:r>
      <w:r w:rsidRPr="00707B4A">
        <w:rPr>
          <w:rFonts w:asciiTheme="minorHAnsi" w:hAnsiTheme="minorHAnsi" w:cstheme="minorHAnsi"/>
          <w:sz w:val="16"/>
          <w:szCs w:val="16"/>
        </w:rPr>
        <w:t xml:space="preserve">, 6th Dist. Fulton No. F-94-19, 1995 Ohio App. LEXIS 4008 (Sept. 15, 1995) (Ohio Turnpike Commission </w:t>
      </w:r>
      <w:r w:rsidR="00CC15E6">
        <w:rPr>
          <w:rFonts w:asciiTheme="minorHAnsi" w:hAnsiTheme="minorHAnsi" w:cstheme="minorHAnsi"/>
          <w:sz w:val="16"/>
          <w:szCs w:val="16"/>
        </w:rPr>
        <w:t>handled</w:t>
      </w:r>
      <w:r w:rsidRPr="00707B4A">
        <w:rPr>
          <w:rFonts w:asciiTheme="minorHAnsi" w:hAnsiTheme="minorHAnsi" w:cstheme="minorHAnsi"/>
          <w:sz w:val="16"/>
          <w:szCs w:val="16"/>
        </w:rPr>
        <w:t xml:space="preserve"> large crowd in a reasonable and impartial manner</w:t>
      </w:r>
      <w:r w:rsidR="00200F56" w:rsidRPr="00707B4A">
        <w:rPr>
          <w:rFonts w:asciiTheme="minorHAnsi" w:hAnsiTheme="minorHAnsi" w:cstheme="minorHAnsi"/>
          <w:sz w:val="16"/>
          <w:szCs w:val="16"/>
        </w:rPr>
        <w:t xml:space="preserve"> when it aired the meeting via closed </w:t>
      </w:r>
      <w:r w:rsidR="00707B4A" w:rsidRPr="00707B4A">
        <w:rPr>
          <w:rFonts w:asciiTheme="minorHAnsi" w:hAnsiTheme="minorHAnsi" w:cstheme="minorHAnsi"/>
          <w:sz w:val="16"/>
          <w:szCs w:val="16"/>
        </w:rPr>
        <w:t>circuit</w:t>
      </w:r>
      <w:r w:rsidR="00200F56" w:rsidRPr="00707B4A">
        <w:rPr>
          <w:rFonts w:asciiTheme="minorHAnsi" w:hAnsiTheme="minorHAnsi" w:cstheme="minorHAnsi"/>
          <w:sz w:val="16"/>
          <w:szCs w:val="16"/>
        </w:rPr>
        <w:t xml:space="preserve"> television in an adjacent room</w:t>
      </w:r>
      <w:r w:rsidRPr="00707B4A">
        <w:rPr>
          <w:rFonts w:asciiTheme="minorHAnsi" w:hAnsiTheme="minorHAnsi" w:cstheme="minorHAnsi"/>
          <w:sz w:val="16"/>
          <w:szCs w:val="16"/>
        </w:rPr>
        <w:t>).</w:t>
      </w:r>
    </w:p>
  </w:endnote>
  <w:endnote w:id="1045">
    <w:p w14:paraId="492B73F9" w14:textId="5F39A644" w:rsidR="001D5448" w:rsidRPr="00707B4A" w:rsidRDefault="001D5448"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i/>
          <w:iCs/>
          <w:sz w:val="16"/>
          <w:szCs w:val="16"/>
        </w:rPr>
        <w:t xml:space="preserve"> State ex rel. Ames v. Portage </w:t>
      </w:r>
      <w:r w:rsidRPr="00707B4A">
        <w:rPr>
          <w:rFonts w:asciiTheme="minorHAnsi" w:hAnsiTheme="minorHAnsi" w:cstheme="minorHAnsi"/>
          <w:i/>
          <w:iCs/>
          <w:sz w:val="16"/>
          <w:szCs w:val="16"/>
        </w:rPr>
        <w:t>Cty. Bd. Of Commrs.</w:t>
      </w:r>
      <w:r w:rsidRPr="00707B4A">
        <w:rPr>
          <w:rFonts w:asciiTheme="minorHAnsi" w:hAnsiTheme="minorHAnsi" w:cstheme="minorHAnsi"/>
          <w:sz w:val="16"/>
          <w:szCs w:val="16"/>
        </w:rPr>
        <w:t>, 11th Dist. Portage No. 2023-P-0044, 2024-Ohio-146, ¶ 37-39. N</w:t>
      </w:r>
      <w:r w:rsidR="003279F5" w:rsidRPr="00707B4A">
        <w:rPr>
          <w:rFonts w:asciiTheme="minorHAnsi" w:hAnsiTheme="minorHAnsi" w:cstheme="minorHAnsi"/>
          <w:sz w:val="16"/>
          <w:szCs w:val="16"/>
        </w:rPr>
        <w:t>OTE</w:t>
      </w:r>
      <w:r w:rsidRPr="00707B4A">
        <w:rPr>
          <w:rFonts w:asciiTheme="minorHAnsi" w:hAnsiTheme="minorHAnsi" w:cstheme="minorHAnsi"/>
          <w:sz w:val="16"/>
          <w:szCs w:val="16"/>
        </w:rPr>
        <w:t>: the public body in this case was meeting when occupancy restrictions were in place due to the COVID-19 pandemic.</w:t>
      </w:r>
    </w:p>
  </w:endnote>
  <w:endnote w:id="1046">
    <w:p w14:paraId="284FE79A" w14:textId="504D667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42 U.S.C. 12101 (Americans with Disabilities Act of 1990, P.L. §§ 201-202) (providing that remedy for violating this requirement would be under the ADA and does not appear to have any ramifications for the public body under the Open Meetings Act).</w:t>
      </w:r>
    </w:p>
  </w:endnote>
  <w:endnote w:id="1047">
    <w:p w14:paraId="1C74C142" w14:textId="73228EB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But see</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Roberts v. Snyder</w:t>
      </w:r>
      <w:r w:rsidRPr="00707B4A">
        <w:rPr>
          <w:rFonts w:asciiTheme="minorHAnsi" w:hAnsiTheme="minorHAnsi" w:cstheme="minorHAnsi"/>
          <w:sz w:val="16"/>
          <w:szCs w:val="16"/>
        </w:rPr>
        <w:t xml:space="preserve">, 149 Ohio St. 333, 335 (1948) (council </w:t>
      </w:r>
      <w:r w:rsidR="00CC15E6">
        <w:rPr>
          <w:rFonts w:asciiTheme="minorHAnsi" w:hAnsiTheme="minorHAnsi" w:cstheme="minorHAnsi"/>
          <w:sz w:val="16"/>
          <w:szCs w:val="16"/>
        </w:rPr>
        <w:t>had no</w:t>
      </w:r>
      <w:r w:rsidRPr="00707B4A">
        <w:rPr>
          <w:rFonts w:asciiTheme="minorHAnsi" w:hAnsiTheme="minorHAnsi" w:cstheme="minorHAnsi"/>
          <w:sz w:val="16"/>
          <w:szCs w:val="16"/>
        </w:rPr>
        <w:t xml:space="preserve"> authority to adopt a conflicting rule whe</w:t>
      </w:r>
      <w:r w:rsidR="00CC15E6">
        <w:rPr>
          <w:rFonts w:asciiTheme="minorHAnsi" w:hAnsiTheme="minorHAnsi" w:cstheme="minorHAnsi"/>
          <w:sz w:val="16"/>
          <w:szCs w:val="16"/>
        </w:rPr>
        <w:t>n</w:t>
      </w:r>
      <w:r w:rsidRPr="00707B4A">
        <w:rPr>
          <w:rFonts w:asciiTheme="minorHAnsi" w:hAnsiTheme="minorHAnsi" w:cstheme="minorHAnsi"/>
          <w:sz w:val="16"/>
          <w:szCs w:val="16"/>
        </w:rPr>
        <w:t xml:space="preserve"> enabling law limited council president’s vote to solely in the event of a tie under statute that preceded enactment of Open Meetings Act).</w:t>
      </w:r>
    </w:p>
  </w:endnote>
  <w:endnote w:id="1048">
    <w:p w14:paraId="4626D14D" w14:textId="6072FB5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3" w:history="1">
        <w:r w:rsidRPr="00707B4A">
          <w:rPr>
            <w:rStyle w:val="Hyperlink"/>
            <w:rFonts w:asciiTheme="minorHAnsi" w:hAnsiTheme="minorHAnsi" w:cstheme="minorHAnsi"/>
            <w:sz w:val="16"/>
            <w:szCs w:val="16"/>
          </w:rPr>
          <w:t>R.C. 121.22(G).</w:t>
        </w:r>
      </w:hyperlink>
    </w:p>
  </w:endnote>
  <w:endnote w:id="1049">
    <w:p w14:paraId="5A384605" w14:textId="39E9A27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4" w:history="1">
        <w:r w:rsidRPr="00707B4A">
          <w:rPr>
            <w:rStyle w:val="Hyperlink"/>
            <w:rFonts w:asciiTheme="minorHAnsi" w:hAnsiTheme="minorHAnsi" w:cstheme="minorHAnsi"/>
            <w:i/>
            <w:sz w:val="16"/>
            <w:szCs w:val="16"/>
          </w:rPr>
          <w:t xml:space="preserve">State ex rel. More </w:t>
        </w:r>
        <w:r w:rsidRPr="00707B4A">
          <w:rPr>
            <w:rStyle w:val="Hyperlink"/>
            <w:rFonts w:asciiTheme="minorHAnsi" w:hAnsiTheme="minorHAnsi" w:cstheme="minorHAnsi"/>
            <w:i/>
            <w:sz w:val="16"/>
            <w:szCs w:val="16"/>
          </w:rPr>
          <w:t>Bratenahl v. Bratenahl</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 xml:space="preserve">157 Ohio St.3d 309, 2019-Ohio-3233, ¶ 8-20; </w:t>
      </w:r>
      <w:hyperlink r:id="rId1385" w:history="1">
        <w:r w:rsidRPr="00707B4A">
          <w:rPr>
            <w:rStyle w:val="Hyperlink"/>
            <w:rFonts w:asciiTheme="minorHAnsi" w:hAnsiTheme="minorHAnsi" w:cstheme="minorHAnsi"/>
            <w:sz w:val="16"/>
            <w:szCs w:val="16"/>
          </w:rPr>
          <w:t>2011 Ohio Atty.Gen.Ops. No. 038</w:t>
        </w:r>
      </w:hyperlink>
      <w:r w:rsidRPr="00707B4A">
        <w:rPr>
          <w:rFonts w:asciiTheme="minorHAnsi" w:hAnsiTheme="minorHAnsi" w:cstheme="minorHAnsi"/>
          <w:sz w:val="16"/>
          <w:szCs w:val="16"/>
        </w:rPr>
        <w:t xml:space="preserve"> (</w:t>
      </w:r>
      <w:r w:rsidR="00200F56" w:rsidRPr="00707B4A">
        <w:rPr>
          <w:rFonts w:asciiTheme="minorHAnsi" w:hAnsiTheme="minorHAnsi" w:cstheme="minorHAnsi"/>
          <w:sz w:val="16"/>
          <w:szCs w:val="16"/>
        </w:rPr>
        <w:t xml:space="preserve">voting by </w:t>
      </w:r>
      <w:r w:rsidRPr="00707B4A">
        <w:rPr>
          <w:rFonts w:asciiTheme="minorHAnsi" w:hAnsiTheme="minorHAnsi" w:cstheme="minorHAnsi"/>
          <w:sz w:val="16"/>
          <w:szCs w:val="16"/>
        </w:rPr>
        <w:t xml:space="preserve">secret ballot is </w:t>
      </w:r>
      <w:r w:rsidR="00200F56" w:rsidRPr="00707B4A">
        <w:rPr>
          <w:rFonts w:asciiTheme="minorHAnsi" w:hAnsiTheme="minorHAnsi" w:cstheme="minorHAnsi"/>
          <w:sz w:val="16"/>
          <w:szCs w:val="16"/>
        </w:rPr>
        <w:t>contrary</w:t>
      </w:r>
      <w:r w:rsidRPr="00707B4A">
        <w:rPr>
          <w:rFonts w:asciiTheme="minorHAnsi" w:hAnsiTheme="minorHAnsi" w:cstheme="minorHAnsi"/>
          <w:sz w:val="16"/>
          <w:szCs w:val="16"/>
        </w:rPr>
        <w:t xml:space="preserve"> to the </w:t>
      </w:r>
      <w:r w:rsidR="00200F56" w:rsidRPr="00707B4A">
        <w:rPr>
          <w:rFonts w:asciiTheme="minorHAnsi" w:hAnsiTheme="minorHAnsi" w:cstheme="minorHAnsi"/>
          <w:sz w:val="16"/>
          <w:szCs w:val="16"/>
        </w:rPr>
        <w:t>principles of</w:t>
      </w:r>
      <w:r w:rsidRPr="00707B4A">
        <w:rPr>
          <w:rFonts w:asciiTheme="minorHAnsi" w:hAnsiTheme="minorHAnsi" w:cstheme="minorHAnsi"/>
          <w:sz w:val="16"/>
          <w:szCs w:val="16"/>
        </w:rPr>
        <w:t xml:space="preserve"> observ</w:t>
      </w:r>
      <w:r w:rsidR="00200F56" w:rsidRPr="00707B4A">
        <w:rPr>
          <w:rFonts w:asciiTheme="minorHAnsi" w:hAnsiTheme="minorHAnsi" w:cstheme="minorHAnsi"/>
          <w:sz w:val="16"/>
          <w:szCs w:val="16"/>
        </w:rPr>
        <w:t>ing</w:t>
      </w:r>
      <w:r w:rsidRPr="00707B4A">
        <w:rPr>
          <w:rFonts w:asciiTheme="minorHAnsi" w:hAnsiTheme="minorHAnsi" w:cstheme="minorHAnsi"/>
          <w:sz w:val="16"/>
          <w:szCs w:val="16"/>
        </w:rPr>
        <w:t xml:space="preserve"> the workings of the government and hold</w:t>
      </w:r>
      <w:r w:rsidR="00200F56" w:rsidRPr="00707B4A">
        <w:rPr>
          <w:rFonts w:asciiTheme="minorHAnsi" w:hAnsiTheme="minorHAnsi" w:cstheme="minorHAnsi"/>
          <w:sz w:val="16"/>
          <w:szCs w:val="16"/>
        </w:rPr>
        <w:t>ing</w:t>
      </w:r>
      <w:r w:rsidRPr="00707B4A">
        <w:rPr>
          <w:rFonts w:asciiTheme="minorHAnsi" w:hAnsiTheme="minorHAnsi" w:cstheme="minorHAnsi"/>
          <w:sz w:val="16"/>
          <w:szCs w:val="16"/>
        </w:rPr>
        <w:t xml:space="preserve"> government representatives accountable).  </w:t>
      </w:r>
    </w:p>
  </w:endnote>
  <w:endnote w:id="1050">
    <w:p w14:paraId="3BE31FDC" w14:textId="562E8C5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6"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Bratenahl v. Village of Bratenahl</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157 Ohio St.3d 309, 2019-Ohio-3233, ¶ 15.</w:t>
      </w:r>
    </w:p>
  </w:endnote>
  <w:endnote w:id="1051">
    <w:p w14:paraId="6F482D20" w14:textId="2EFCDE28" w:rsidR="002F23BE" w:rsidRPr="00707B4A" w:rsidRDefault="002F23BE" w:rsidP="00707B4A">
      <w:pPr>
        <w:pStyle w:val="EndnoteText"/>
        <w:spacing w:line="160" w:lineRule="exact"/>
        <w:jc w:val="both"/>
        <w:rPr>
          <w:rFonts w:asciiTheme="minorHAnsi" w:hAnsiTheme="minorHAnsi" w:cstheme="minorHAnsi"/>
          <w:i/>
          <w:sz w:val="16"/>
          <w:szCs w:val="16"/>
        </w:rPr>
      </w:pPr>
      <w:r w:rsidRPr="00707B4A">
        <w:rPr>
          <w:rStyle w:val="EndnoteReference"/>
          <w:rFonts w:asciiTheme="minorHAnsi" w:hAnsiTheme="minorHAnsi" w:cstheme="minorHAnsi"/>
          <w:sz w:val="16"/>
          <w:szCs w:val="16"/>
        </w:rPr>
        <w:endnoteRef/>
      </w:r>
      <w:hyperlink r:id="rId1387" w:history="1">
        <w:r w:rsidRPr="00707B4A">
          <w:rPr>
            <w:rStyle w:val="Hyperlink"/>
            <w:rFonts w:asciiTheme="minorHAnsi" w:hAnsiTheme="minorHAnsi" w:cstheme="minorHAnsi"/>
            <w:i/>
            <w:sz w:val="16"/>
            <w:szCs w:val="16"/>
          </w:rPr>
          <w:t xml:space="preserve">State ex rel. Ames v. Portage </w:t>
        </w:r>
        <w:r w:rsidRPr="00707B4A">
          <w:rPr>
            <w:rStyle w:val="Hyperlink"/>
            <w:rFonts w:asciiTheme="minorHAnsi" w:hAnsiTheme="minorHAnsi" w:cstheme="minorHAnsi"/>
            <w:i/>
            <w:sz w:val="16"/>
            <w:szCs w:val="16"/>
          </w:rPr>
          <w:t>Cty. Bd. of Commrs.</w:t>
        </w:r>
      </w:hyperlink>
      <w:r w:rsidRPr="00707B4A">
        <w:rPr>
          <w:rFonts w:asciiTheme="minorHAnsi" w:hAnsiTheme="minorHAnsi" w:cstheme="minorHAnsi"/>
          <w:sz w:val="16"/>
          <w:szCs w:val="16"/>
        </w:rPr>
        <w:t xml:space="preserve">, 165 Ohio St.3d 292, 2021-Ohio-2374, ¶ 19 (public body violated the Open Meetings Act when it approved multiple consent agendas in a single vote; use of a consent agenda in </w:t>
      </w:r>
      <w:r w:rsidR="00CC15E6">
        <w:rPr>
          <w:rFonts w:asciiTheme="minorHAnsi" w:hAnsiTheme="minorHAnsi" w:cstheme="minorHAnsi"/>
          <w:sz w:val="16"/>
          <w:szCs w:val="16"/>
        </w:rPr>
        <w:t>such a</w:t>
      </w:r>
      <w:r w:rsidRPr="00707B4A">
        <w:rPr>
          <w:rFonts w:asciiTheme="minorHAnsi" w:hAnsiTheme="minorHAnsi" w:cstheme="minorHAnsi"/>
          <w:sz w:val="16"/>
          <w:szCs w:val="16"/>
        </w:rPr>
        <w:t xml:space="preserve"> way “constructively closes its public meetings and is an impermissible end run around the Open Meetings Act”).</w:t>
      </w:r>
    </w:p>
  </w:endnote>
  <w:endnote w:id="1052">
    <w:p w14:paraId="7D53A565" w14:textId="23CB47D7" w:rsidR="002F23BE" w:rsidRPr="00707B4A" w:rsidRDefault="002F23BE" w:rsidP="00707B4A">
      <w:pPr>
        <w:pStyle w:val="EndnoteText"/>
        <w:spacing w:line="160" w:lineRule="exact"/>
        <w:jc w:val="both"/>
        <w:rPr>
          <w:rFonts w:asciiTheme="minorHAnsi" w:hAnsiTheme="minorHAnsi" w:cstheme="minorHAnsi"/>
          <w: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88" w:history="1">
        <w:r w:rsidRPr="00707B4A">
          <w:rPr>
            <w:rStyle w:val="Hyperlink"/>
            <w:rFonts w:asciiTheme="minorHAnsi" w:hAnsiTheme="minorHAnsi" w:cstheme="minorHAnsi"/>
            <w:i/>
            <w:sz w:val="16"/>
            <w:szCs w:val="16"/>
          </w:rPr>
          <w:t xml:space="preserve">State ex rel. Ames v. Portage </w:t>
        </w:r>
        <w:r w:rsidRPr="00707B4A">
          <w:rPr>
            <w:rStyle w:val="Hyperlink"/>
            <w:rFonts w:asciiTheme="minorHAnsi" w:hAnsiTheme="minorHAnsi" w:cstheme="minorHAnsi"/>
            <w:i/>
            <w:sz w:val="16"/>
            <w:szCs w:val="16"/>
          </w:rPr>
          <w:t>Cty. Bd. of Commrs</w:t>
        </w:r>
        <w:r w:rsidRPr="00707B4A">
          <w:rPr>
            <w:rStyle w:val="Hyperlink"/>
            <w:rFonts w:asciiTheme="minorHAnsi" w:hAnsiTheme="minorHAnsi" w:cstheme="minorHAnsi"/>
            <w:sz w:val="16"/>
            <w:szCs w:val="16"/>
          </w:rPr>
          <w:t>.</w:t>
        </w:r>
      </w:hyperlink>
      <w:r w:rsidRPr="00707B4A">
        <w:rPr>
          <w:rFonts w:asciiTheme="minorHAnsi" w:hAnsiTheme="minorHAnsi" w:cstheme="minorHAnsi"/>
          <w:sz w:val="16"/>
          <w:szCs w:val="16"/>
        </w:rPr>
        <w:t>, 165 Ohio St.3d 292, 2021-Ohio-2374, ¶ 19.</w:t>
      </w:r>
    </w:p>
  </w:endnote>
  <w:endnote w:id="1053">
    <w:p w14:paraId="18EC3278" w14:textId="2D0FDB4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Manogg v. Stickle</w:t>
      </w:r>
      <w:r w:rsidRPr="00707B4A">
        <w:rPr>
          <w:rFonts w:asciiTheme="minorHAnsi" w:hAnsiTheme="minorHAnsi" w:cstheme="minorHAnsi"/>
          <w:sz w:val="16"/>
          <w:szCs w:val="16"/>
        </w:rPr>
        <w:t>, 5th Dist. Licking No. 97CA00104, 1998 Ohio App. LEXIS 1961 (Apr. 8, 1998).</w:t>
      </w:r>
    </w:p>
  </w:endnote>
  <w:endnote w:id="1054">
    <w:p w14:paraId="3858D360" w14:textId="3FC0041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Black v. Mecca Twp. Bd. of Trustees</w:t>
      </w:r>
      <w:r w:rsidRPr="00707B4A">
        <w:rPr>
          <w:rFonts w:asciiTheme="minorHAnsi" w:hAnsiTheme="minorHAnsi" w:cstheme="minorHAnsi"/>
          <w:sz w:val="16"/>
          <w:szCs w:val="16"/>
        </w:rPr>
        <w:t>, 91 Ohio App.3d 351, 356 (11th Dist. 1993) (</w:t>
      </w:r>
      <w:r w:rsidR="003A2A58" w:rsidRPr="00707B4A">
        <w:rPr>
          <w:rFonts w:asciiTheme="minorHAnsi" w:hAnsiTheme="minorHAnsi" w:cstheme="minorHAnsi"/>
          <w:sz w:val="16"/>
          <w:szCs w:val="16"/>
        </w:rPr>
        <w:t>the Open Meetings Act</w:t>
      </w:r>
      <w:r w:rsidR="00707B4A">
        <w:rPr>
          <w:rFonts w:asciiTheme="minorHAnsi" w:hAnsiTheme="minorHAnsi" w:cstheme="minorHAnsi"/>
          <w:sz w:val="16"/>
          <w:szCs w:val="16"/>
        </w:rPr>
        <w:t xml:space="preserve"> </w:t>
      </w:r>
      <w:r w:rsidRPr="00707B4A">
        <w:rPr>
          <w:rFonts w:asciiTheme="minorHAnsi" w:hAnsiTheme="minorHAnsi" w:cstheme="minorHAnsi"/>
          <w:sz w:val="16"/>
          <w:szCs w:val="16"/>
        </w:rPr>
        <w:t xml:space="preserve">does not require that a public body </w:t>
      </w:r>
      <w:r w:rsidR="003A2A58" w:rsidRPr="00707B4A">
        <w:rPr>
          <w:rFonts w:asciiTheme="minorHAnsi" w:hAnsiTheme="minorHAnsi" w:cstheme="minorHAnsi"/>
          <w:sz w:val="16"/>
          <w:szCs w:val="16"/>
        </w:rPr>
        <w:t>give</w:t>
      </w:r>
      <w:r w:rsidRPr="00707B4A">
        <w:rPr>
          <w:rFonts w:asciiTheme="minorHAnsi" w:hAnsiTheme="minorHAnsi" w:cstheme="minorHAnsi"/>
          <w:sz w:val="16"/>
          <w:szCs w:val="16"/>
        </w:rPr>
        <w:t xml:space="preserve"> the public an opportunity to comment at its meetings, but if public participation is permitted, it is subject to the protections of the First and Fourteenth Amendments); </w:t>
      </w:r>
      <w:r w:rsidRPr="00707B4A">
        <w:rPr>
          <w:rFonts w:asciiTheme="minorHAnsi" w:hAnsiTheme="minorHAnsi" w:cstheme="minorHAnsi"/>
          <w:i/>
          <w:sz w:val="16"/>
          <w:szCs w:val="16"/>
        </w:rPr>
        <w:t>Forman v. Blaser</w:t>
      </w:r>
      <w:r w:rsidRPr="00707B4A">
        <w:rPr>
          <w:rFonts w:asciiTheme="minorHAnsi" w:hAnsiTheme="minorHAnsi" w:cstheme="minorHAnsi"/>
          <w:sz w:val="16"/>
          <w:szCs w:val="16"/>
        </w:rPr>
        <w:t>, 3d Dist. Seneca No. 13-87-12, 1988 Ohio App. LEXIS 3405 (Aug. 8, 1988) (</w:t>
      </w:r>
      <w:r w:rsidR="003A2A58" w:rsidRPr="00707B4A">
        <w:rPr>
          <w:rFonts w:asciiTheme="minorHAnsi" w:hAnsiTheme="minorHAnsi" w:cstheme="minorHAnsi"/>
          <w:sz w:val="16"/>
          <w:szCs w:val="16"/>
        </w:rPr>
        <w:t>the Open Meetings Act</w:t>
      </w:r>
      <w:r w:rsidRPr="00707B4A">
        <w:rPr>
          <w:rFonts w:asciiTheme="minorHAnsi" w:hAnsiTheme="minorHAnsi" w:cstheme="minorHAnsi"/>
          <w:sz w:val="16"/>
          <w:szCs w:val="16"/>
        </w:rPr>
        <w:t xml:space="preserve"> guarantees the right to observe a meeting, but not necessarily the right to be heard);</w:t>
      </w:r>
      <w:r w:rsidR="003A2A58" w:rsidRPr="00707B4A">
        <w:rPr>
          <w:rFonts w:asciiTheme="minorHAnsi" w:hAnsiTheme="minorHAnsi" w:cstheme="minorHAnsi"/>
          <w:sz w:val="16"/>
          <w:szCs w:val="16"/>
        </w:rPr>
        <w:t xml:space="preserve"> </w:t>
      </w:r>
      <w:r w:rsidR="003A2A58" w:rsidRPr="00707B4A">
        <w:rPr>
          <w:rFonts w:asciiTheme="minorHAnsi" w:hAnsiTheme="minorHAnsi" w:cstheme="minorHAnsi"/>
          <w:i/>
          <w:iCs/>
          <w:sz w:val="16"/>
          <w:szCs w:val="16"/>
        </w:rPr>
        <w:t>see also</w:t>
      </w:r>
      <w:r w:rsidRPr="00707B4A">
        <w:rPr>
          <w:rFonts w:asciiTheme="minorHAnsi" w:hAnsiTheme="minorHAnsi" w:cstheme="minorHAnsi"/>
          <w:sz w:val="16"/>
          <w:szCs w:val="16"/>
        </w:rPr>
        <w:t xml:space="preserve"> </w:t>
      </w:r>
      <w:hyperlink r:id="rId1389" w:history="1">
        <w:r w:rsidRPr="00707B4A">
          <w:rPr>
            <w:rStyle w:val="Hyperlink"/>
            <w:rFonts w:asciiTheme="minorHAnsi" w:hAnsiTheme="minorHAnsi" w:cstheme="minorHAnsi"/>
            <w:i/>
            <w:sz w:val="16"/>
            <w:szCs w:val="16"/>
          </w:rPr>
          <w:t>Paridon v. Trumbull Cty. Children Servs. Bd.</w:t>
        </w:r>
      </w:hyperlink>
      <w:r w:rsidRPr="00707B4A">
        <w:rPr>
          <w:rFonts w:asciiTheme="minorHAnsi" w:hAnsiTheme="minorHAnsi" w:cstheme="minorHAnsi"/>
          <w:sz w:val="16"/>
          <w:szCs w:val="16"/>
        </w:rPr>
        <w:t>, 11th Dist. Trumbull No 2012-T-0035, 2013-Ohio-881, ¶ 19-29</w:t>
      </w:r>
      <w:r w:rsidR="003A2A58" w:rsidRPr="00707B4A">
        <w:rPr>
          <w:rFonts w:asciiTheme="minorHAnsi" w:hAnsiTheme="minorHAnsi" w:cstheme="minorHAnsi"/>
          <w:sz w:val="16"/>
          <w:szCs w:val="16"/>
        </w:rPr>
        <w:t xml:space="preserve"> (while the Public Records Act permits a requester to </w:t>
      </w:r>
      <w:r w:rsidR="00CC15E6">
        <w:rPr>
          <w:rFonts w:asciiTheme="minorHAnsi" w:hAnsiTheme="minorHAnsi" w:cstheme="minorHAnsi"/>
          <w:sz w:val="16"/>
          <w:szCs w:val="16"/>
        </w:rPr>
        <w:t>be</w:t>
      </w:r>
      <w:r w:rsidR="003A2A58" w:rsidRPr="00707B4A">
        <w:rPr>
          <w:rFonts w:asciiTheme="minorHAnsi" w:hAnsiTheme="minorHAnsi" w:cstheme="minorHAnsi"/>
          <w:sz w:val="16"/>
          <w:szCs w:val="16"/>
        </w:rPr>
        <w:t xml:space="preserve"> anonymous when making a public records request, the Open Meetings Act does not have a similar anonymity requirement; thus a public body can require attendees at meetings to disclose their identities by signing a sign-in sheet as long as the practice is content-neutral and narrowly tailored to serve a significant interest)</w:t>
      </w:r>
      <w:r w:rsidRPr="00707B4A">
        <w:rPr>
          <w:rFonts w:asciiTheme="minorHAnsi" w:hAnsiTheme="minorHAnsi" w:cstheme="minorHAnsi"/>
          <w:sz w:val="16"/>
          <w:szCs w:val="16"/>
        </w:rPr>
        <w:t>.</w:t>
      </w:r>
    </w:p>
  </w:endnote>
  <w:endnote w:id="1055">
    <w:p w14:paraId="42B1E30A" w14:textId="7EA865C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0" w:history="1">
        <w:r w:rsidRPr="00707B4A">
          <w:rPr>
            <w:rStyle w:val="Hyperlink"/>
            <w:rFonts w:asciiTheme="minorHAnsi" w:hAnsiTheme="minorHAnsi" w:cstheme="minorHAnsi"/>
            <w:bCs/>
            <w:i/>
            <w:sz w:val="16"/>
            <w:szCs w:val="16"/>
          </w:rPr>
          <w:t>Froehlich v. Ohio State Med. Bd.</w:t>
        </w:r>
      </w:hyperlink>
      <w:r w:rsidRPr="00707B4A">
        <w:rPr>
          <w:rFonts w:asciiTheme="minorHAnsi" w:hAnsiTheme="minorHAnsi" w:cstheme="minorHAnsi"/>
          <w:bCs/>
          <w:sz w:val="16"/>
          <w:szCs w:val="16"/>
        </w:rPr>
        <w:t>, 10th Dist. Franklin No. 15AP-666, 2016-Ohio-1035, ¶ 25-27 (no violation of Open Meetings Act where disruptive person is removed);</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Forman v. Blaser</w:t>
      </w:r>
      <w:r w:rsidRPr="00707B4A">
        <w:rPr>
          <w:rFonts w:asciiTheme="minorHAnsi" w:hAnsiTheme="minorHAnsi" w:cstheme="minorHAnsi"/>
          <w:sz w:val="16"/>
          <w:szCs w:val="16"/>
        </w:rPr>
        <w:t xml:space="preserve">, 3d Dist. Seneca No. 13-87-12, 1988 Ohio App. LEXIS 3405, *8 (Aug. 8, 1988) (“When an audience becomes so uncontrollable that the public body cannot deliberate, it would seem that the audience waives its right to, or is estopped from claiming a right under the Sunshine Law to continue to observe the proceedings.”); </w:t>
      </w:r>
      <w:r w:rsidRPr="00707B4A">
        <w:rPr>
          <w:rFonts w:asciiTheme="minorHAnsi" w:hAnsiTheme="minorHAnsi" w:cstheme="minorHAnsi"/>
          <w:i/>
          <w:sz w:val="16"/>
          <w:szCs w:val="16"/>
        </w:rPr>
        <w:t>see also Jones v. Heyman</w:t>
      </w:r>
      <w:r w:rsidRPr="00707B4A">
        <w:rPr>
          <w:rFonts w:asciiTheme="minorHAnsi" w:hAnsiTheme="minorHAnsi" w:cstheme="minorHAnsi"/>
          <w:sz w:val="16"/>
          <w:szCs w:val="16"/>
        </w:rPr>
        <w:t xml:space="preserve">, 888 F.2d 1328, 1333 (11th Cir. 1989) (no violation of First </w:t>
      </w:r>
      <w:r w:rsidR="00CC15E6">
        <w:rPr>
          <w:rFonts w:asciiTheme="minorHAnsi" w:hAnsiTheme="minorHAnsi" w:cstheme="minorHAnsi"/>
          <w:sz w:val="16"/>
          <w:szCs w:val="16"/>
        </w:rPr>
        <w:t>or</w:t>
      </w:r>
      <w:r w:rsidRPr="00707B4A">
        <w:rPr>
          <w:rFonts w:asciiTheme="minorHAnsi" w:hAnsiTheme="minorHAnsi" w:cstheme="minorHAnsi"/>
          <w:sz w:val="16"/>
          <w:szCs w:val="16"/>
        </w:rPr>
        <w:t xml:space="preserve"> Fourteenth Amendments when disruptive person was removed from a public meeting).</w:t>
      </w:r>
    </w:p>
  </w:endnote>
  <w:endnote w:id="1056">
    <w:p w14:paraId="3D5FD651" w14:textId="3EDE5B9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1" w:history="1">
        <w:r w:rsidRPr="00707B4A">
          <w:rPr>
            <w:rStyle w:val="Hyperlink"/>
            <w:rFonts w:asciiTheme="minorHAnsi" w:hAnsiTheme="minorHAnsi" w:cstheme="minorHAnsi"/>
            <w:i/>
            <w:sz w:val="16"/>
            <w:szCs w:val="16"/>
          </w:rPr>
          <w:t>McVey v. Carthage Twp. Trustees</w:t>
        </w:r>
      </w:hyperlink>
      <w:r w:rsidRPr="00707B4A">
        <w:rPr>
          <w:rFonts w:asciiTheme="minorHAnsi" w:hAnsiTheme="minorHAnsi" w:cstheme="minorHAnsi"/>
          <w:sz w:val="16"/>
          <w:szCs w:val="16"/>
        </w:rPr>
        <w:t xml:space="preserve">, 4th Dist. Athens No. 04CA44, 2005-Ohio-2869, ¶ 14-15 (trustees violated </w:t>
      </w:r>
      <w:r w:rsidR="003A2A58" w:rsidRPr="00707B4A">
        <w:rPr>
          <w:rFonts w:asciiTheme="minorHAnsi" w:hAnsiTheme="minorHAnsi" w:cstheme="minorHAnsi"/>
          <w:sz w:val="16"/>
          <w:szCs w:val="16"/>
        </w:rPr>
        <w:t>the Open Meetings Act when they banned</w:t>
      </w:r>
      <w:r w:rsidRPr="00707B4A">
        <w:rPr>
          <w:rFonts w:asciiTheme="minorHAnsi" w:hAnsiTheme="minorHAnsi" w:cstheme="minorHAnsi"/>
          <w:sz w:val="16"/>
          <w:szCs w:val="16"/>
        </w:rPr>
        <w:t xml:space="preserve"> videotaping</w:t>
      </w:r>
      <w:r w:rsidR="003A2A58" w:rsidRPr="00707B4A">
        <w:rPr>
          <w:rFonts w:asciiTheme="minorHAnsi" w:hAnsiTheme="minorHAnsi" w:cstheme="minorHAnsi"/>
          <w:sz w:val="16"/>
          <w:szCs w:val="16"/>
        </w:rPr>
        <w:t xml:space="preserve"> of their meetings</w:t>
      </w:r>
      <w:r w:rsidRPr="00707B4A">
        <w:rPr>
          <w:rFonts w:asciiTheme="minorHAnsi" w:hAnsiTheme="minorHAnsi" w:cstheme="minorHAnsi"/>
          <w:sz w:val="16"/>
          <w:szCs w:val="16"/>
        </w:rPr>
        <w:t>).</w:t>
      </w:r>
    </w:p>
  </w:endnote>
  <w:endnote w:id="1057">
    <w:p w14:paraId="20ADB98B" w14:textId="06EADBE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Kline v. Davis</w:t>
      </w:r>
      <w:r w:rsidRPr="00707B4A">
        <w:rPr>
          <w:rFonts w:asciiTheme="minorHAnsi" w:hAnsiTheme="minorHAnsi" w:cstheme="minorHAnsi"/>
          <w:sz w:val="16"/>
          <w:szCs w:val="16"/>
        </w:rPr>
        <w:t xml:space="preserve">, 4th Dist. Lawrence Nos. 00CA32, 01CA13, 2001-Ohio-2625 (blanket prohibition on recording a public meeting is not permissible); </w:t>
      </w:r>
      <w:hyperlink r:id="rId1392" w:history="1">
        <w:r w:rsidRPr="00707B4A">
          <w:rPr>
            <w:rStyle w:val="Hyperlink"/>
            <w:rFonts w:asciiTheme="minorHAnsi" w:hAnsiTheme="minorHAnsi" w:cstheme="minorHAnsi"/>
            <w:sz w:val="16"/>
            <w:szCs w:val="16"/>
          </w:rPr>
          <w:t xml:space="preserve">1988 Ohio </w:t>
        </w:r>
        <w:r w:rsidRPr="00707B4A">
          <w:rPr>
            <w:rStyle w:val="Hyperlink"/>
            <w:rFonts w:asciiTheme="minorHAnsi" w:hAnsiTheme="minorHAnsi" w:cstheme="minorHAnsi"/>
            <w:sz w:val="16"/>
            <w:szCs w:val="16"/>
          </w:rPr>
          <w:t xml:space="preserve">Atty.Gen.Ops. No. 087 </w:t>
        </w:r>
      </w:hyperlink>
      <w:r w:rsidRPr="00707B4A">
        <w:rPr>
          <w:rFonts w:asciiTheme="minorHAnsi" w:hAnsiTheme="minorHAnsi" w:cstheme="minorHAnsi"/>
          <w:sz w:val="16"/>
          <w:szCs w:val="16"/>
        </w:rPr>
        <w:t xml:space="preserve">(opining that trustees have authority to adopt reasonable rules for use of recording equipment at their meetings); </w:t>
      </w:r>
      <w:r w:rsidRPr="00707B4A">
        <w:rPr>
          <w:rFonts w:asciiTheme="minorHAnsi" w:hAnsiTheme="minorHAnsi" w:cstheme="minorHAnsi"/>
          <w:i/>
          <w:sz w:val="16"/>
          <w:szCs w:val="16"/>
        </w:rPr>
        <w:t xml:space="preserve">see also </w:t>
      </w:r>
      <w:hyperlink r:id="rId1393" w:history="1">
        <w:r w:rsidRPr="00707B4A">
          <w:rPr>
            <w:rStyle w:val="Hyperlink"/>
            <w:rFonts w:asciiTheme="minorHAnsi" w:hAnsiTheme="minorHAnsi" w:cstheme="minorHAnsi"/>
            <w:i/>
            <w:sz w:val="16"/>
            <w:szCs w:val="16"/>
          </w:rPr>
          <w:t>Mahajan v. State Med. Bd. of Ohio</w:t>
        </w:r>
      </w:hyperlink>
      <w:r w:rsidRPr="00707B4A">
        <w:rPr>
          <w:rFonts w:asciiTheme="minorHAnsi" w:hAnsiTheme="minorHAnsi" w:cstheme="minorHAnsi"/>
          <w:sz w:val="16"/>
          <w:szCs w:val="16"/>
        </w:rPr>
        <w:t>, 10th Dist. Franklin Nos. 11AP-421, 11AP-422, 2011-Ohio-6728 (when rule allowed board to designate reasonable location for placement of recording equipment, requiring appellant’s court reporter to move to the back of the room was reasonable, given the need to transact board business).</w:t>
      </w:r>
    </w:p>
  </w:endnote>
  <w:endnote w:id="1058">
    <w:p w14:paraId="43B3D459" w14:textId="43910D7F"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4" w:history="1">
        <w:r w:rsidRPr="00707B4A">
          <w:rPr>
            <w:rStyle w:val="Hyperlink"/>
            <w:rFonts w:asciiTheme="minorHAnsi" w:hAnsiTheme="minorHAnsi" w:cstheme="minorHAnsi"/>
            <w:sz w:val="16"/>
            <w:szCs w:val="16"/>
          </w:rPr>
          <w:t>R.C. 121.22(A)</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Mansfield City Council v. Richland </w:t>
      </w:r>
      <w:r w:rsidRPr="00707B4A">
        <w:rPr>
          <w:rFonts w:asciiTheme="minorHAnsi" w:hAnsiTheme="minorHAnsi" w:cstheme="minorHAnsi"/>
          <w:i/>
          <w:sz w:val="16"/>
          <w:szCs w:val="16"/>
        </w:rPr>
        <w:t>Cty. Council AFL-CIO</w:t>
      </w:r>
      <w:r w:rsidRPr="00707B4A">
        <w:rPr>
          <w:rFonts w:asciiTheme="minorHAnsi" w:hAnsiTheme="minorHAnsi" w:cstheme="minorHAnsi"/>
          <w:sz w:val="16"/>
          <w:szCs w:val="16"/>
        </w:rPr>
        <w:t>, 5th Dist. Richland No. 03CA55, 2003 Ohio App. LEXIS 6654, *12 (Dec. 24, 2003) (reaching a consensus to take no action on a pending matter, as reflected by members’ comments, is impermissible during an executive session).</w:t>
      </w:r>
    </w:p>
  </w:endnote>
  <w:endnote w:id="1059">
    <w:p w14:paraId="64E645C7" w14:textId="50D31D7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5"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Katterhenrich v. Fed. Hocking Local School Dist. Bd. of Edn</w:t>
      </w:r>
      <w:r w:rsidRPr="00707B4A">
        <w:rPr>
          <w:rFonts w:asciiTheme="minorHAnsi" w:hAnsiTheme="minorHAnsi" w:cstheme="minorHAnsi"/>
          <w:sz w:val="16"/>
          <w:szCs w:val="16"/>
        </w:rPr>
        <w:t>., 121 Ohio App.3d 579, 587 (4th Dist. 1997) (“Typically, one would expect regular meetings to be scheduled well in advance ….”).</w:t>
      </w:r>
    </w:p>
  </w:endnote>
  <w:endnote w:id="1060">
    <w:p w14:paraId="710FCF43" w14:textId="7558554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6" w:history="1">
        <w:r w:rsidRPr="00707B4A">
          <w:rPr>
            <w:rStyle w:val="Hyperlink"/>
            <w:rFonts w:asciiTheme="minorHAnsi" w:hAnsiTheme="minorHAnsi" w:cstheme="minorHAnsi"/>
            <w:i/>
            <w:sz w:val="16"/>
            <w:szCs w:val="16"/>
          </w:rPr>
          <w:t xml:space="preserve">State ex rel. Patrick Bros. v. Putnam </w:t>
        </w:r>
        <w:r w:rsidRPr="00707B4A">
          <w:rPr>
            <w:rStyle w:val="Hyperlink"/>
            <w:rFonts w:asciiTheme="minorHAnsi" w:hAnsiTheme="minorHAnsi" w:cstheme="minorHAnsi"/>
            <w:i/>
            <w:sz w:val="16"/>
            <w:szCs w:val="16"/>
          </w:rPr>
          <w:t>Cty. Bd. of Commrs.</w:t>
        </w:r>
      </w:hyperlink>
      <w:r w:rsidRPr="00707B4A">
        <w:rPr>
          <w:rFonts w:asciiTheme="minorHAnsi" w:hAnsiTheme="minorHAnsi" w:cstheme="minorHAnsi"/>
          <w:sz w:val="16"/>
          <w:szCs w:val="16"/>
        </w:rPr>
        <w:t xml:space="preserve">, 3d Dist. Putnam No. 12-13-05, 2014-Ohio-2717, ¶ 24; </w:t>
      </w:r>
      <w:hyperlink r:id="rId1397" w:history="1">
        <w:r w:rsidRPr="00707B4A">
          <w:rPr>
            <w:rStyle w:val="Hyperlink"/>
            <w:rFonts w:asciiTheme="minorHAnsi" w:hAnsiTheme="minorHAnsi" w:cstheme="minorHAnsi"/>
            <w:i/>
            <w:sz w:val="16"/>
            <w:szCs w:val="16"/>
          </w:rPr>
          <w:t>Doran v. Northmont Bd. of Edn.</w:t>
        </w:r>
      </w:hyperlink>
      <w:r w:rsidRPr="00707B4A">
        <w:rPr>
          <w:rFonts w:asciiTheme="minorHAnsi" w:hAnsiTheme="minorHAnsi" w:cstheme="minorHAnsi"/>
          <w:sz w:val="16"/>
          <w:szCs w:val="16"/>
        </w:rPr>
        <w:t>, 147 Ohio App.3d 268, 272 (2d Dist. 2002).</w:t>
      </w:r>
    </w:p>
  </w:endnote>
  <w:endnote w:id="1061">
    <w:p w14:paraId="068F33BB" w14:textId="3AECCA3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8" w:history="1">
        <w:r w:rsidRPr="00707B4A">
          <w:rPr>
            <w:rStyle w:val="Hyperlink"/>
            <w:rFonts w:asciiTheme="minorHAnsi" w:hAnsiTheme="minorHAnsi" w:cstheme="minorHAnsi"/>
            <w:sz w:val="16"/>
            <w:szCs w:val="16"/>
          </w:rPr>
          <w:t xml:space="preserve">1988 Ohio </w:t>
        </w:r>
        <w:r w:rsidRPr="00707B4A">
          <w:rPr>
            <w:rStyle w:val="Hyperlink"/>
            <w:rFonts w:asciiTheme="minorHAnsi" w:hAnsiTheme="minorHAnsi" w:cstheme="minorHAnsi"/>
            <w:sz w:val="16"/>
            <w:szCs w:val="16"/>
          </w:rPr>
          <w:t>Atty.Gen.Ops. No. 029</w:t>
        </w:r>
      </w:hyperlink>
      <w:r w:rsidRPr="00707B4A">
        <w:rPr>
          <w:rFonts w:asciiTheme="minorHAnsi" w:hAnsiTheme="minorHAnsi" w:cstheme="minorHAnsi"/>
          <w:sz w:val="16"/>
          <w:szCs w:val="16"/>
        </w:rPr>
        <w:t>;</w:t>
      </w:r>
      <w:r w:rsidRPr="00707B4A">
        <w:rPr>
          <w:rFonts w:asciiTheme="minorHAnsi" w:hAnsiTheme="minorHAnsi" w:cstheme="minorHAnsi"/>
          <w:i/>
          <w:sz w:val="16"/>
          <w:szCs w:val="16"/>
        </w:rPr>
        <w:t xml:space="preserve"> Katterhenrich v. Fed. Hocking Local School Dist. Bd. of Edn</w:t>
      </w:r>
      <w:r w:rsidRPr="00707B4A">
        <w:rPr>
          <w:rFonts w:asciiTheme="minorHAnsi" w:hAnsiTheme="minorHAnsi" w:cstheme="minorHAnsi"/>
          <w:sz w:val="16"/>
          <w:szCs w:val="16"/>
        </w:rPr>
        <w:t>., 121 Ohio App.3d 579, 587 (4th Dist. 1997).</w:t>
      </w:r>
    </w:p>
  </w:endnote>
  <w:endnote w:id="1062">
    <w:p w14:paraId="3EC0401C" w14:textId="3B0CDDA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399"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see also Wyse v. Rupp</w:t>
      </w:r>
      <w:r w:rsidRPr="00707B4A">
        <w:rPr>
          <w:rFonts w:asciiTheme="minorHAnsi" w:hAnsiTheme="minorHAnsi" w:cstheme="minorHAnsi"/>
          <w:sz w:val="16"/>
          <w:szCs w:val="16"/>
        </w:rPr>
        <w:t xml:space="preserve">, 6th Dist. Fulton No. F-94-19, 1995 Ohio App. LEXIS 4008, *21 (Sept. 15, 1995) (finding a public body must specifically identify the time at which a public meeting will </w:t>
      </w:r>
      <w:r w:rsidR="00CC15E6">
        <w:rPr>
          <w:rFonts w:asciiTheme="minorHAnsi" w:hAnsiTheme="minorHAnsi" w:cstheme="minorHAnsi"/>
          <w:sz w:val="16"/>
          <w:szCs w:val="16"/>
        </w:rPr>
        <w:t>start</w:t>
      </w:r>
      <w:r w:rsidRPr="00707B4A">
        <w:rPr>
          <w:rFonts w:asciiTheme="minorHAnsi" w:hAnsiTheme="minorHAnsi" w:cstheme="minorHAnsi"/>
          <w:sz w:val="16"/>
          <w:szCs w:val="16"/>
        </w:rPr>
        <w:t>).</w:t>
      </w:r>
    </w:p>
  </w:endnote>
  <w:endnote w:id="1063">
    <w:p w14:paraId="70684E55" w14:textId="2679A24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Fairfield Leader v. Ricketts</w:t>
      </w:r>
      <w:r w:rsidRPr="00707B4A">
        <w:rPr>
          <w:rFonts w:asciiTheme="minorHAnsi" w:hAnsiTheme="minorHAnsi" w:cstheme="minorHAnsi"/>
          <w:sz w:val="16"/>
          <w:szCs w:val="16"/>
        </w:rPr>
        <w:t xml:space="preserve">, 56 Ohio St.3d 97, 100 (1990) (“The council either meets in a regular session or it does not, and any session that is not regular is special.”); </w:t>
      </w:r>
      <w:hyperlink r:id="rId1400" w:history="1">
        <w:r w:rsidRPr="00707B4A">
          <w:rPr>
            <w:rStyle w:val="Hyperlink"/>
            <w:rFonts w:asciiTheme="minorHAnsi" w:hAnsiTheme="minorHAnsi" w:cstheme="minorHAnsi"/>
            <w:sz w:val="16"/>
            <w:szCs w:val="16"/>
          </w:rPr>
          <w:t xml:space="preserve">1988 Ohio </w:t>
        </w:r>
        <w:r w:rsidRPr="00707B4A">
          <w:rPr>
            <w:rStyle w:val="Hyperlink"/>
            <w:rFonts w:asciiTheme="minorHAnsi" w:hAnsiTheme="minorHAnsi" w:cstheme="minorHAnsi"/>
            <w:sz w:val="16"/>
            <w:szCs w:val="16"/>
          </w:rPr>
          <w:t>Atty.Gen.Ops. No. 029</w:t>
        </w:r>
      </w:hyperlink>
      <w:r w:rsidRPr="00707B4A">
        <w:rPr>
          <w:rFonts w:asciiTheme="minorHAnsi" w:hAnsiTheme="minorHAnsi" w:cstheme="minorHAnsi"/>
          <w:sz w:val="16"/>
          <w:szCs w:val="16"/>
        </w:rPr>
        <w:t xml:space="preserve"> (opining that, “[w]hile the term ‘special meeting’ is not defined in R.C. 121.22, its use in context indicates that a reference to all meetings other than ‘regular’ meetings was intended”).</w:t>
      </w:r>
    </w:p>
  </w:endnote>
  <w:endnote w:id="1064">
    <w:p w14:paraId="6C91FCC0" w14:textId="77A0949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hyperlink r:id="rId1401" w:history="1">
        <w:r w:rsidRPr="00707B4A">
          <w:rPr>
            <w:rStyle w:val="Hyperlink"/>
            <w:rFonts w:asciiTheme="minorHAnsi" w:hAnsiTheme="minorHAnsi" w:cstheme="minorHAnsi"/>
            <w:sz w:val="16"/>
            <w:szCs w:val="16"/>
          </w:rPr>
          <w:t xml:space="preserve"> R.C. 121.22(F)</w:t>
        </w:r>
      </w:hyperlink>
      <w:r w:rsidRPr="00707B4A">
        <w:rPr>
          <w:rFonts w:asciiTheme="minorHAnsi" w:hAnsiTheme="minorHAnsi" w:cstheme="minorHAnsi"/>
          <w:sz w:val="16"/>
          <w:szCs w:val="16"/>
        </w:rPr>
        <w:t>; s</w:t>
      </w:r>
      <w:r w:rsidRPr="00707B4A">
        <w:rPr>
          <w:rFonts w:asciiTheme="minorHAnsi" w:hAnsiTheme="minorHAnsi" w:cstheme="minorHAnsi"/>
          <w:i/>
          <w:sz w:val="16"/>
          <w:szCs w:val="16"/>
        </w:rPr>
        <w:t xml:space="preserve">ee also </w:t>
      </w:r>
      <w:hyperlink r:id="rId1402" w:history="1">
        <w:r w:rsidRPr="00707B4A">
          <w:rPr>
            <w:rStyle w:val="Hyperlink"/>
            <w:rFonts w:asciiTheme="minorHAnsi" w:hAnsiTheme="minorHAnsi" w:cstheme="minorHAnsi"/>
            <w:i/>
            <w:sz w:val="16"/>
            <w:szCs w:val="16"/>
          </w:rPr>
          <w:t xml:space="preserve">Doran v. Northmont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147 Ohio App.3d 268, 272-73 (2d Dist. 2002) (a board violated</w:t>
      </w:r>
      <w:r w:rsidR="003A2A58" w:rsidRPr="00707B4A">
        <w:rPr>
          <w:rFonts w:asciiTheme="minorHAnsi" w:hAnsiTheme="minorHAnsi" w:cstheme="minorHAnsi"/>
          <w:sz w:val="16"/>
          <w:szCs w:val="16"/>
        </w:rPr>
        <w:t xml:space="preserve"> the Open Meetings Act</w:t>
      </w:r>
      <w:r w:rsidRPr="00707B4A">
        <w:rPr>
          <w:rFonts w:asciiTheme="minorHAnsi" w:hAnsiTheme="minorHAnsi" w:cstheme="minorHAnsi"/>
          <w:sz w:val="16"/>
          <w:szCs w:val="16"/>
        </w:rPr>
        <w:t xml:space="preserve"> by failing to establish, by rule, method to provide reasonable notice to the public of time, place, and purpose of special meetings); </w:t>
      </w:r>
      <w:hyperlink r:id="rId1403" w:history="1">
        <w:r w:rsidRPr="00707B4A">
          <w:rPr>
            <w:rStyle w:val="Hyperlink"/>
            <w:rFonts w:asciiTheme="minorHAnsi" w:hAnsiTheme="minorHAnsi" w:cstheme="minorHAnsi"/>
            <w:i/>
            <w:sz w:val="16"/>
            <w:szCs w:val="16"/>
          </w:rPr>
          <w:t>State ex rel. Stiller v. Columbiana Exempted Village School Dist. Bd. of Edn.</w:t>
        </w:r>
      </w:hyperlink>
      <w:r w:rsidRPr="00707B4A">
        <w:rPr>
          <w:rFonts w:asciiTheme="minorHAnsi" w:hAnsiTheme="minorHAnsi" w:cstheme="minorHAnsi"/>
          <w:sz w:val="16"/>
          <w:szCs w:val="16"/>
        </w:rPr>
        <w:t>, 74 Ohio St.3d 113, 119-20 (1995) (</w:t>
      </w:r>
      <w:r w:rsidR="003A2A58" w:rsidRPr="00707B4A">
        <w:rPr>
          <w:rFonts w:asciiTheme="minorHAnsi" w:hAnsiTheme="minorHAnsi" w:cstheme="minorHAnsi"/>
          <w:sz w:val="16"/>
          <w:szCs w:val="16"/>
        </w:rPr>
        <w:t>public body did not violate the Open Meetings Act when it gave</w:t>
      </w:r>
      <w:r w:rsidRPr="00707B4A">
        <w:rPr>
          <w:rFonts w:asciiTheme="minorHAnsi" w:hAnsiTheme="minorHAnsi" w:cstheme="minorHAnsi"/>
          <w:sz w:val="16"/>
          <w:szCs w:val="16"/>
        </w:rPr>
        <w:t xml:space="preserve"> general notice that nonrenewal of contract would be discussed, even though ancillary matters were also discussed).</w:t>
      </w:r>
    </w:p>
  </w:endnote>
  <w:endnote w:id="1065">
    <w:p w14:paraId="379A44EA" w14:textId="3E703FD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04"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hyperlink r:id="rId1405" w:history="1">
        <w:r w:rsidRPr="00707B4A">
          <w:rPr>
            <w:rStyle w:val="Hyperlink"/>
            <w:rFonts w:asciiTheme="minorHAnsi" w:hAnsiTheme="minorHAnsi" w:cstheme="minorHAnsi"/>
            <w:sz w:val="16"/>
            <w:szCs w:val="16"/>
          </w:rPr>
          <w:t xml:space="preserve">1988 Ohio </w:t>
        </w:r>
        <w:r w:rsidRPr="00707B4A">
          <w:rPr>
            <w:rStyle w:val="Hyperlink"/>
            <w:rFonts w:asciiTheme="minorHAnsi" w:hAnsiTheme="minorHAnsi" w:cstheme="minorHAnsi"/>
            <w:sz w:val="16"/>
            <w:szCs w:val="16"/>
          </w:rPr>
          <w:t>Atty.Gen.Ops. No. 029.</w:t>
        </w:r>
      </w:hyperlink>
    </w:p>
  </w:endnote>
  <w:endnote w:id="1066">
    <w:p w14:paraId="3452A5E4" w14:textId="19483754"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06" w:history="1">
        <w:r w:rsidRPr="00707B4A">
          <w:rPr>
            <w:rStyle w:val="Hyperlink"/>
            <w:rFonts w:asciiTheme="minorHAnsi" w:hAnsiTheme="minorHAnsi" w:cstheme="minorHAnsi"/>
            <w:bCs/>
            <w:i/>
            <w:sz w:val="16"/>
            <w:szCs w:val="16"/>
          </w:rPr>
          <w:t xml:space="preserve">Keystone </w:t>
        </w:r>
        <w:r w:rsidRPr="00707B4A">
          <w:rPr>
            <w:rStyle w:val="Hyperlink"/>
            <w:rFonts w:asciiTheme="minorHAnsi" w:hAnsiTheme="minorHAnsi" w:cstheme="minorHAnsi"/>
            <w:bCs/>
            <w:i/>
            <w:sz w:val="16"/>
            <w:szCs w:val="16"/>
          </w:rPr>
          <w:t>Commt. v. Switzerland of Ohio School Dist. Bd. of Edn.</w:t>
        </w:r>
      </w:hyperlink>
      <w:r w:rsidRPr="00707B4A">
        <w:rPr>
          <w:rFonts w:asciiTheme="minorHAnsi" w:hAnsiTheme="minorHAnsi" w:cstheme="minorHAnsi"/>
          <w:bCs/>
          <w:sz w:val="16"/>
          <w:szCs w:val="16"/>
        </w:rPr>
        <w:t xml:space="preserve">, 7th Dist. Monroe No. 15 MO 0011, 2016-Ohio-4663, ¶ 35-36, 40-43 (special meeting notice of “2015-2016 school year” was not specific enough to meeting’s purpose to discuss a school closure, and large crowds did not prove notice was sufficient); </w:t>
      </w:r>
      <w:hyperlink r:id="rId1407" w:history="1">
        <w:r w:rsidRPr="00707B4A">
          <w:rPr>
            <w:rStyle w:val="Hyperlink"/>
            <w:rFonts w:asciiTheme="minorHAnsi" w:hAnsiTheme="minorHAnsi" w:cstheme="minorHAnsi"/>
            <w:i/>
            <w:sz w:val="16"/>
            <w:szCs w:val="16"/>
          </w:rPr>
          <w:t>State ex rel. Young v. Lebanon City School Dist. Bd. of Edn.</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 xml:space="preserve">12th Dist. Warren No. CA2012-02-013, 2013-Ohio-1111 (school board failed to comply with special meeting notice requirements when notice indicated that the purpose of the special meeting was “community information,” but during the meeting the board entered executive session “to discuss negotiations with public employees concerning their compensation and other terms and conditions of their employment”); </w:t>
      </w:r>
      <w:hyperlink r:id="rId1408" w:history="1">
        <w:r w:rsidRPr="00B277BB">
          <w:rPr>
            <w:rStyle w:val="Hyperlink"/>
            <w:rFonts w:asciiTheme="minorHAnsi" w:hAnsiTheme="minorHAnsi" w:cstheme="minorHAnsi"/>
            <w:i/>
            <w:sz w:val="16"/>
            <w:szCs w:val="16"/>
          </w:rPr>
          <w:t>State ex rel. Ames v. Rootstown Twp. Bd. of Trustees</w:t>
        </w:r>
      </w:hyperlink>
      <w:r w:rsidRPr="00707B4A">
        <w:rPr>
          <w:rFonts w:asciiTheme="minorHAnsi" w:hAnsiTheme="minorHAnsi" w:cstheme="minorHAnsi"/>
          <w:i/>
          <w:sz w:val="16"/>
          <w:szCs w:val="16"/>
        </w:rPr>
        <w:t xml:space="preserve">, </w:t>
      </w:r>
      <w:r w:rsidRPr="00707B4A">
        <w:rPr>
          <w:rFonts w:asciiTheme="minorHAnsi" w:hAnsiTheme="minorHAnsi" w:cstheme="minorHAnsi"/>
          <w:sz w:val="16"/>
          <w:szCs w:val="16"/>
        </w:rPr>
        <w:t xml:space="preserve">11th Dist. Portage No. 2019-P-0019, 2019-Ohio-5412, ¶ 56 (special meeting notice of “budget approval” was sufficiently specific to cover discussion of invoice payments). </w:t>
      </w:r>
    </w:p>
  </w:endnote>
  <w:endnote w:id="1067">
    <w:p w14:paraId="61B2F058" w14:textId="7B03DD9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Jones v. Brookfield Twp. Trustees</w:t>
      </w:r>
      <w:r w:rsidRPr="00707B4A">
        <w:rPr>
          <w:rFonts w:asciiTheme="minorHAnsi" w:hAnsiTheme="minorHAnsi" w:cstheme="minorHAnsi"/>
          <w:sz w:val="16"/>
          <w:szCs w:val="16"/>
        </w:rPr>
        <w:t xml:space="preserve">, 11th Dist. Trumbull No. 92-T-4692, 1995 Ohio App. LEXIS 2805 (June 30, 1995); </w:t>
      </w:r>
      <w:r w:rsidRPr="00707B4A">
        <w:rPr>
          <w:rFonts w:asciiTheme="minorHAnsi" w:hAnsiTheme="minorHAnsi" w:cstheme="minorHAnsi"/>
          <w:i/>
          <w:sz w:val="16"/>
          <w:szCs w:val="16"/>
        </w:rPr>
        <w:t xml:space="preserve">see also Satterfield v. Adams </w:t>
      </w:r>
      <w:r w:rsidRPr="00707B4A">
        <w:rPr>
          <w:rFonts w:asciiTheme="minorHAnsi" w:hAnsiTheme="minorHAnsi" w:cstheme="minorHAnsi"/>
          <w:i/>
          <w:sz w:val="16"/>
          <w:szCs w:val="16"/>
        </w:rPr>
        <w:t>Cty. Ohio Valley School Dist.</w:t>
      </w:r>
      <w:r w:rsidRPr="00707B4A">
        <w:rPr>
          <w:rFonts w:asciiTheme="minorHAnsi" w:hAnsiTheme="minorHAnsi" w:cstheme="minorHAnsi"/>
          <w:sz w:val="16"/>
          <w:szCs w:val="16"/>
        </w:rPr>
        <w:t>, 4th Dist. Adams No. 95CA611, 1996 Ohio App. LEXIS 4897, *17 (Nov. 6, 1996) (although specific agenda items may be listed, use of agenda term “personnel” is sufficient for notice of special meeting).</w:t>
      </w:r>
    </w:p>
  </w:endnote>
  <w:endnote w:id="1068">
    <w:p w14:paraId="28BB5BFA" w14:textId="3C91D75C"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09" w:history="1">
        <w:r w:rsidRPr="00707B4A">
          <w:rPr>
            <w:rStyle w:val="Hyperlink"/>
            <w:rFonts w:asciiTheme="minorHAnsi" w:hAnsiTheme="minorHAnsi" w:cstheme="minorHAnsi"/>
            <w:i/>
            <w:sz w:val="16"/>
            <w:szCs w:val="16"/>
          </w:rPr>
          <w:t xml:space="preserve">State ex rel. Jones v. Bd. of </w:t>
        </w:r>
        <w:r w:rsidRPr="00707B4A">
          <w:rPr>
            <w:rStyle w:val="Hyperlink"/>
            <w:rFonts w:asciiTheme="minorHAnsi" w:hAnsiTheme="minorHAnsi" w:cstheme="minorHAnsi"/>
            <w:i/>
            <w:sz w:val="16"/>
            <w:szCs w:val="16"/>
          </w:rPr>
          <w:t>Edn. of the Dayton Pub. Schs.</w:t>
        </w:r>
      </w:hyperlink>
      <w:r w:rsidRPr="00707B4A">
        <w:rPr>
          <w:rFonts w:asciiTheme="minorHAnsi" w:hAnsiTheme="minorHAnsi" w:cstheme="minorHAnsi"/>
          <w:sz w:val="16"/>
          <w:szCs w:val="16"/>
        </w:rPr>
        <w:t xml:space="preserve">, 2d Dist. Montgomery No. 27649, 2018-Ohio-676, ¶ 51-66 (action taken in open session of special meeting exceeded the scope of the notice); </w:t>
      </w:r>
      <w:r w:rsidRPr="00707B4A">
        <w:rPr>
          <w:rFonts w:asciiTheme="minorHAnsi" w:hAnsiTheme="minorHAnsi" w:cstheme="minorHAnsi"/>
          <w:i/>
          <w:sz w:val="16"/>
          <w:szCs w:val="16"/>
        </w:rPr>
        <w:t>Hoops v. Jerusalem Twp. Bd. of Trustees</w:t>
      </w:r>
      <w:r w:rsidRPr="00707B4A">
        <w:rPr>
          <w:rFonts w:asciiTheme="minorHAnsi" w:hAnsiTheme="minorHAnsi" w:cstheme="minorHAnsi"/>
          <w:sz w:val="16"/>
          <w:szCs w:val="16"/>
        </w:rPr>
        <w:t xml:space="preserve">, 6th Dist. Lucas No. L-97-1240, 1998 Ohio App. LEXIS 1496, *13 (Apr. 10, 1998) (business transacted at special meetings exceeded scope of published purpose and thus violated R.C. 121.22(F)).  </w:t>
      </w:r>
      <w:r w:rsidRPr="00707B4A">
        <w:rPr>
          <w:rFonts w:asciiTheme="minorHAnsi" w:hAnsiTheme="minorHAnsi" w:cstheme="minorHAnsi"/>
          <w:i/>
          <w:sz w:val="16"/>
          <w:szCs w:val="16"/>
        </w:rPr>
        <w:t xml:space="preserve">But see </w:t>
      </w:r>
      <w:hyperlink r:id="rId1410" w:history="1">
        <w:r w:rsidRPr="00707B4A">
          <w:rPr>
            <w:rStyle w:val="Hyperlink"/>
            <w:rFonts w:asciiTheme="minorHAnsi" w:hAnsiTheme="minorHAnsi" w:cstheme="minorHAnsi"/>
            <w:i/>
            <w:sz w:val="16"/>
            <w:szCs w:val="16"/>
          </w:rPr>
          <w:t>State ex rel. Ames v. Portage Cty. Bd. of Commrs.</w:t>
        </w:r>
      </w:hyperlink>
      <w:r w:rsidRPr="00707B4A">
        <w:rPr>
          <w:rFonts w:asciiTheme="minorHAnsi" w:hAnsiTheme="minorHAnsi" w:cstheme="minorHAnsi"/>
          <w:sz w:val="16"/>
          <w:szCs w:val="16"/>
        </w:rPr>
        <w:t>, 11th Dist. Portage No. 2-16-P-0057, 2017-Ohio-4237, ¶ 46 (</w:t>
      </w:r>
      <w:r w:rsidR="00501B30" w:rsidRPr="00707B4A">
        <w:rPr>
          <w:rFonts w:asciiTheme="minorHAnsi" w:hAnsiTheme="minorHAnsi" w:cstheme="minorHAnsi"/>
          <w:sz w:val="16"/>
          <w:szCs w:val="16"/>
        </w:rPr>
        <w:t xml:space="preserve">public bodies may convene into executive session in emergency meetings; doing so </w:t>
      </w:r>
      <w:r w:rsidRPr="00707B4A">
        <w:rPr>
          <w:rFonts w:asciiTheme="minorHAnsi" w:hAnsiTheme="minorHAnsi" w:cstheme="minorHAnsi"/>
          <w:sz w:val="16"/>
          <w:szCs w:val="16"/>
        </w:rPr>
        <w:t>did not exceed the scope of the special meeting notice).</w:t>
      </w:r>
    </w:p>
  </w:endnote>
  <w:endnote w:id="1069">
    <w:p w14:paraId="36C450E6" w14:textId="18889D1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1" w:history="1">
        <w:r w:rsidRPr="00707B4A">
          <w:rPr>
            <w:rStyle w:val="Hyperlink"/>
            <w:rFonts w:asciiTheme="minorHAnsi" w:hAnsiTheme="minorHAnsi" w:cstheme="minorHAnsi"/>
            <w:bCs/>
            <w:i/>
            <w:sz w:val="16"/>
            <w:szCs w:val="16"/>
          </w:rPr>
          <w:t>State ex rel. Bates v. Smith</w:t>
        </w:r>
      </w:hyperlink>
      <w:r w:rsidRPr="00707B4A">
        <w:rPr>
          <w:rFonts w:asciiTheme="minorHAnsi" w:hAnsiTheme="minorHAnsi" w:cstheme="minorHAnsi"/>
          <w:bCs/>
          <w:sz w:val="16"/>
          <w:szCs w:val="16"/>
        </w:rPr>
        <w:t>, 147 Ohio St.3d 322, 2016-Ohio-5449, ¶ 13-17 (“emergency” meeting was improper because there was no suggestion of any emergency that would necessitate such a meeting);</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Neuvirth v. Bd. of Trustees of Bainbridge Twp.</w:t>
      </w:r>
      <w:r w:rsidRPr="00707B4A">
        <w:rPr>
          <w:rFonts w:asciiTheme="minorHAnsi" w:hAnsiTheme="minorHAnsi" w:cstheme="minorHAnsi"/>
          <w:sz w:val="16"/>
          <w:szCs w:val="16"/>
        </w:rPr>
        <w:t xml:space="preserve">, 11th Dist. Geauga No. 919, 1981 Ohio App. LEXIS 14641, **2-4 (Jun. 29, 1981) (meetings were not emergencies </w:t>
      </w:r>
      <w:r w:rsidR="00501B30" w:rsidRPr="00707B4A">
        <w:rPr>
          <w:rFonts w:asciiTheme="minorHAnsi" w:hAnsiTheme="minorHAnsi" w:cstheme="minorHAnsi"/>
          <w:sz w:val="16"/>
          <w:szCs w:val="16"/>
        </w:rPr>
        <w:t xml:space="preserve">when </w:t>
      </w:r>
      <w:r w:rsidRPr="00707B4A">
        <w:rPr>
          <w:rFonts w:asciiTheme="minorHAnsi" w:hAnsiTheme="minorHAnsi" w:cstheme="minorHAnsi"/>
          <w:sz w:val="16"/>
          <w:szCs w:val="16"/>
        </w:rPr>
        <w:t>evidence</w:t>
      </w:r>
      <w:r w:rsidR="00501B30" w:rsidRPr="00707B4A">
        <w:rPr>
          <w:rFonts w:asciiTheme="minorHAnsi" w:hAnsiTheme="minorHAnsi" w:cstheme="minorHAnsi"/>
          <w:sz w:val="16"/>
          <w:szCs w:val="16"/>
        </w:rPr>
        <w:t xml:space="preserve"> showed</w:t>
      </w:r>
      <w:r w:rsidRPr="00707B4A">
        <w:rPr>
          <w:rFonts w:asciiTheme="minorHAnsi" w:hAnsiTheme="minorHAnsi" w:cstheme="minorHAnsi"/>
          <w:sz w:val="16"/>
          <w:szCs w:val="16"/>
        </w:rPr>
        <w:t xml:space="preserve"> that matters could have been scheduled any time in the preceding two or three months</w:t>
      </w:r>
      <w:r w:rsidR="00501B30" w:rsidRPr="00707B4A">
        <w:rPr>
          <w:rFonts w:asciiTheme="minorHAnsi" w:hAnsiTheme="minorHAnsi" w:cstheme="minorHAnsi"/>
          <w:sz w:val="16"/>
          <w:szCs w:val="16"/>
        </w:rPr>
        <w:t xml:space="preserve">; </w:t>
      </w:r>
      <w:r w:rsidRPr="00707B4A">
        <w:rPr>
          <w:rFonts w:asciiTheme="minorHAnsi" w:hAnsiTheme="minorHAnsi" w:cstheme="minorHAnsi"/>
          <w:sz w:val="16"/>
          <w:szCs w:val="16"/>
        </w:rPr>
        <w:t xml:space="preserve">the public body could not postpone considering the matter until the last minute and then claim an emergency).  </w:t>
      </w:r>
      <w:r w:rsidRPr="00707B4A">
        <w:rPr>
          <w:rFonts w:asciiTheme="minorHAnsi" w:hAnsiTheme="minorHAnsi" w:cstheme="minorHAnsi"/>
          <w:i/>
          <w:sz w:val="16"/>
          <w:szCs w:val="16"/>
        </w:rPr>
        <w:t xml:space="preserve">But see </w:t>
      </w:r>
      <w:hyperlink r:id="rId1412" w:history="1">
        <w:r w:rsidRPr="00707B4A">
          <w:rPr>
            <w:rStyle w:val="Hyperlink"/>
            <w:rFonts w:asciiTheme="minorHAnsi" w:hAnsiTheme="minorHAnsi" w:cstheme="minorHAnsi"/>
            <w:i/>
            <w:sz w:val="16"/>
            <w:szCs w:val="16"/>
          </w:rPr>
          <w:t xml:space="preserve">State ex rel. Ames v. Portage </w:t>
        </w:r>
        <w:r w:rsidRPr="00707B4A">
          <w:rPr>
            <w:rStyle w:val="Hyperlink"/>
            <w:rFonts w:asciiTheme="minorHAnsi" w:hAnsiTheme="minorHAnsi" w:cstheme="minorHAnsi"/>
            <w:i/>
            <w:sz w:val="16"/>
            <w:szCs w:val="16"/>
          </w:rPr>
          <w:t>Cty. Bd. of Commrs.</w:t>
        </w:r>
      </w:hyperlink>
      <w:r w:rsidRPr="00707B4A">
        <w:rPr>
          <w:rFonts w:asciiTheme="minorHAnsi" w:hAnsiTheme="minorHAnsi" w:cstheme="minorHAnsi"/>
          <w:sz w:val="16"/>
          <w:szCs w:val="16"/>
        </w:rPr>
        <w:t>, 11th Dist. Portage No. 2-16-P-0057, 2017-Ohio-4237, ¶ 39 (rejecting the argument “that an emergency session is invalid under R.C. 121.22(F) where a public body decides not to take official action at the close of the session”).</w:t>
      </w:r>
    </w:p>
  </w:endnote>
  <w:endnote w:id="1070">
    <w:p w14:paraId="2460618C" w14:textId="5980E5F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3" w:history="1">
        <w:r w:rsidRPr="00707B4A">
          <w:rPr>
            <w:rStyle w:val="Hyperlink"/>
            <w:rFonts w:asciiTheme="minorHAnsi" w:hAnsiTheme="minorHAnsi" w:cstheme="minorHAnsi"/>
            <w:sz w:val="16"/>
            <w:szCs w:val="16"/>
          </w:rPr>
          <w:t>R.C. 121.22(F).</w:t>
        </w:r>
      </w:hyperlink>
    </w:p>
  </w:endnote>
  <w:endnote w:id="1071">
    <w:p w14:paraId="208AF11B" w14:textId="5CD96D4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4" w:history="1">
        <w:r w:rsidRPr="00707B4A">
          <w:rPr>
            <w:rStyle w:val="Hyperlink"/>
            <w:rFonts w:asciiTheme="minorHAnsi" w:hAnsiTheme="minorHAnsi" w:cstheme="minorHAnsi"/>
            <w:sz w:val="16"/>
            <w:szCs w:val="16"/>
          </w:rPr>
          <w:t>R.C. 121.22(F).</w:t>
        </w:r>
      </w:hyperlink>
    </w:p>
  </w:endnote>
  <w:endnote w:id="1072">
    <w:p w14:paraId="3945A54A" w14:textId="0D05F251" w:rsidR="00802B0C" w:rsidRPr="00707B4A" w:rsidRDefault="00802B0C"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5" w:history="1">
        <w:r w:rsidRPr="00B277BB">
          <w:rPr>
            <w:rStyle w:val="Hyperlink"/>
            <w:rFonts w:asciiTheme="minorHAnsi" w:hAnsiTheme="minorHAnsi" w:cstheme="minorHAnsi"/>
            <w:i/>
            <w:iCs/>
            <w:sz w:val="16"/>
            <w:szCs w:val="16"/>
          </w:rPr>
          <w:t xml:space="preserve">Ames v. Geauga </w:t>
        </w:r>
        <w:r w:rsidRPr="00B277BB">
          <w:rPr>
            <w:rStyle w:val="Hyperlink"/>
            <w:rFonts w:asciiTheme="minorHAnsi" w:hAnsiTheme="minorHAnsi" w:cstheme="minorHAnsi"/>
            <w:i/>
            <w:iCs/>
            <w:sz w:val="16"/>
            <w:szCs w:val="16"/>
          </w:rPr>
          <w:t>Cty. Invest. Advisory Commt</w:t>
        </w:r>
      </w:hyperlink>
      <w:r w:rsidRPr="00707B4A">
        <w:rPr>
          <w:rFonts w:asciiTheme="minorHAnsi" w:hAnsiTheme="minorHAnsi" w:cstheme="minorHAnsi"/>
          <w:sz w:val="16"/>
          <w:szCs w:val="16"/>
        </w:rPr>
        <w:t>., 11th Dist. Geauga No. 2022-G-0035, 2023-Ohio-2252, ¶ 49.</w:t>
      </w:r>
    </w:p>
  </w:endnote>
  <w:endnote w:id="1073">
    <w:p w14:paraId="0D5069F6" w14:textId="1CC21BD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16" w:history="1">
        <w:r w:rsidRPr="00707B4A">
          <w:rPr>
            <w:rStyle w:val="Hyperlink"/>
            <w:rFonts w:asciiTheme="minorHAnsi" w:hAnsiTheme="minorHAnsi" w:cstheme="minorHAnsi"/>
            <w:sz w:val="16"/>
            <w:szCs w:val="16"/>
          </w:rPr>
          <w:t>R.C. 121.22(F)</w:t>
        </w:r>
      </w:hyperlink>
      <w:r w:rsidRPr="00707B4A">
        <w:rPr>
          <w:rFonts w:asciiTheme="minorHAnsi" w:hAnsiTheme="minorHAnsi" w:cstheme="minorHAnsi"/>
          <w:sz w:val="16"/>
          <w:szCs w:val="16"/>
        </w:rPr>
        <w:t xml:space="preserve">; </w:t>
      </w:r>
      <w:hyperlink r:id="rId1417" w:history="1">
        <w:r w:rsidRPr="00707B4A">
          <w:rPr>
            <w:rStyle w:val="Hyperlink"/>
            <w:rFonts w:asciiTheme="minorHAnsi" w:hAnsiTheme="minorHAnsi" w:cstheme="minorHAnsi"/>
            <w:i/>
            <w:sz w:val="16"/>
            <w:szCs w:val="16"/>
          </w:rPr>
          <w:t xml:space="preserve">State ex rel. Patrick Bros v. Putnam </w:t>
        </w:r>
        <w:r w:rsidRPr="00707B4A">
          <w:rPr>
            <w:rStyle w:val="Hyperlink"/>
            <w:rFonts w:asciiTheme="minorHAnsi" w:hAnsiTheme="minorHAnsi" w:cstheme="minorHAnsi"/>
            <w:i/>
            <w:sz w:val="16"/>
            <w:szCs w:val="16"/>
          </w:rPr>
          <w:t>Cty. Bd. of Commrs.</w:t>
        </w:r>
      </w:hyperlink>
      <w:r w:rsidRPr="00707B4A">
        <w:rPr>
          <w:rFonts w:asciiTheme="minorHAnsi" w:hAnsiTheme="minorHAnsi" w:cstheme="minorHAnsi"/>
          <w:sz w:val="16"/>
          <w:szCs w:val="16"/>
        </w:rPr>
        <w:t>, 3d Dist. Putnam No. 12-13-05, 2014-Ohio-2717, ¶ 33-37.</w:t>
      </w:r>
    </w:p>
  </w:endnote>
  <w:endnote w:id="1074">
    <w:p w14:paraId="60FDAAFA" w14:textId="33F3FCB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These requirements notwithstanding, many courts have held that actions taken by a public body are not invalid simply because the body failed to adopt notice rules.  These courts reason that the purpose of the law’s invalidation section (R.C. 121.22(H)) is to invalidate actions taken when insufficient notice of the meeting was provided.  </w:t>
      </w:r>
      <w:r w:rsidRPr="00707B4A">
        <w:rPr>
          <w:rFonts w:asciiTheme="minorHAnsi" w:hAnsiTheme="minorHAnsi" w:cstheme="minorHAnsi"/>
          <w:i/>
          <w:sz w:val="16"/>
          <w:szCs w:val="16"/>
        </w:rPr>
        <w:t xml:space="preserve">See </w:t>
      </w:r>
      <w:hyperlink r:id="rId1418" w:history="1">
        <w:r w:rsidRPr="00707B4A">
          <w:rPr>
            <w:rStyle w:val="Hyperlink"/>
            <w:rFonts w:asciiTheme="minorHAnsi" w:hAnsiTheme="minorHAnsi" w:cstheme="minorHAnsi"/>
            <w:i/>
            <w:sz w:val="16"/>
            <w:szCs w:val="16"/>
          </w:rPr>
          <w:t xml:space="preserve">Doran v. Northmont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xml:space="preserve">, 147 Ohio App.3d 268, 271 (2d Dist. 2002); </w:t>
      </w:r>
      <w:r w:rsidRPr="00707B4A">
        <w:rPr>
          <w:rFonts w:asciiTheme="minorHAnsi" w:hAnsiTheme="minorHAnsi" w:cstheme="minorHAnsi"/>
          <w:i/>
          <w:sz w:val="16"/>
          <w:szCs w:val="16"/>
        </w:rPr>
        <w:t>Hoops v. Jerusalem Twp. Bd. of Trustees</w:t>
      </w:r>
      <w:r w:rsidRPr="00707B4A">
        <w:rPr>
          <w:rFonts w:asciiTheme="minorHAnsi" w:hAnsiTheme="minorHAnsi" w:cstheme="minorHAnsi"/>
          <w:sz w:val="16"/>
          <w:szCs w:val="16"/>
        </w:rPr>
        <w:t xml:space="preserve">, 6th Dist. Lucas No. L-97-1240, 1998 Ohio App. LEXIS 1496 (Apr. 10, 1998); </w:t>
      </w:r>
      <w:r w:rsidRPr="00707B4A">
        <w:rPr>
          <w:rFonts w:asciiTheme="minorHAnsi" w:hAnsiTheme="minorHAnsi" w:cstheme="minorHAnsi"/>
          <w:i/>
          <w:sz w:val="16"/>
          <w:szCs w:val="16"/>
        </w:rPr>
        <w:t>Barbeck v. Twinsburg Twp.</w:t>
      </w:r>
      <w:r w:rsidRPr="00707B4A">
        <w:rPr>
          <w:rFonts w:asciiTheme="minorHAnsi" w:hAnsiTheme="minorHAnsi" w:cstheme="minorHAnsi"/>
          <w:sz w:val="16"/>
          <w:szCs w:val="16"/>
        </w:rPr>
        <w:t>, 73 Ohio App.3d 587 (9th Dist. 1992).</w:t>
      </w:r>
    </w:p>
  </w:endnote>
  <w:endnote w:id="1075">
    <w:p w14:paraId="7E9523E4" w14:textId="1794D2E3"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Black v. Mecca Twp. Bd. of Trustees</w:t>
      </w:r>
      <w:r w:rsidRPr="00707B4A">
        <w:rPr>
          <w:rFonts w:asciiTheme="minorHAnsi" w:hAnsiTheme="minorHAnsi" w:cstheme="minorHAnsi"/>
          <w:sz w:val="16"/>
          <w:szCs w:val="16"/>
        </w:rPr>
        <w:t xml:space="preserve">, 91 Ohio App.3d 351, 356 (11th Dist. 1993); </w:t>
      </w:r>
      <w:hyperlink r:id="rId1419" w:history="1">
        <w:r w:rsidRPr="00707B4A">
          <w:rPr>
            <w:rStyle w:val="Hyperlink"/>
            <w:rFonts w:asciiTheme="minorHAnsi" w:hAnsiTheme="minorHAnsi" w:cstheme="minorHAnsi"/>
            <w:i/>
            <w:sz w:val="16"/>
            <w:szCs w:val="16"/>
          </w:rPr>
          <w:t xml:space="preserve">Doran v. Northmont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147 Ohio App.3d 268, 272 (2d Dist. 2002) (“If the board would establish a rule providing that it would notify these newspapers and direct the newspapers to publish this notice consistently, it would satisfy the first paragraph of R.C. 121.22(F).”)</w:t>
      </w:r>
      <w:r w:rsidR="00602B77">
        <w:rPr>
          <w:rFonts w:asciiTheme="minorHAnsi" w:hAnsiTheme="minorHAnsi" w:cstheme="minorHAnsi"/>
          <w:sz w:val="16"/>
          <w:szCs w:val="16"/>
        </w:rPr>
        <w:t>.</w:t>
      </w:r>
    </w:p>
  </w:endnote>
  <w:endnote w:id="1076">
    <w:p w14:paraId="3A8ED152"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0" w:history="1">
        <w:r w:rsidRPr="00707B4A">
          <w:rPr>
            <w:rStyle w:val="Hyperlink"/>
            <w:rFonts w:asciiTheme="minorHAnsi" w:hAnsiTheme="minorHAnsi" w:cstheme="minorHAnsi"/>
            <w:i/>
            <w:sz w:val="16"/>
            <w:szCs w:val="16"/>
          </w:rPr>
          <w:t xml:space="preserve">Doran v. Northmont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147 Ohio App.3d 268, 272 (2d Dist. 2002).</w:t>
      </w:r>
    </w:p>
  </w:endnote>
  <w:endnote w:id="1077">
    <w:p w14:paraId="14011B6C" w14:textId="09820CB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Black v. Mecca Twp. Bd. of Trustees</w:t>
      </w:r>
      <w:r w:rsidRPr="00707B4A">
        <w:rPr>
          <w:rFonts w:asciiTheme="minorHAnsi" w:hAnsiTheme="minorHAnsi" w:cstheme="minorHAnsi"/>
          <w:sz w:val="16"/>
          <w:szCs w:val="16"/>
        </w:rPr>
        <w:t xml:space="preserve">, 91 Ohio App.3d 351, 356 (11th Dist. 1993) (chairman of zoning commission testified that he correctly reported </w:t>
      </w:r>
      <w:r w:rsidR="0020302A">
        <w:rPr>
          <w:rFonts w:asciiTheme="minorHAnsi" w:hAnsiTheme="minorHAnsi" w:cstheme="minorHAnsi"/>
          <w:sz w:val="16"/>
          <w:szCs w:val="16"/>
        </w:rPr>
        <w:t xml:space="preserve">meeting time </w:t>
      </w:r>
      <w:r w:rsidRPr="00707B4A">
        <w:rPr>
          <w:rFonts w:asciiTheme="minorHAnsi" w:hAnsiTheme="minorHAnsi" w:cstheme="minorHAnsi"/>
          <w:sz w:val="16"/>
          <w:szCs w:val="16"/>
        </w:rPr>
        <w:t xml:space="preserve">to newspaper but newspaper </w:t>
      </w:r>
      <w:r w:rsidRPr="00707B4A">
        <w:rPr>
          <w:rFonts w:asciiTheme="minorHAnsi" w:hAnsiTheme="minorHAnsi" w:cstheme="minorHAnsi"/>
          <w:sz w:val="16"/>
          <w:szCs w:val="16"/>
        </w:rPr>
        <w:t xml:space="preserve">mispublished it); </w:t>
      </w:r>
      <w:hyperlink r:id="rId1421" w:history="1">
        <w:r w:rsidRPr="00707B4A">
          <w:rPr>
            <w:rStyle w:val="Hyperlink"/>
            <w:rFonts w:asciiTheme="minorHAnsi" w:hAnsiTheme="minorHAnsi" w:cstheme="minorHAnsi"/>
            <w:i/>
            <w:sz w:val="16"/>
            <w:szCs w:val="16"/>
          </w:rPr>
          <w:t>Swickrath &amp; Sons, Inc. v. Elida</w:t>
        </w:r>
      </w:hyperlink>
      <w:r w:rsidRPr="00707B4A">
        <w:rPr>
          <w:rFonts w:asciiTheme="minorHAnsi" w:hAnsiTheme="minorHAnsi" w:cstheme="minorHAnsi"/>
          <w:sz w:val="16"/>
          <w:szCs w:val="16"/>
        </w:rPr>
        <w:t>, 3d Dist. Allen No. 1-03-46, 2003-Ohio-6288, ¶ 19 (no violation from newspaper’s misprinting of meeting start time when village had three separate methods of providing notice of its meetings and village official made numerous phone calls to newspaper requesting correction).</w:t>
      </w:r>
    </w:p>
  </w:endnote>
  <w:endnote w:id="1078">
    <w:p w14:paraId="0985AF8A" w14:textId="76363B0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2" w:history="1">
        <w:r w:rsidR="00501B30" w:rsidRPr="00707B4A">
          <w:rPr>
            <w:rStyle w:val="Hyperlink"/>
            <w:rFonts w:asciiTheme="minorHAnsi" w:hAnsiTheme="minorHAnsi" w:cstheme="minorHAnsi"/>
            <w:sz w:val="16"/>
            <w:szCs w:val="16"/>
          </w:rPr>
          <w:t>R.C. 121.22(C).</w:t>
        </w:r>
      </w:hyperlink>
    </w:p>
  </w:endnote>
  <w:endnote w:id="1079">
    <w:p w14:paraId="68AC088A" w14:textId="7D05B3B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00501B30" w:rsidRPr="0020302A">
        <w:rPr>
          <w:rFonts w:asciiTheme="minorHAnsi" w:hAnsiTheme="minorHAnsi" w:cstheme="minorHAnsi"/>
          <w:i/>
          <w:iCs/>
          <w:sz w:val="16"/>
          <w:szCs w:val="16"/>
        </w:rPr>
        <w:t xml:space="preserve">White v. Clinton </w:t>
      </w:r>
      <w:r w:rsidR="00501B30" w:rsidRPr="0020302A">
        <w:rPr>
          <w:rFonts w:asciiTheme="minorHAnsi" w:hAnsiTheme="minorHAnsi" w:cstheme="minorHAnsi"/>
          <w:i/>
          <w:iCs/>
          <w:sz w:val="16"/>
          <w:szCs w:val="16"/>
        </w:rPr>
        <w:t xml:space="preserve">Cty. Bd. </w:t>
      </w:r>
      <w:r w:rsidR="0020302A" w:rsidRPr="0020302A">
        <w:rPr>
          <w:rFonts w:asciiTheme="minorHAnsi" w:hAnsiTheme="minorHAnsi" w:cstheme="minorHAnsi"/>
          <w:i/>
          <w:iCs/>
          <w:sz w:val="16"/>
          <w:szCs w:val="16"/>
        </w:rPr>
        <w:t>o</w:t>
      </w:r>
      <w:r w:rsidR="00501B30" w:rsidRPr="0020302A">
        <w:rPr>
          <w:rFonts w:asciiTheme="minorHAnsi" w:hAnsiTheme="minorHAnsi" w:cstheme="minorHAnsi"/>
          <w:i/>
          <w:iCs/>
          <w:sz w:val="16"/>
          <w:szCs w:val="16"/>
        </w:rPr>
        <w:t>f Commrs</w:t>
      </w:r>
      <w:r w:rsidR="00501B30" w:rsidRPr="00707B4A">
        <w:rPr>
          <w:rFonts w:asciiTheme="minorHAnsi" w:hAnsiTheme="minorHAnsi" w:cstheme="minorHAnsi"/>
          <w:sz w:val="16"/>
          <w:szCs w:val="16"/>
        </w:rPr>
        <w:t xml:space="preserve">., 76 Ohio St.3d 416, 424 (1996) (“[F]ull and accurate minutes must contain sufficient facts and information to permit the public to understand and appreciate the rationale behind the relevant public body’s decision.”). </w:t>
      </w:r>
      <w:r w:rsidRPr="00707B4A">
        <w:rPr>
          <w:rFonts w:asciiTheme="minorHAnsi" w:hAnsiTheme="minorHAnsi" w:cstheme="minorHAnsi"/>
          <w:i/>
          <w:sz w:val="16"/>
          <w:szCs w:val="16"/>
        </w:rPr>
        <w:t xml:space="preserve">See </w:t>
      </w:r>
      <w:r w:rsidR="00501B30" w:rsidRPr="00707B4A">
        <w:rPr>
          <w:rFonts w:asciiTheme="minorHAnsi" w:hAnsiTheme="minorHAnsi" w:cstheme="minorHAnsi"/>
          <w:i/>
          <w:sz w:val="16"/>
          <w:szCs w:val="16"/>
        </w:rPr>
        <w:t xml:space="preserve">also </w:t>
      </w:r>
      <w:hyperlink r:id="rId1423" w:history="1">
        <w:r w:rsidRPr="00707B4A">
          <w:rPr>
            <w:rStyle w:val="Hyperlink"/>
            <w:rFonts w:asciiTheme="minorHAnsi" w:hAnsiTheme="minorHAnsi" w:cstheme="minorHAnsi"/>
            <w:i/>
            <w:sz w:val="16"/>
            <w:szCs w:val="16"/>
          </w:rPr>
          <w:t>State ex rel. Citizens for Open, Responsive &amp; Accountable Govt. v. Register</w:t>
        </w:r>
      </w:hyperlink>
      <w:r w:rsidRPr="00707B4A">
        <w:rPr>
          <w:rFonts w:asciiTheme="minorHAnsi" w:hAnsiTheme="minorHAnsi" w:cstheme="minorHAnsi"/>
          <w:sz w:val="16"/>
          <w:szCs w:val="16"/>
        </w:rPr>
        <w:t xml:space="preserve">, 116 Ohio St.3d 88, 2007-Ohio-5542, ¶ 27-29 (construing R.C. 121.22, 149.43, and 507.04 together, a township fiscal officer has a duty to maintain full and accurate minutes and records of the proceedings, as well as the accounts and transactions of the board of township trustees); </w:t>
      </w:r>
      <w:hyperlink r:id="rId1424" w:history="1">
        <w:r w:rsidRPr="00707B4A">
          <w:rPr>
            <w:rStyle w:val="Hyperlink"/>
            <w:rFonts w:asciiTheme="minorHAnsi" w:hAnsiTheme="minorHAnsi" w:cstheme="minorHAnsi"/>
            <w:i/>
            <w:sz w:val="16"/>
            <w:szCs w:val="16"/>
          </w:rPr>
          <w:t>State ex rel. Dunlap v. Violet Twp. Bd. of Trustees</w:t>
        </w:r>
      </w:hyperlink>
      <w:r w:rsidRPr="00707B4A">
        <w:rPr>
          <w:rFonts w:asciiTheme="minorHAnsi" w:hAnsiTheme="minorHAnsi" w:cstheme="minorHAnsi"/>
          <w:sz w:val="16"/>
          <w:szCs w:val="16"/>
        </w:rPr>
        <w:t xml:space="preserve">, 5th Dist. Fairfield No. 12-CA-8, 2013-Ohio-2295, ¶ 9-11 (absent evidence </w:t>
      </w:r>
      <w:r w:rsidR="00501B30" w:rsidRPr="00707B4A">
        <w:rPr>
          <w:rFonts w:asciiTheme="minorHAnsi" w:hAnsiTheme="minorHAnsi" w:cstheme="minorHAnsi"/>
          <w:sz w:val="16"/>
          <w:szCs w:val="16"/>
        </w:rPr>
        <w:t xml:space="preserve">of </w:t>
      </w:r>
      <w:r w:rsidRPr="00707B4A">
        <w:rPr>
          <w:rFonts w:asciiTheme="minorHAnsi" w:hAnsiTheme="minorHAnsi" w:cstheme="minorHAnsi"/>
          <w:sz w:val="16"/>
          <w:szCs w:val="16"/>
        </w:rPr>
        <w:t>alleged missing details or discussions, meeting minutes</w:t>
      </w:r>
      <w:r w:rsidR="00501B30" w:rsidRPr="00707B4A">
        <w:rPr>
          <w:rFonts w:asciiTheme="minorHAnsi" w:hAnsiTheme="minorHAnsi" w:cstheme="minorHAnsi"/>
          <w:sz w:val="16"/>
          <w:szCs w:val="16"/>
        </w:rPr>
        <w:t xml:space="preserve"> stating a vote was taken and</w:t>
      </w:r>
      <w:r w:rsidRPr="00707B4A">
        <w:rPr>
          <w:rFonts w:asciiTheme="minorHAnsi" w:hAnsiTheme="minorHAnsi" w:cstheme="minorHAnsi"/>
          <w:sz w:val="16"/>
          <w:szCs w:val="16"/>
        </w:rPr>
        <w:t xml:space="preserve"> providing the resolution number being voted on </w:t>
      </w:r>
      <w:r w:rsidR="00501B30" w:rsidRPr="00707B4A">
        <w:rPr>
          <w:rFonts w:asciiTheme="minorHAnsi" w:hAnsiTheme="minorHAnsi" w:cstheme="minorHAnsi"/>
          <w:sz w:val="16"/>
          <w:szCs w:val="16"/>
        </w:rPr>
        <w:t>were sufficient</w:t>
      </w:r>
      <w:r w:rsidRPr="00707B4A">
        <w:rPr>
          <w:rFonts w:asciiTheme="minorHAnsi" w:hAnsiTheme="minorHAnsi" w:cstheme="minorHAnsi"/>
          <w:sz w:val="16"/>
          <w:szCs w:val="16"/>
        </w:rPr>
        <w:t>)</w:t>
      </w:r>
      <w:r w:rsidR="00501B30" w:rsidRPr="00707B4A">
        <w:rPr>
          <w:rFonts w:asciiTheme="minorHAnsi" w:hAnsiTheme="minorHAnsi" w:cstheme="minorHAnsi"/>
          <w:sz w:val="16"/>
          <w:szCs w:val="16"/>
        </w:rPr>
        <w:t xml:space="preserve">; </w:t>
      </w:r>
      <w:r w:rsidR="00501B30" w:rsidRPr="00707B4A">
        <w:rPr>
          <w:rFonts w:asciiTheme="minorHAnsi" w:hAnsiTheme="minorHAnsi" w:cstheme="minorHAnsi"/>
          <w:i/>
          <w:iCs/>
          <w:sz w:val="16"/>
          <w:szCs w:val="16"/>
        </w:rPr>
        <w:t xml:space="preserve">State ex rel. Ames v. Portage Cty. Bd. </w:t>
      </w:r>
      <w:r w:rsidR="001D5D57">
        <w:rPr>
          <w:rFonts w:asciiTheme="minorHAnsi" w:hAnsiTheme="minorHAnsi" w:cstheme="minorHAnsi"/>
          <w:i/>
          <w:iCs/>
          <w:sz w:val="16"/>
          <w:szCs w:val="16"/>
        </w:rPr>
        <w:t>o</w:t>
      </w:r>
      <w:r w:rsidR="00501B30" w:rsidRPr="00707B4A">
        <w:rPr>
          <w:rFonts w:asciiTheme="minorHAnsi" w:hAnsiTheme="minorHAnsi" w:cstheme="minorHAnsi"/>
          <w:i/>
          <w:iCs/>
          <w:sz w:val="16"/>
          <w:szCs w:val="16"/>
        </w:rPr>
        <w:t>f Commrs.</w:t>
      </w:r>
      <w:r w:rsidR="00501B30" w:rsidRPr="00707B4A">
        <w:rPr>
          <w:rFonts w:asciiTheme="minorHAnsi" w:hAnsiTheme="minorHAnsi" w:cstheme="minorHAnsi"/>
          <w:sz w:val="16"/>
          <w:szCs w:val="16"/>
        </w:rPr>
        <w:t>, 11th Dist. Portage No. 2021-P-0118, 2022-Ohio-1012, ¶ 4 (public body prepared full and accurate minutes, even though minutes referenced a report that was attached as an exhibit, because the minutes never purported to attach the report as an exhibit or otherwise expressly incorporate the report).</w:t>
      </w:r>
    </w:p>
  </w:endnote>
  <w:endnote w:id="1080">
    <w:p w14:paraId="7F962F24" w14:textId="5BA502A8" w:rsidR="00802B0C" w:rsidRPr="00707B4A" w:rsidRDefault="00802B0C"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iCs/>
          <w:sz w:val="16"/>
          <w:szCs w:val="16"/>
        </w:rPr>
        <w:t xml:space="preserve">White v. Clinton </w:t>
      </w:r>
      <w:r w:rsidRPr="00707B4A">
        <w:rPr>
          <w:rFonts w:asciiTheme="minorHAnsi" w:hAnsiTheme="minorHAnsi" w:cstheme="minorHAnsi"/>
          <w:i/>
          <w:iCs/>
          <w:sz w:val="16"/>
          <w:szCs w:val="16"/>
        </w:rPr>
        <w:t xml:space="preserve">Cty. Bd. </w:t>
      </w:r>
      <w:r w:rsidR="001D5D57">
        <w:rPr>
          <w:rFonts w:asciiTheme="minorHAnsi" w:hAnsiTheme="minorHAnsi" w:cstheme="minorHAnsi"/>
          <w:i/>
          <w:iCs/>
          <w:sz w:val="16"/>
          <w:szCs w:val="16"/>
        </w:rPr>
        <w:t>o</w:t>
      </w:r>
      <w:r w:rsidRPr="00707B4A">
        <w:rPr>
          <w:rFonts w:asciiTheme="minorHAnsi" w:hAnsiTheme="minorHAnsi" w:cstheme="minorHAnsi"/>
          <w:i/>
          <w:iCs/>
          <w:sz w:val="16"/>
          <w:szCs w:val="16"/>
        </w:rPr>
        <w:t>f Commrs.</w:t>
      </w:r>
      <w:r w:rsidRPr="00707B4A">
        <w:rPr>
          <w:rFonts w:asciiTheme="minorHAnsi" w:hAnsiTheme="minorHAnsi" w:cstheme="minorHAnsi"/>
          <w:sz w:val="16"/>
          <w:szCs w:val="16"/>
        </w:rPr>
        <w:t>, 76 Ohio St.3d 416, 424 (1996)</w:t>
      </w:r>
      <w:r w:rsidR="00367F58">
        <w:rPr>
          <w:rFonts w:asciiTheme="minorHAnsi" w:hAnsiTheme="minorHAnsi" w:cstheme="minorHAnsi"/>
          <w:sz w:val="16"/>
          <w:szCs w:val="16"/>
        </w:rPr>
        <w:t xml:space="preserve"> </w:t>
      </w:r>
      <w:r w:rsidRPr="00707B4A">
        <w:rPr>
          <w:rFonts w:asciiTheme="minorHAnsi" w:hAnsiTheme="minorHAnsi" w:cstheme="minorHAnsi"/>
          <w:sz w:val="16"/>
          <w:szCs w:val="16"/>
        </w:rPr>
        <w:t>(minutes “certainly should not be limited to a mere recounting of the body’s roll call votes,” but must contain “a more substantial treatment of the items discussed”).</w:t>
      </w:r>
    </w:p>
  </w:endnote>
  <w:endnote w:id="1081">
    <w:p w14:paraId="4D811544" w14:textId="1EF8DE36" w:rsidR="00802B0C" w:rsidRPr="00707B4A" w:rsidRDefault="00802B0C"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iCs/>
          <w:sz w:val="16"/>
          <w:szCs w:val="16"/>
        </w:rPr>
        <w:t>State ex rel</w:t>
      </w:r>
      <w:r w:rsidR="0091368A">
        <w:rPr>
          <w:rFonts w:asciiTheme="minorHAnsi" w:hAnsiTheme="minorHAnsi" w:cstheme="minorHAnsi"/>
          <w:i/>
          <w:iCs/>
          <w:sz w:val="16"/>
          <w:szCs w:val="16"/>
        </w:rPr>
        <w:t>.</w:t>
      </w:r>
      <w:r w:rsidRPr="00707B4A">
        <w:rPr>
          <w:rFonts w:asciiTheme="minorHAnsi" w:hAnsiTheme="minorHAnsi" w:cstheme="minorHAnsi"/>
          <w:i/>
          <w:iCs/>
          <w:sz w:val="16"/>
          <w:szCs w:val="16"/>
        </w:rPr>
        <w:t xml:space="preserve"> Ames v. Portage </w:t>
      </w:r>
      <w:r w:rsidRPr="00707B4A">
        <w:rPr>
          <w:rFonts w:asciiTheme="minorHAnsi" w:hAnsiTheme="minorHAnsi" w:cstheme="minorHAnsi"/>
          <w:i/>
          <w:iCs/>
          <w:sz w:val="16"/>
          <w:szCs w:val="16"/>
        </w:rPr>
        <w:t xml:space="preserve">Cty. Solid </w:t>
      </w:r>
      <w:r w:rsidR="00D93AC9" w:rsidRPr="00707B4A">
        <w:rPr>
          <w:rFonts w:asciiTheme="minorHAnsi" w:hAnsiTheme="minorHAnsi" w:cstheme="minorHAnsi"/>
          <w:i/>
          <w:iCs/>
          <w:sz w:val="16"/>
          <w:szCs w:val="16"/>
        </w:rPr>
        <w:t xml:space="preserve">Waste Mgt. Dist. Bd. </w:t>
      </w:r>
      <w:r w:rsidR="001D5D57">
        <w:rPr>
          <w:rFonts w:asciiTheme="minorHAnsi" w:hAnsiTheme="minorHAnsi" w:cstheme="minorHAnsi"/>
          <w:i/>
          <w:iCs/>
          <w:sz w:val="16"/>
          <w:szCs w:val="16"/>
        </w:rPr>
        <w:t>o</w:t>
      </w:r>
      <w:r w:rsidR="00D93AC9" w:rsidRPr="00707B4A">
        <w:rPr>
          <w:rFonts w:asciiTheme="minorHAnsi" w:hAnsiTheme="minorHAnsi" w:cstheme="minorHAnsi"/>
          <w:i/>
          <w:iCs/>
          <w:sz w:val="16"/>
          <w:szCs w:val="16"/>
        </w:rPr>
        <w:t>f Commrs.</w:t>
      </w:r>
      <w:r w:rsidR="00D93AC9" w:rsidRPr="00707B4A">
        <w:rPr>
          <w:rFonts w:asciiTheme="minorHAnsi" w:hAnsiTheme="minorHAnsi" w:cstheme="minorHAnsi"/>
          <w:sz w:val="16"/>
          <w:szCs w:val="16"/>
        </w:rPr>
        <w:t>, 11th Dist. Portage No. 2023-P-0045</w:t>
      </w:r>
      <w:r w:rsidR="00B277BB">
        <w:rPr>
          <w:rFonts w:asciiTheme="minorHAnsi" w:hAnsiTheme="minorHAnsi" w:cstheme="minorHAnsi"/>
          <w:sz w:val="16"/>
          <w:szCs w:val="16"/>
        </w:rPr>
        <w:t>,</w:t>
      </w:r>
      <w:r w:rsidR="00D93AC9" w:rsidRPr="00707B4A">
        <w:rPr>
          <w:rFonts w:asciiTheme="minorHAnsi" w:hAnsiTheme="minorHAnsi" w:cstheme="minorHAnsi"/>
          <w:sz w:val="16"/>
          <w:szCs w:val="16"/>
        </w:rPr>
        <w:t xml:space="preserve"> 2023-Ohio-4870</w:t>
      </w:r>
      <w:r w:rsidR="00662C0D">
        <w:rPr>
          <w:rFonts w:asciiTheme="minorHAnsi" w:hAnsiTheme="minorHAnsi" w:cstheme="minorHAnsi"/>
          <w:sz w:val="16"/>
          <w:szCs w:val="16"/>
        </w:rPr>
        <w:t>.</w:t>
      </w:r>
    </w:p>
  </w:endnote>
  <w:endnote w:id="1082">
    <w:p w14:paraId="2BA7CF9D" w14:textId="4C717464" w:rsidR="00200F56" w:rsidRPr="00707B4A" w:rsidRDefault="00200F56"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5" w:history="1">
        <w:r w:rsidRPr="00662C0D">
          <w:rPr>
            <w:rStyle w:val="Hyperlink"/>
            <w:rFonts w:asciiTheme="minorHAnsi" w:hAnsiTheme="minorHAnsi" w:cstheme="minorHAnsi"/>
            <w:i/>
            <w:iCs/>
            <w:sz w:val="16"/>
            <w:szCs w:val="16"/>
          </w:rPr>
          <w:t>State ex rel</w:t>
        </w:r>
        <w:r w:rsidR="0091368A">
          <w:rPr>
            <w:rStyle w:val="Hyperlink"/>
            <w:rFonts w:asciiTheme="minorHAnsi" w:hAnsiTheme="minorHAnsi" w:cstheme="minorHAnsi"/>
            <w:i/>
            <w:iCs/>
            <w:sz w:val="16"/>
            <w:szCs w:val="16"/>
          </w:rPr>
          <w:t>.</w:t>
        </w:r>
        <w:r w:rsidRPr="00662C0D">
          <w:rPr>
            <w:rStyle w:val="Hyperlink"/>
            <w:rFonts w:asciiTheme="minorHAnsi" w:hAnsiTheme="minorHAnsi" w:cstheme="minorHAnsi"/>
            <w:i/>
            <w:iCs/>
            <w:sz w:val="16"/>
            <w:szCs w:val="16"/>
          </w:rPr>
          <w:t xml:space="preserve"> </w:t>
        </w:r>
        <w:r w:rsidR="00662C0D" w:rsidRPr="00662C0D">
          <w:rPr>
            <w:rStyle w:val="Hyperlink"/>
            <w:rFonts w:asciiTheme="minorHAnsi" w:hAnsiTheme="minorHAnsi" w:cstheme="minorHAnsi"/>
            <w:i/>
            <w:iCs/>
            <w:sz w:val="16"/>
            <w:szCs w:val="16"/>
          </w:rPr>
          <w:t xml:space="preserve">Ames v. </w:t>
        </w:r>
        <w:r w:rsidRPr="00662C0D">
          <w:rPr>
            <w:rStyle w:val="Hyperlink"/>
            <w:rFonts w:asciiTheme="minorHAnsi" w:hAnsiTheme="minorHAnsi" w:cstheme="minorHAnsi"/>
            <w:i/>
            <w:iCs/>
            <w:sz w:val="16"/>
            <w:szCs w:val="16"/>
          </w:rPr>
          <w:t xml:space="preserve">Portage </w:t>
        </w:r>
        <w:r w:rsidRPr="00662C0D">
          <w:rPr>
            <w:rStyle w:val="Hyperlink"/>
            <w:rFonts w:asciiTheme="minorHAnsi" w:hAnsiTheme="minorHAnsi" w:cstheme="minorHAnsi"/>
            <w:i/>
            <w:iCs/>
            <w:sz w:val="16"/>
            <w:szCs w:val="16"/>
          </w:rPr>
          <w:t>Cty. Board of Commrs</w:t>
        </w:r>
      </w:hyperlink>
      <w:r w:rsidRPr="00707B4A">
        <w:rPr>
          <w:rFonts w:asciiTheme="minorHAnsi" w:hAnsiTheme="minorHAnsi" w:cstheme="minorHAnsi"/>
          <w:i/>
          <w:iCs/>
          <w:sz w:val="16"/>
          <w:szCs w:val="16"/>
        </w:rPr>
        <w:t>.</w:t>
      </w:r>
      <w:r w:rsidRPr="00707B4A">
        <w:rPr>
          <w:rFonts w:asciiTheme="minorHAnsi" w:hAnsiTheme="minorHAnsi" w:cstheme="minorHAnsi"/>
          <w:sz w:val="16"/>
          <w:szCs w:val="16"/>
        </w:rPr>
        <w:t>, 165 Ohio St.3d 292, 2021-Ohio-2374</w:t>
      </w:r>
      <w:r w:rsidR="00662C0D">
        <w:rPr>
          <w:rFonts w:asciiTheme="minorHAnsi" w:hAnsiTheme="minorHAnsi" w:cstheme="minorHAnsi"/>
          <w:sz w:val="16"/>
          <w:szCs w:val="16"/>
        </w:rPr>
        <w:t xml:space="preserve">, </w:t>
      </w:r>
      <w:r w:rsidRPr="00707B4A">
        <w:rPr>
          <w:rFonts w:asciiTheme="minorHAnsi" w:hAnsiTheme="minorHAnsi" w:cstheme="minorHAnsi"/>
          <w:sz w:val="16"/>
          <w:szCs w:val="16"/>
        </w:rPr>
        <w:t>¶ 23 (public body failed to keep full and accurate minutes when minutes referenced attachment that was not in the approved minutes or produced to requester).</w:t>
      </w:r>
    </w:p>
  </w:endnote>
  <w:endnote w:id="1083">
    <w:p w14:paraId="19FCCE47" w14:textId="0AD552C0"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6" w:history="1">
        <w:r w:rsidRPr="00707B4A">
          <w:rPr>
            <w:rStyle w:val="Hyperlink"/>
            <w:rFonts w:asciiTheme="minorHAnsi" w:hAnsiTheme="minorHAnsi" w:cstheme="minorHAnsi"/>
            <w:i/>
            <w:sz w:val="16"/>
            <w:szCs w:val="16"/>
          </w:rPr>
          <w:t>State ex rel. Long v. Cardington Village Council</w:t>
        </w:r>
      </w:hyperlink>
      <w:r w:rsidRPr="00707B4A">
        <w:rPr>
          <w:rFonts w:asciiTheme="minorHAnsi" w:hAnsiTheme="minorHAnsi" w:cstheme="minorHAnsi"/>
          <w:sz w:val="16"/>
          <w:szCs w:val="16"/>
        </w:rPr>
        <w:t>, 92 Ohio St.3d 54, 58 (2001)</w:t>
      </w:r>
      <w:r w:rsidR="0020302A">
        <w:rPr>
          <w:rFonts w:asciiTheme="minorHAnsi" w:hAnsiTheme="minorHAnsi" w:cstheme="minorHAnsi"/>
          <w:sz w:val="16"/>
          <w:szCs w:val="16"/>
        </w:rPr>
        <w:t>;</w:t>
      </w:r>
      <w:r w:rsidRPr="00707B4A">
        <w:rPr>
          <w:rFonts w:asciiTheme="minorHAnsi" w:hAnsiTheme="minorHAnsi" w:cstheme="minorHAnsi"/>
          <w:sz w:val="16"/>
          <w:szCs w:val="16"/>
        </w:rPr>
        <w:t xml:space="preserve"> </w:t>
      </w:r>
      <w:r w:rsidR="0020302A">
        <w:rPr>
          <w:rFonts w:asciiTheme="minorHAnsi" w:hAnsiTheme="minorHAnsi" w:cstheme="minorHAnsi"/>
          <w:i/>
          <w:sz w:val="16"/>
          <w:szCs w:val="16"/>
        </w:rPr>
        <w:t>b</w:t>
      </w:r>
      <w:r w:rsidRPr="00707B4A">
        <w:rPr>
          <w:rFonts w:asciiTheme="minorHAnsi" w:hAnsiTheme="minorHAnsi" w:cstheme="minorHAnsi"/>
          <w:i/>
          <w:sz w:val="16"/>
          <w:szCs w:val="16"/>
        </w:rPr>
        <w:t>ut see</w:t>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Shaffer v. W. Farmington</w:t>
      </w:r>
      <w:r w:rsidRPr="00707B4A">
        <w:rPr>
          <w:rFonts w:asciiTheme="minorHAnsi" w:hAnsiTheme="minorHAnsi" w:cstheme="minorHAnsi"/>
          <w:sz w:val="16"/>
          <w:szCs w:val="16"/>
        </w:rPr>
        <w:t xml:space="preserve">, 82 Ohio App.3d 579, 585 (11th Dist. 1992) (minutes may not be conclusive evidence </w:t>
      </w:r>
      <w:r w:rsidR="00612B91" w:rsidRPr="00707B4A">
        <w:rPr>
          <w:rFonts w:asciiTheme="minorHAnsi" w:hAnsiTheme="minorHAnsi" w:cstheme="minorHAnsi"/>
          <w:sz w:val="16"/>
          <w:szCs w:val="16"/>
        </w:rPr>
        <w:t>on</w:t>
      </w:r>
      <w:r w:rsidRPr="00707B4A">
        <w:rPr>
          <w:rFonts w:asciiTheme="minorHAnsi" w:hAnsiTheme="minorHAnsi" w:cstheme="minorHAnsi"/>
          <w:sz w:val="16"/>
          <w:szCs w:val="16"/>
        </w:rPr>
        <w:t xml:space="preserve"> whether roll call vote was taken); </w:t>
      </w:r>
      <w:hyperlink r:id="rId1427" w:history="1">
        <w:r w:rsidRPr="00707B4A">
          <w:rPr>
            <w:rStyle w:val="Hyperlink"/>
            <w:rFonts w:asciiTheme="minorHAnsi" w:hAnsiTheme="minorHAnsi" w:cstheme="minorHAnsi"/>
            <w:i/>
            <w:sz w:val="16"/>
            <w:szCs w:val="16"/>
          </w:rPr>
          <w:t xml:space="preserve">State ex rel. MORE </w:t>
        </w:r>
        <w:r w:rsidRPr="00707B4A">
          <w:rPr>
            <w:rStyle w:val="Hyperlink"/>
            <w:rFonts w:asciiTheme="minorHAnsi" w:hAnsiTheme="minorHAnsi" w:cstheme="minorHAnsi"/>
            <w:i/>
            <w:sz w:val="16"/>
            <w:szCs w:val="16"/>
          </w:rPr>
          <w:t>Bratenahl v. Bratenahl</w:t>
        </w:r>
      </w:hyperlink>
      <w:r w:rsidRPr="00707B4A">
        <w:rPr>
          <w:rFonts w:asciiTheme="minorHAnsi" w:hAnsiTheme="minorHAnsi" w:cstheme="minorHAnsi"/>
          <w:sz w:val="16"/>
          <w:szCs w:val="16"/>
        </w:rPr>
        <w:t xml:space="preserve">, 8th Dist. Cuyahoga No. 105281, 2018-Ohio-497, ¶ 25 (“[T]he meeting minutes in question, along with the transcripts of the subsequent </w:t>
      </w:r>
      <w:r w:rsidR="00897471">
        <w:rPr>
          <w:rFonts w:asciiTheme="minorHAnsi" w:hAnsiTheme="minorHAnsi" w:cstheme="minorHAnsi"/>
          <w:sz w:val="16"/>
          <w:szCs w:val="16"/>
        </w:rPr>
        <w:t>c</w:t>
      </w:r>
      <w:r w:rsidRPr="00707B4A">
        <w:rPr>
          <w:rFonts w:asciiTheme="minorHAnsi" w:hAnsiTheme="minorHAnsi" w:cstheme="minorHAnsi"/>
          <w:sz w:val="16"/>
          <w:szCs w:val="16"/>
        </w:rPr>
        <w:t xml:space="preserve">ouncil meetings, provide an accurate and adequate record[.]”), </w:t>
      </w:r>
      <w:r w:rsidRPr="00707B4A">
        <w:rPr>
          <w:rFonts w:asciiTheme="minorHAnsi" w:hAnsiTheme="minorHAnsi" w:cstheme="minorHAnsi"/>
          <w:i/>
          <w:sz w:val="16"/>
          <w:szCs w:val="16"/>
        </w:rPr>
        <w:t xml:space="preserve">rev’d on other grounds, </w:t>
      </w:r>
      <w:r w:rsidRPr="00707B4A">
        <w:rPr>
          <w:rFonts w:asciiTheme="minorHAnsi" w:hAnsiTheme="minorHAnsi" w:cstheme="minorHAnsi"/>
          <w:sz w:val="16"/>
          <w:szCs w:val="16"/>
        </w:rPr>
        <w:t xml:space="preserve">157 Ohio St.3d 309, 2019-Ohio-3233. </w:t>
      </w:r>
    </w:p>
  </w:endnote>
  <w:endnote w:id="1084">
    <w:p w14:paraId="12823896" w14:textId="21B2C89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8" w:history="1">
        <w:r w:rsidRPr="00707B4A">
          <w:rPr>
            <w:rStyle w:val="Hyperlink"/>
            <w:rFonts w:asciiTheme="minorHAnsi" w:hAnsiTheme="minorHAnsi" w:cstheme="minorHAnsi"/>
            <w:sz w:val="16"/>
            <w:szCs w:val="16"/>
          </w:rPr>
          <w:t>R.C. 121.22(C).</w:t>
        </w:r>
      </w:hyperlink>
    </w:p>
  </w:endnote>
  <w:endnote w:id="1085">
    <w:p w14:paraId="28C18E36" w14:textId="7777777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29" w:history="1">
        <w:r w:rsidRPr="00707B4A">
          <w:rPr>
            <w:rStyle w:val="Hyperlink"/>
            <w:rFonts w:asciiTheme="minorHAnsi" w:hAnsiTheme="minorHAnsi" w:cstheme="minorHAnsi"/>
            <w:i/>
            <w:sz w:val="16"/>
            <w:szCs w:val="16"/>
          </w:rPr>
          <w:t>Piekutowski v. S. Cent. Ohio Edn. Serv. Ctr. Governing Bd.</w:t>
        </w:r>
      </w:hyperlink>
      <w:r w:rsidRPr="00707B4A">
        <w:rPr>
          <w:rFonts w:asciiTheme="minorHAnsi" w:hAnsiTheme="minorHAnsi" w:cstheme="minorHAnsi"/>
          <w:sz w:val="16"/>
          <w:szCs w:val="16"/>
        </w:rPr>
        <w:t>, 161 Ohio App.3d 372, 380, 2005-Ohio-2868 (4th Dist.).</w:t>
      </w:r>
    </w:p>
  </w:endnote>
  <w:endnote w:id="1086">
    <w:p w14:paraId="24797E8B" w14:textId="4F67A24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0" w:history="1">
        <w:r w:rsidRPr="00707B4A">
          <w:rPr>
            <w:rStyle w:val="Hyperlink"/>
            <w:rFonts w:asciiTheme="minorHAnsi" w:hAnsiTheme="minorHAnsi" w:cstheme="minorHAnsi"/>
            <w:sz w:val="16"/>
            <w:szCs w:val="16"/>
          </w:rPr>
          <w:t>R.C. 121.22(C)</w:t>
        </w:r>
      </w:hyperlink>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see also </w:t>
      </w:r>
      <w:hyperlink r:id="rId1431" w:history="1">
        <w:r w:rsidRPr="00707B4A">
          <w:rPr>
            <w:rStyle w:val="Hyperlink"/>
            <w:rFonts w:asciiTheme="minorHAnsi" w:hAnsiTheme="minorHAnsi" w:cstheme="minorHAnsi"/>
            <w:i/>
            <w:sz w:val="16"/>
            <w:szCs w:val="16"/>
          </w:rPr>
          <w:t xml:space="preserve">White v. Clinton </w:t>
        </w:r>
        <w:r w:rsidRPr="00707B4A">
          <w:rPr>
            <w:rStyle w:val="Hyperlink"/>
            <w:rFonts w:asciiTheme="minorHAnsi" w:hAnsiTheme="minorHAnsi" w:cstheme="minorHAnsi"/>
            <w:i/>
            <w:sz w:val="16"/>
            <w:szCs w:val="16"/>
          </w:rPr>
          <w:t>Cty. Bd. of Commrs.</w:t>
        </w:r>
      </w:hyperlink>
      <w:r w:rsidRPr="00707B4A">
        <w:rPr>
          <w:rFonts w:asciiTheme="minorHAnsi" w:hAnsiTheme="minorHAnsi" w:cstheme="minorHAnsi"/>
          <w:sz w:val="16"/>
          <w:szCs w:val="16"/>
        </w:rPr>
        <w:t>, 76 Ohio St.3d 416 (1996)</w:t>
      </w:r>
      <w:r w:rsidR="00E86790" w:rsidRPr="00707B4A">
        <w:rPr>
          <w:rFonts w:asciiTheme="minorHAnsi" w:hAnsiTheme="minorHAnsi" w:cstheme="minorHAnsi"/>
          <w:sz w:val="16"/>
          <w:szCs w:val="16"/>
        </w:rPr>
        <w:t>;</w:t>
      </w:r>
      <w:r w:rsidRPr="00707B4A">
        <w:rPr>
          <w:rFonts w:asciiTheme="minorHAnsi" w:hAnsiTheme="minorHAnsi" w:cstheme="minorHAnsi"/>
          <w:sz w:val="16"/>
          <w:szCs w:val="16"/>
        </w:rPr>
        <w:t xml:space="preserve"> </w:t>
      </w:r>
      <w:hyperlink r:id="rId1432" w:history="1">
        <w:r w:rsidRPr="00707B4A">
          <w:rPr>
            <w:rStyle w:val="Hyperlink"/>
            <w:rFonts w:asciiTheme="minorHAnsi" w:hAnsiTheme="minorHAnsi" w:cstheme="minorHAnsi"/>
            <w:i/>
            <w:sz w:val="16"/>
            <w:szCs w:val="16"/>
          </w:rPr>
          <w:t>State ex rel. Long v. Cardington Village Council</w:t>
        </w:r>
      </w:hyperlink>
      <w:r w:rsidRPr="00707B4A">
        <w:rPr>
          <w:rFonts w:asciiTheme="minorHAnsi" w:hAnsiTheme="minorHAnsi" w:cstheme="minorHAnsi"/>
          <w:sz w:val="16"/>
          <w:szCs w:val="16"/>
        </w:rPr>
        <w:t>, 92 Ohio St.3d 54, 57 (2001) (audiotapes that are later erased do not meet requirement to maintain minutes).</w:t>
      </w:r>
    </w:p>
  </w:endnote>
  <w:endnote w:id="1087">
    <w:p w14:paraId="63F85490" w14:textId="0B0366C8"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3"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 xml:space="preserve">Young v. Lebanon City School Dist. Bd. of </w:t>
        </w:r>
        <w:r w:rsidRPr="00707B4A">
          <w:rPr>
            <w:rStyle w:val="Hyperlink"/>
            <w:rFonts w:asciiTheme="minorHAnsi" w:hAnsiTheme="minorHAnsi" w:cstheme="minorHAnsi"/>
            <w:i/>
            <w:sz w:val="16"/>
            <w:szCs w:val="16"/>
          </w:rPr>
          <w:t>Edn.</w:t>
        </w:r>
      </w:hyperlink>
      <w:r w:rsidRPr="00707B4A">
        <w:rPr>
          <w:rFonts w:asciiTheme="minorHAnsi" w:hAnsiTheme="minorHAnsi" w:cstheme="minorHAnsi"/>
          <w:sz w:val="16"/>
          <w:szCs w:val="16"/>
        </w:rPr>
        <w:t>, 12th Dist. Warren No. CA2012-02-013, 2013-Ohio-1111, ¶ 33 (reading R.C. 121.22 with R.C. 3313.26, school board failed to “promptly” prepare minutes where it was three months behind in approving minutes and did not approve minutes at the next respective meeting).</w:t>
      </w:r>
    </w:p>
  </w:endnote>
  <w:endnote w:id="1088">
    <w:p w14:paraId="48D10FBF" w14:textId="6D3CDBFB"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4" w:history="1">
        <w:r w:rsidRPr="00707B4A">
          <w:rPr>
            <w:rStyle w:val="Hyperlink"/>
            <w:rFonts w:asciiTheme="minorHAnsi" w:hAnsiTheme="minorHAnsi" w:cstheme="minorHAnsi"/>
            <w:sz w:val="16"/>
            <w:szCs w:val="16"/>
          </w:rPr>
          <w:t>R.C. 121.22(C).</w:t>
        </w:r>
      </w:hyperlink>
    </w:p>
  </w:endnote>
  <w:endnote w:id="1089">
    <w:p w14:paraId="175600C2" w14:textId="6687265E"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5" w:history="1">
        <w:r w:rsidRPr="00707B4A">
          <w:rPr>
            <w:rStyle w:val="Hyperlink"/>
            <w:rFonts w:asciiTheme="minorHAnsi" w:hAnsiTheme="minorHAnsi" w:cstheme="minorHAnsi"/>
            <w:i/>
            <w:sz w:val="16"/>
            <w:szCs w:val="16"/>
          </w:rPr>
          <w:t>State ex rel. Doe v. Register</w:t>
        </w:r>
      </w:hyperlink>
      <w:r w:rsidRPr="00707B4A">
        <w:rPr>
          <w:rFonts w:asciiTheme="minorHAnsi" w:hAnsiTheme="minorHAnsi" w:cstheme="minorHAnsi"/>
          <w:sz w:val="16"/>
          <w:szCs w:val="16"/>
        </w:rPr>
        <w:t>, 12th Dist. Clermont No. CA2008-08-081, 2009-Ohio-2448, ¶ 28.</w:t>
      </w:r>
    </w:p>
  </w:endnote>
  <w:endnote w:id="1090">
    <w:p w14:paraId="5967DB4E" w14:textId="2057EC7D"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6" w:history="1">
        <w:r w:rsidRPr="00707B4A">
          <w:rPr>
            <w:rStyle w:val="Hyperlink"/>
            <w:rFonts w:asciiTheme="minorHAnsi" w:hAnsiTheme="minorHAnsi" w:cstheme="minorHAnsi"/>
            <w:i/>
            <w:sz w:val="16"/>
            <w:szCs w:val="16"/>
          </w:rPr>
          <w:t xml:space="preserve">State ex rel. </w:t>
        </w:r>
        <w:r w:rsidRPr="00707B4A">
          <w:rPr>
            <w:rStyle w:val="Hyperlink"/>
            <w:rFonts w:asciiTheme="minorHAnsi" w:hAnsiTheme="minorHAnsi" w:cstheme="minorHAnsi"/>
            <w:i/>
            <w:sz w:val="16"/>
            <w:szCs w:val="16"/>
          </w:rPr>
          <w:t>Verhovec v. Marietta</w:t>
        </w:r>
      </w:hyperlink>
      <w:r w:rsidRPr="00707B4A">
        <w:rPr>
          <w:rFonts w:asciiTheme="minorHAnsi" w:hAnsiTheme="minorHAnsi" w:cstheme="minorHAnsi"/>
          <w:sz w:val="16"/>
          <w:szCs w:val="16"/>
        </w:rPr>
        <w:t>, 4th Dist. Washington No. 12CA32, 2013-Ohio-5415, ¶ 19-30.</w:t>
      </w:r>
    </w:p>
  </w:endnote>
  <w:endnote w:id="1091">
    <w:p w14:paraId="00552E75" w14:textId="3D93D4A1"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In </w:t>
      </w:r>
      <w:hyperlink r:id="rId1437" w:history="1">
        <w:r w:rsidRPr="00707B4A">
          <w:rPr>
            <w:rStyle w:val="Hyperlink"/>
            <w:rFonts w:asciiTheme="minorHAnsi" w:hAnsiTheme="minorHAnsi" w:cstheme="minorHAnsi"/>
            <w:i/>
            <w:sz w:val="16"/>
            <w:szCs w:val="16"/>
          </w:rPr>
          <w:t>State ex rel. Long v. Cardington Village Council</w:t>
        </w:r>
      </w:hyperlink>
      <w:r w:rsidRPr="00707B4A">
        <w:rPr>
          <w:rFonts w:asciiTheme="minorHAnsi" w:hAnsiTheme="minorHAnsi" w:cstheme="minorHAnsi"/>
          <w:sz w:val="16"/>
          <w:szCs w:val="16"/>
        </w:rPr>
        <w:t xml:space="preserve">, 92 Ohio St.3d 54, 57 (2001), the Supreme Court found meritless the council’s contention that audiotapes complied with Open Meetings Act requirements because they were not treated as official minutes, </w:t>
      </w:r>
      <w:r w:rsidRPr="0020302A">
        <w:rPr>
          <w:rFonts w:asciiTheme="minorHAnsi" w:hAnsiTheme="minorHAnsi" w:cstheme="minorHAnsi"/>
          <w:i/>
          <w:iCs/>
          <w:sz w:val="16"/>
          <w:szCs w:val="16"/>
        </w:rPr>
        <w:t>e.g</w:t>
      </w:r>
      <w:r w:rsidRPr="00707B4A">
        <w:rPr>
          <w:rFonts w:asciiTheme="minorHAnsi" w:hAnsiTheme="minorHAnsi" w:cstheme="minorHAnsi"/>
          <w:sz w:val="16"/>
          <w:szCs w:val="16"/>
        </w:rPr>
        <w:t>., council approved written minutes, did not tape all meetings, and voted to erase tapes after written minutes had been approved.</w:t>
      </w:r>
    </w:p>
  </w:endnote>
  <w:endnote w:id="1092">
    <w:p w14:paraId="5EE4004A" w14:textId="163FC536"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38" w:history="1">
        <w:r w:rsidRPr="00707B4A">
          <w:rPr>
            <w:rStyle w:val="Hyperlink"/>
            <w:rFonts w:asciiTheme="minorHAnsi" w:hAnsiTheme="minorHAnsi" w:cstheme="minorHAnsi"/>
            <w:sz w:val="16"/>
            <w:szCs w:val="16"/>
          </w:rPr>
          <w:t xml:space="preserve">2008 Ohio </w:t>
        </w:r>
        <w:r w:rsidRPr="00707B4A">
          <w:rPr>
            <w:rStyle w:val="Hyperlink"/>
            <w:rFonts w:asciiTheme="minorHAnsi" w:hAnsiTheme="minorHAnsi" w:cstheme="minorHAnsi"/>
            <w:sz w:val="16"/>
            <w:szCs w:val="16"/>
          </w:rPr>
          <w:t>Atty.Gen.Ops. No. 019</w:t>
        </w:r>
      </w:hyperlink>
      <w:r w:rsidRPr="00707B4A">
        <w:rPr>
          <w:rFonts w:asciiTheme="minorHAnsi" w:hAnsiTheme="minorHAnsi" w:cstheme="minorHAnsi"/>
          <w:sz w:val="16"/>
          <w:szCs w:val="16"/>
        </w:rPr>
        <w:t xml:space="preserve"> (opining that an audio tape recording of a meeting that is created for the purpose of taking notes to create an accurate record of the meeting is a public record for purposes of </w:t>
      </w:r>
      <w:r w:rsidR="0020302A">
        <w:rPr>
          <w:rFonts w:asciiTheme="minorHAnsi" w:hAnsiTheme="minorHAnsi" w:cstheme="minorHAnsi"/>
          <w:sz w:val="16"/>
          <w:szCs w:val="16"/>
        </w:rPr>
        <w:t>the Public Records Act</w:t>
      </w:r>
      <w:r w:rsidR="00E86790" w:rsidRPr="00707B4A">
        <w:rPr>
          <w:rFonts w:asciiTheme="minorHAnsi" w:hAnsiTheme="minorHAnsi" w:cstheme="minorHAnsi"/>
          <w:sz w:val="16"/>
          <w:szCs w:val="16"/>
        </w:rPr>
        <w:t>;</w:t>
      </w:r>
      <w:r w:rsidRPr="00707B4A">
        <w:rPr>
          <w:rFonts w:asciiTheme="minorHAnsi" w:hAnsiTheme="minorHAnsi" w:cstheme="minorHAnsi"/>
          <w:sz w:val="16"/>
          <w:szCs w:val="16"/>
        </w:rPr>
        <w:t xml:space="preserve"> the recording must be made available for public inspection and </w:t>
      </w:r>
      <w:r w:rsidR="004F53F5" w:rsidRPr="00707B4A">
        <w:rPr>
          <w:rFonts w:asciiTheme="minorHAnsi" w:hAnsiTheme="minorHAnsi" w:cstheme="minorHAnsi"/>
          <w:sz w:val="16"/>
          <w:szCs w:val="16"/>
        </w:rPr>
        <w:t>copying and</w:t>
      </w:r>
      <w:r w:rsidRPr="00707B4A">
        <w:rPr>
          <w:rFonts w:asciiTheme="minorHAnsi" w:hAnsiTheme="minorHAnsi" w:cstheme="minorHAnsi"/>
          <w:sz w:val="16"/>
          <w:szCs w:val="16"/>
        </w:rPr>
        <w:t xml:space="preserve"> retained in accordance with the terms of the records retention schedule for such a record).</w:t>
      </w:r>
    </w:p>
  </w:endnote>
  <w:endnote w:id="1093">
    <w:p w14:paraId="0FF73DCC" w14:textId="237328F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“Emergency” is defined as “any period during which the congress of the United States or a chief executive has declared or proclaimed that an emergency exists.”  </w:t>
      </w:r>
      <w:hyperlink r:id="rId1439" w:history="1">
        <w:r w:rsidRPr="00707B4A">
          <w:rPr>
            <w:rStyle w:val="Hyperlink"/>
            <w:rFonts w:asciiTheme="minorHAnsi" w:hAnsiTheme="minorHAnsi" w:cstheme="minorHAnsi"/>
            <w:sz w:val="16"/>
            <w:szCs w:val="16"/>
          </w:rPr>
          <w:t xml:space="preserve">R.C. 5502.21 (F). </w:t>
        </w:r>
      </w:hyperlink>
      <w:r w:rsidRPr="00707B4A">
        <w:rPr>
          <w:rFonts w:asciiTheme="minorHAnsi" w:hAnsiTheme="minorHAnsi" w:cstheme="minorHAnsi"/>
          <w:sz w:val="16"/>
          <w:szCs w:val="16"/>
        </w:rPr>
        <w:t xml:space="preserve"> “Chief executive” is defined as “the president of the United States, the governor of this state, the board of county commissioners of any county, the board of township trustees of any township, or the mayor or city manager of any municipal corporation within this state.” </w:t>
      </w:r>
      <w:hyperlink r:id="rId1440" w:history="1">
        <w:r w:rsidRPr="00707B4A">
          <w:rPr>
            <w:rStyle w:val="Hyperlink"/>
            <w:rFonts w:asciiTheme="minorHAnsi" w:hAnsiTheme="minorHAnsi" w:cstheme="minorHAnsi"/>
            <w:sz w:val="16"/>
            <w:szCs w:val="16"/>
          </w:rPr>
          <w:t xml:space="preserve"> R.C. 5502.21(C).</w:t>
        </w:r>
      </w:hyperlink>
    </w:p>
  </w:endnote>
  <w:endnote w:id="1094">
    <w:p w14:paraId="5841E973" w14:textId="18A8565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1" w:history="1">
        <w:r w:rsidRPr="00707B4A">
          <w:rPr>
            <w:rStyle w:val="Hyperlink"/>
            <w:rFonts w:asciiTheme="minorHAnsi" w:hAnsiTheme="minorHAnsi" w:cstheme="minorHAnsi"/>
            <w:sz w:val="16"/>
            <w:szCs w:val="16"/>
          </w:rPr>
          <w:t>R.C. 5502.24(B).</w:t>
        </w:r>
      </w:hyperlink>
    </w:p>
  </w:endnote>
  <w:endnote w:id="1095">
    <w:p w14:paraId="73A5CB66" w14:textId="3756E93A"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2" w:history="1">
        <w:r w:rsidRPr="00707B4A">
          <w:rPr>
            <w:rStyle w:val="Hyperlink"/>
            <w:rFonts w:asciiTheme="minorHAnsi" w:hAnsiTheme="minorHAnsi" w:cstheme="minorHAnsi"/>
            <w:sz w:val="16"/>
            <w:szCs w:val="16"/>
          </w:rPr>
          <w:t xml:space="preserve">2009 Ohio </w:t>
        </w:r>
        <w:r w:rsidRPr="00707B4A">
          <w:rPr>
            <w:rStyle w:val="Hyperlink"/>
            <w:rFonts w:asciiTheme="minorHAnsi" w:hAnsiTheme="minorHAnsi" w:cstheme="minorHAnsi"/>
            <w:sz w:val="16"/>
            <w:szCs w:val="16"/>
          </w:rPr>
          <w:t>Atty.Gen.Ops. No. 034</w:t>
        </w:r>
      </w:hyperlink>
      <w:r w:rsidRPr="00707B4A">
        <w:rPr>
          <w:rFonts w:asciiTheme="minorHAnsi" w:hAnsiTheme="minorHAnsi" w:cstheme="minorHAnsi"/>
          <w:sz w:val="16"/>
          <w:szCs w:val="16"/>
        </w:rPr>
        <w:t xml:space="preserve">; </w:t>
      </w:r>
      <w:hyperlink r:id="rId1443" w:history="1">
        <w:r w:rsidRPr="00707B4A">
          <w:rPr>
            <w:rStyle w:val="Hyperlink"/>
            <w:rFonts w:asciiTheme="minorHAnsi" w:hAnsiTheme="minorHAnsi" w:cstheme="minorHAnsi"/>
            <w:sz w:val="16"/>
            <w:szCs w:val="16"/>
          </w:rPr>
          <w:t xml:space="preserve">R.C. 5502.24(B). </w:t>
        </w:r>
      </w:hyperlink>
    </w:p>
  </w:endnote>
  <w:endnote w:id="1096">
    <w:p w14:paraId="3A78F41A" w14:textId="3421B839"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4" w:history="1">
        <w:r w:rsidRPr="00707B4A">
          <w:rPr>
            <w:rStyle w:val="Hyperlink"/>
            <w:rFonts w:asciiTheme="minorHAnsi" w:hAnsiTheme="minorHAnsi" w:cstheme="minorHAnsi"/>
            <w:sz w:val="16"/>
            <w:szCs w:val="16"/>
          </w:rPr>
          <w:t>Ohio Constitution, Article XVIII, Sections 3, 7</w:t>
        </w:r>
        <w:r w:rsidR="00E86790" w:rsidRPr="00707B4A">
          <w:rPr>
            <w:rStyle w:val="Hyperlink"/>
            <w:rFonts w:asciiTheme="minorHAnsi" w:hAnsiTheme="minorHAnsi" w:cstheme="minorHAnsi"/>
            <w:sz w:val="16"/>
            <w:szCs w:val="16"/>
          </w:rPr>
          <w:t>.</w:t>
        </w:r>
      </w:hyperlink>
    </w:p>
  </w:endnote>
  <w:endnote w:id="1097">
    <w:p w14:paraId="4D396096" w14:textId="22DE9712"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Plain Dealer Publishing Co. v. Barnes</w:t>
      </w:r>
      <w:r w:rsidRPr="00707B4A">
        <w:rPr>
          <w:rFonts w:asciiTheme="minorHAnsi" w:hAnsiTheme="minorHAnsi" w:cstheme="minorHAnsi"/>
          <w:sz w:val="16"/>
          <w:szCs w:val="16"/>
        </w:rPr>
        <w:t xml:space="preserve">, 38 Ohio St.3d 165, 168 (1988) (finding it unnecessary to decide the applicability of the Open Meetings Act because the charter language expressly provided for open meetings and encompassed the meeting at issue); </w:t>
      </w:r>
      <w:r w:rsidRPr="00707B4A">
        <w:rPr>
          <w:rFonts w:asciiTheme="minorHAnsi" w:hAnsiTheme="minorHAnsi" w:cstheme="minorHAnsi"/>
          <w:i/>
          <w:sz w:val="16"/>
          <w:szCs w:val="16"/>
        </w:rPr>
        <w:t>Hills &amp; Dales, Inc. v. Wooster</w:t>
      </w:r>
      <w:r w:rsidRPr="00707B4A">
        <w:rPr>
          <w:rFonts w:asciiTheme="minorHAnsi" w:hAnsiTheme="minorHAnsi" w:cstheme="minorHAnsi"/>
          <w:sz w:val="16"/>
          <w:szCs w:val="16"/>
        </w:rPr>
        <w:t>, 4 Ohio App.3d 240, 242-43 (9th Dist. 1982) (finding a charter municipality need not comply with the Open Meetings Act; there is “nothing in the Wooster Charter which mandates that all meetings of the city council and/or the city planning commission must be open to the public”).</w:t>
      </w:r>
    </w:p>
  </w:endnote>
  <w:endnote w:id="1098">
    <w:p w14:paraId="2D3B3DD9" w14:textId="2BDD5F37"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 xml:space="preserve">State ex rel. </w:t>
      </w:r>
      <w:r w:rsidRPr="00707B4A">
        <w:rPr>
          <w:rFonts w:asciiTheme="minorHAnsi" w:hAnsiTheme="minorHAnsi" w:cstheme="minorHAnsi"/>
          <w:i/>
          <w:sz w:val="16"/>
          <w:szCs w:val="16"/>
        </w:rPr>
        <w:t>Lightfield v. Indian Hill</w:t>
      </w:r>
      <w:r w:rsidRPr="00707B4A">
        <w:rPr>
          <w:rFonts w:asciiTheme="minorHAnsi" w:hAnsiTheme="minorHAnsi" w:cstheme="minorHAnsi"/>
          <w:sz w:val="16"/>
          <w:szCs w:val="16"/>
        </w:rPr>
        <w:t xml:space="preserve">, 69 Ohio St.3d 441, 442 (1994) (“In matters of local self-government, if a portion of a municipal charter expressly conflicts with a parallel state law, the charter provisions will prevail.”); </w:t>
      </w:r>
      <w:hyperlink r:id="rId1445" w:history="1">
        <w:r w:rsidRPr="00707B4A">
          <w:rPr>
            <w:rStyle w:val="Hyperlink"/>
            <w:rFonts w:asciiTheme="minorHAnsi" w:hAnsiTheme="minorHAnsi" w:cstheme="minorHAnsi"/>
            <w:i/>
            <w:sz w:val="16"/>
            <w:szCs w:val="16"/>
          </w:rPr>
          <w:t>Kanter v. Cleveland Heights</w:t>
        </w:r>
      </w:hyperlink>
      <w:r w:rsidRPr="00707B4A">
        <w:rPr>
          <w:rFonts w:asciiTheme="minorHAnsi" w:hAnsiTheme="minorHAnsi" w:cstheme="minorHAnsi"/>
          <w:sz w:val="16"/>
          <w:szCs w:val="16"/>
        </w:rPr>
        <w:t xml:space="preserve">, 8th Dist. Cuyahoga No. 104375, 2017-Ohio-1038 (city council did not have to follow the mandates of the Open Meetings Act when its charter permitted it to maintain its own rules, and those rules distinguished council meetings from special meetings, and made recording minutes of council meetings discretionary); </w:t>
      </w:r>
      <w:hyperlink r:id="rId1446" w:history="1">
        <w:r w:rsidRPr="00707B4A">
          <w:rPr>
            <w:rStyle w:val="Hyperlink"/>
            <w:rFonts w:asciiTheme="minorHAnsi" w:hAnsiTheme="minorHAnsi" w:cstheme="minorHAnsi"/>
            <w:i/>
            <w:sz w:val="16"/>
            <w:szCs w:val="16"/>
          </w:rPr>
          <w:t>Kujvila v. Newton Falls</w:t>
        </w:r>
      </w:hyperlink>
      <w:r w:rsidRPr="00707B4A">
        <w:rPr>
          <w:rFonts w:asciiTheme="minorHAnsi" w:hAnsiTheme="minorHAnsi" w:cstheme="minorHAnsi"/>
          <w:sz w:val="16"/>
          <w:szCs w:val="16"/>
        </w:rPr>
        <w:t>, 11th Dist. Trumbull No. 2016-T-0010, 2017-Ohio-7957, ¶ 32-35.</w:t>
      </w:r>
    </w:p>
  </w:endnote>
  <w:endnote w:id="1099">
    <w:p w14:paraId="54C08220" w14:textId="24E01885" w:rsidR="002F23BE" w:rsidRPr="00707B4A" w:rsidRDefault="002F23BE" w:rsidP="00707B4A">
      <w:pPr>
        <w:pStyle w:val="EndnoteText"/>
        <w:spacing w:line="160" w:lineRule="exact"/>
        <w:jc w:val="both"/>
        <w:rPr>
          <w:rFonts w:asciiTheme="minorHAnsi" w:hAnsiTheme="minorHAnsi" w:cstheme="minorHAnsi"/>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r w:rsidRPr="00707B4A">
        <w:rPr>
          <w:rFonts w:asciiTheme="minorHAnsi" w:hAnsiTheme="minorHAnsi" w:cstheme="minorHAnsi"/>
          <w:i/>
          <w:sz w:val="16"/>
          <w:szCs w:val="16"/>
        </w:rPr>
        <w:t>State ex rel. Bond v. Montgomery</w:t>
      </w:r>
      <w:r w:rsidRPr="00707B4A">
        <w:rPr>
          <w:rFonts w:asciiTheme="minorHAnsi" w:hAnsiTheme="minorHAnsi" w:cstheme="minorHAnsi"/>
          <w:sz w:val="16"/>
          <w:szCs w:val="16"/>
        </w:rPr>
        <w:t>, 63 Ohio App.3d 728, 736 (1st Dist. 1989)</w:t>
      </w:r>
      <w:r w:rsidR="00E86790" w:rsidRPr="00707B4A">
        <w:rPr>
          <w:rFonts w:asciiTheme="minorHAnsi" w:hAnsiTheme="minorHAnsi" w:cstheme="minorHAnsi"/>
          <w:sz w:val="16"/>
          <w:szCs w:val="16"/>
        </w:rPr>
        <w:t xml:space="preserve"> (“If a city does choose to draft its own rules concerning the meeting of a public body and the rules are included in its charter, the city council</w:t>
      </w:r>
      <w:r w:rsidR="00CC627F" w:rsidRPr="00707B4A">
        <w:rPr>
          <w:rFonts w:asciiTheme="minorHAnsi" w:hAnsiTheme="minorHAnsi" w:cstheme="minorHAnsi"/>
          <w:sz w:val="16"/>
          <w:szCs w:val="16"/>
        </w:rPr>
        <w:t xml:space="preserve"> must abide by those rules.”)</w:t>
      </w:r>
      <w:r w:rsidRPr="00707B4A">
        <w:rPr>
          <w:rFonts w:asciiTheme="minorHAnsi" w:hAnsiTheme="minorHAnsi" w:cstheme="minorHAnsi"/>
          <w:sz w:val="16"/>
          <w:szCs w:val="16"/>
        </w:rPr>
        <w:t>;</w:t>
      </w:r>
      <w:r w:rsidR="00CC627F" w:rsidRPr="00707B4A">
        <w:rPr>
          <w:rFonts w:asciiTheme="minorHAnsi" w:hAnsiTheme="minorHAnsi" w:cstheme="minorHAnsi"/>
          <w:sz w:val="16"/>
          <w:szCs w:val="16"/>
        </w:rPr>
        <w:t xml:space="preserve"> </w:t>
      </w:r>
      <w:r w:rsidR="00CC627F" w:rsidRPr="00707B4A">
        <w:rPr>
          <w:rFonts w:asciiTheme="minorHAnsi" w:hAnsiTheme="minorHAnsi" w:cstheme="minorHAnsi"/>
          <w:i/>
          <w:iCs/>
          <w:sz w:val="16"/>
          <w:szCs w:val="16"/>
        </w:rPr>
        <w:t>State ex rel. Gannett Satellite Information Network, Inc. v. Cincinnati City Council</w:t>
      </w:r>
      <w:r w:rsidR="00CC627F" w:rsidRPr="00707B4A">
        <w:rPr>
          <w:rFonts w:asciiTheme="minorHAnsi" w:hAnsiTheme="minorHAnsi" w:cstheme="minorHAnsi"/>
          <w:sz w:val="16"/>
          <w:szCs w:val="16"/>
        </w:rPr>
        <w:t>, 137 Ohio App.3d 589, 592 (1st Dist. 2001) (</w:t>
      </w:r>
      <w:r w:rsidR="00B051BB">
        <w:rPr>
          <w:rFonts w:asciiTheme="minorHAnsi" w:hAnsiTheme="minorHAnsi" w:cstheme="minorHAnsi"/>
          <w:sz w:val="16"/>
          <w:szCs w:val="16"/>
        </w:rPr>
        <w:t xml:space="preserve">rules of city council cannot supersede </w:t>
      </w:r>
      <w:r w:rsidR="00CC627F" w:rsidRPr="00707B4A">
        <w:rPr>
          <w:rFonts w:asciiTheme="minorHAnsi" w:hAnsiTheme="minorHAnsi" w:cstheme="minorHAnsi"/>
          <w:sz w:val="16"/>
          <w:szCs w:val="16"/>
        </w:rPr>
        <w:t xml:space="preserve">city charter </w:t>
      </w:r>
      <w:r w:rsidR="00B051BB">
        <w:rPr>
          <w:rFonts w:asciiTheme="minorHAnsi" w:hAnsiTheme="minorHAnsi" w:cstheme="minorHAnsi"/>
          <w:sz w:val="16"/>
          <w:szCs w:val="16"/>
        </w:rPr>
        <w:t xml:space="preserve">that </w:t>
      </w:r>
      <w:r w:rsidR="00CC627F" w:rsidRPr="00707B4A">
        <w:rPr>
          <w:rFonts w:asciiTheme="minorHAnsi" w:hAnsiTheme="minorHAnsi" w:cstheme="minorHAnsi"/>
          <w:sz w:val="16"/>
          <w:szCs w:val="16"/>
        </w:rPr>
        <w:t>mandates all meetings be open).</w:t>
      </w:r>
    </w:p>
  </w:endnote>
  <w:endnote w:id="1100">
    <w:p w14:paraId="784CECB9" w14:textId="7D63F321" w:rsidR="002F23BE" w:rsidRPr="00681BA7" w:rsidRDefault="002F23BE" w:rsidP="00707B4A">
      <w:pPr>
        <w:pStyle w:val="EndnoteText"/>
        <w:spacing w:line="160" w:lineRule="exact"/>
        <w:jc w:val="both"/>
        <w:rPr>
          <w:sz w:val="16"/>
          <w:szCs w:val="16"/>
        </w:rPr>
      </w:pPr>
      <w:r w:rsidRPr="00707B4A">
        <w:rPr>
          <w:rStyle w:val="EndnoteReference"/>
          <w:rFonts w:asciiTheme="minorHAnsi" w:hAnsiTheme="minorHAnsi" w:cstheme="minorHAnsi"/>
          <w:sz w:val="16"/>
          <w:szCs w:val="16"/>
        </w:rPr>
        <w:endnoteRef/>
      </w:r>
      <w:r w:rsidRPr="00707B4A">
        <w:rPr>
          <w:rFonts w:asciiTheme="minorHAnsi" w:hAnsiTheme="minorHAnsi" w:cstheme="minorHAnsi"/>
          <w:sz w:val="16"/>
          <w:szCs w:val="16"/>
        </w:rPr>
        <w:t xml:space="preserve"> </w:t>
      </w:r>
      <w:hyperlink r:id="rId1447" w:history="1">
        <w:r w:rsidRPr="00707B4A">
          <w:rPr>
            <w:rStyle w:val="Hyperlink"/>
            <w:rFonts w:asciiTheme="minorHAnsi" w:hAnsiTheme="minorHAnsi" w:cstheme="minorHAnsi"/>
            <w:i/>
            <w:sz w:val="16"/>
            <w:szCs w:val="16"/>
          </w:rPr>
          <w:t>State ex rel. Inskeep v. Staten</w:t>
        </w:r>
      </w:hyperlink>
      <w:r w:rsidRPr="00707B4A">
        <w:rPr>
          <w:rFonts w:asciiTheme="minorHAnsi" w:hAnsiTheme="minorHAnsi" w:cstheme="minorHAnsi"/>
          <w:sz w:val="16"/>
          <w:szCs w:val="16"/>
        </w:rPr>
        <w:t xml:space="preserve">, 74 Ohio St.3d 676 (1996); </w:t>
      </w:r>
      <w:r w:rsidRPr="00707B4A">
        <w:rPr>
          <w:rFonts w:asciiTheme="minorHAnsi" w:hAnsiTheme="minorHAnsi" w:cstheme="minorHAnsi"/>
          <w:i/>
          <w:sz w:val="16"/>
          <w:szCs w:val="16"/>
        </w:rPr>
        <w:t xml:space="preserve">see also </w:t>
      </w:r>
      <w:r w:rsidR="00CC627F" w:rsidRPr="00707B4A">
        <w:rPr>
          <w:rFonts w:asciiTheme="minorHAnsi" w:hAnsiTheme="minorHAnsi" w:cstheme="minorHAnsi"/>
          <w:i/>
          <w:sz w:val="16"/>
          <w:szCs w:val="16"/>
        </w:rPr>
        <w:t xml:space="preserve">Johnson v. </w:t>
      </w:r>
      <w:r w:rsidR="00CC627F" w:rsidRPr="00707B4A">
        <w:rPr>
          <w:rFonts w:asciiTheme="minorHAnsi" w:hAnsiTheme="minorHAnsi" w:cstheme="minorHAnsi"/>
          <w:i/>
          <w:sz w:val="16"/>
          <w:szCs w:val="16"/>
        </w:rPr>
        <w:t xml:space="preserve">Kindig, </w:t>
      </w:r>
      <w:r w:rsidR="00CC627F" w:rsidRPr="00707B4A">
        <w:rPr>
          <w:rFonts w:asciiTheme="minorHAnsi" w:hAnsiTheme="minorHAnsi" w:cstheme="minorHAnsi"/>
          <w:iCs/>
          <w:sz w:val="16"/>
          <w:szCs w:val="16"/>
        </w:rPr>
        <w:t>9th Dist. Wayne No. 00CA0095, 2001 Ohio App. LEXIS 3569, **8-9 (Aug. 15, 2001) (when charter explicitly states that all meetings shall be public and contains no explicit exemptions, charter’s reference to Open Meetings Act is insufficient to allow for executive sessions)</w:t>
      </w:r>
      <w:r w:rsidR="00602B77">
        <w:rPr>
          <w:rFonts w:asciiTheme="minorHAnsi" w:hAnsiTheme="minorHAnsi" w:cstheme="minorHAnsi"/>
          <w:iCs/>
          <w:sz w:val="16"/>
          <w:szCs w:val="16"/>
        </w:rPr>
        <w:t>.</w:t>
      </w:r>
    </w:p>
  </w:endnote>
  <w:endnote w:id="1101">
    <w:p w14:paraId="3A227303" w14:textId="64582213"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Weisel v. Palmyra Twp. Bd. of Zoning Appeals</w:t>
      </w:r>
      <w:r w:rsidRPr="00707B4A">
        <w:rPr>
          <w:sz w:val="16"/>
          <w:szCs w:val="16"/>
        </w:rPr>
        <w:t xml:space="preserve">, 11th Dist. Portage No. 90-P-2193, 1991 Ohio App. LEXIS 3379 (July 19, 1991); </w:t>
      </w:r>
      <w:r w:rsidRPr="00707B4A">
        <w:rPr>
          <w:i/>
          <w:sz w:val="16"/>
          <w:szCs w:val="16"/>
        </w:rPr>
        <w:t>Davidson v. Sheffield-Sheffield Lake Bd. of Edn.</w:t>
      </w:r>
      <w:r w:rsidRPr="00707B4A">
        <w:rPr>
          <w:sz w:val="16"/>
          <w:szCs w:val="16"/>
        </w:rPr>
        <w:t>, 9th Dist. Lorain No. 89-CA004624, 1990 Ohio App. LEXIS 2190 (May 23, 1990).</w:t>
      </w:r>
    </w:p>
  </w:endnote>
  <w:endnote w:id="1102">
    <w:p w14:paraId="56A31307" w14:textId="3704E4E5"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Chudner v. Cleveland City School Dist.</w:t>
      </w:r>
      <w:r w:rsidRPr="00707B4A">
        <w:rPr>
          <w:sz w:val="16"/>
          <w:szCs w:val="16"/>
        </w:rPr>
        <w:t xml:space="preserve">, 8th Dist. Cuyahoga No. 68572, 1995 Ohio App. LEXIS 3303, **8-9 (Aug. 10, 1995) (inviting select individuals to attend an executive session is not a violation </w:t>
      </w:r>
      <w:r w:rsidRPr="00707B4A">
        <w:rPr>
          <w:sz w:val="16"/>
          <w:szCs w:val="16"/>
        </w:rPr>
        <w:t>as long as no formal action of the public body will occur).</w:t>
      </w:r>
    </w:p>
  </w:endnote>
  <w:endnote w:id="1103">
    <w:p w14:paraId="4D04B203" w14:textId="6CD3B366" w:rsidR="00E24C4A" w:rsidRPr="00707B4A" w:rsidRDefault="00E24C4A"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48" w:history="1">
        <w:r w:rsidRPr="00707B4A">
          <w:rPr>
            <w:rStyle w:val="Hyperlink"/>
            <w:sz w:val="16"/>
            <w:szCs w:val="16"/>
          </w:rPr>
          <w:t>R.C. 121.22(G).</w:t>
        </w:r>
      </w:hyperlink>
    </w:p>
  </w:endnote>
  <w:endnote w:id="1104">
    <w:p w14:paraId="491DE4AF" w14:textId="7588F286"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hyperlink r:id="rId1449" w:history="1">
        <w:r w:rsidRPr="00707B4A">
          <w:rPr>
            <w:rStyle w:val="Hyperlink"/>
            <w:sz w:val="16"/>
            <w:szCs w:val="16"/>
          </w:rPr>
          <w:t xml:space="preserve"> R.C. 121.22(G)(1)-(8), (J)</w:t>
        </w:r>
      </w:hyperlink>
      <w:r w:rsidR="006D5959" w:rsidRPr="00707B4A">
        <w:rPr>
          <w:sz w:val="16"/>
          <w:szCs w:val="16"/>
        </w:rPr>
        <w:t>.</w:t>
      </w:r>
    </w:p>
  </w:endnote>
  <w:endnote w:id="1105">
    <w:p w14:paraId="3EEEF2D4" w14:textId="71088008" w:rsidR="00E24C4A" w:rsidRPr="00707B4A" w:rsidRDefault="00E24C4A" w:rsidP="00E00902">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iCs/>
          <w:sz w:val="16"/>
          <w:szCs w:val="16"/>
        </w:rPr>
        <w:t>Chudner v. Cleveland City School Dist.,</w:t>
      </w:r>
      <w:r w:rsidRPr="00707B4A">
        <w:rPr>
          <w:sz w:val="16"/>
          <w:szCs w:val="16"/>
        </w:rPr>
        <w:t xml:space="preserve"> 8th Dist. Cuyahoga No. 68572, 1995 Ohio App. LEXIS 3303 (Aug. 10, 1995) (finding that issues discussed in executive session each had a direct bearing on topic that was permissible subject of executive session discussion).</w:t>
      </w:r>
    </w:p>
  </w:endnote>
  <w:endnote w:id="1106">
    <w:p w14:paraId="1ADAF20E" w14:textId="389DBF05"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r w:rsidR="004B13A5">
        <w:rPr>
          <w:sz w:val="16"/>
          <w:szCs w:val="16"/>
        </w:rPr>
        <w:t xml:space="preserve"> </w:t>
      </w:r>
      <w:hyperlink r:id="rId1450" w:history="1">
        <w:r w:rsidR="004B13A5">
          <w:rPr>
            <w:rStyle w:val="Hyperlink"/>
            <w:sz w:val="16"/>
            <w:szCs w:val="16"/>
          </w:rPr>
          <w:t>R.</w:t>
        </w:r>
        <w:r w:rsidRPr="00707B4A">
          <w:rPr>
            <w:rStyle w:val="Hyperlink"/>
            <w:sz w:val="16"/>
            <w:szCs w:val="16"/>
          </w:rPr>
          <w:t>C. 121.22(G)(1), (7)</w:t>
        </w:r>
      </w:hyperlink>
      <w:r w:rsidRPr="00707B4A">
        <w:rPr>
          <w:sz w:val="16"/>
          <w:szCs w:val="16"/>
        </w:rPr>
        <w:t xml:space="preserve"> (requiring roll call vote and specificity in motion).</w:t>
      </w:r>
    </w:p>
  </w:endnote>
  <w:endnote w:id="1107">
    <w:p w14:paraId="5C84CCD0" w14:textId="4DFF5102" w:rsidR="002F23BE" w:rsidRPr="00707B4A" w:rsidRDefault="002F23BE" w:rsidP="00E00902">
      <w:pPr>
        <w:pStyle w:val="EndnoteText"/>
        <w:spacing w:line="160" w:lineRule="exact"/>
        <w:jc w:val="both"/>
        <w:rPr>
          <w:sz w:val="16"/>
          <w:szCs w:val="16"/>
        </w:rPr>
      </w:pPr>
      <w:r w:rsidRPr="00707B4A">
        <w:rPr>
          <w:rStyle w:val="EndnoteReference"/>
          <w:sz w:val="16"/>
          <w:szCs w:val="16"/>
        </w:rPr>
        <w:endnoteRef/>
      </w:r>
      <w:hyperlink r:id="rId1451" w:history="1">
        <w:r w:rsidRPr="00707B4A">
          <w:rPr>
            <w:rStyle w:val="Hyperlink"/>
            <w:sz w:val="16"/>
            <w:szCs w:val="16"/>
          </w:rPr>
          <w:t xml:space="preserve"> R.C. 121.22(H)</w:t>
        </w:r>
      </w:hyperlink>
      <w:r w:rsidRPr="00707B4A">
        <w:rPr>
          <w:sz w:val="16"/>
          <w:szCs w:val="16"/>
        </w:rPr>
        <w:t>.</w:t>
      </w:r>
    </w:p>
  </w:endnote>
  <w:endnote w:id="1108">
    <w:p w14:paraId="58C0E698" w14:textId="7D6CAC57" w:rsidR="002F23BE" w:rsidRPr="00707B4A" w:rsidRDefault="002F23BE" w:rsidP="00E00902">
      <w:pPr>
        <w:pStyle w:val="EndnoteText"/>
        <w:spacing w:line="160" w:lineRule="exact"/>
        <w:jc w:val="both"/>
        <w:rPr>
          <w:i/>
          <w:sz w:val="16"/>
          <w:szCs w:val="16"/>
        </w:rPr>
      </w:pPr>
      <w:r w:rsidRPr="00707B4A">
        <w:rPr>
          <w:rStyle w:val="EndnoteReference"/>
          <w:sz w:val="16"/>
          <w:szCs w:val="16"/>
        </w:rPr>
        <w:endnoteRef/>
      </w:r>
      <w:r w:rsidRPr="00707B4A">
        <w:rPr>
          <w:sz w:val="16"/>
          <w:szCs w:val="16"/>
        </w:rPr>
        <w:t xml:space="preserve"> </w:t>
      </w:r>
      <w:r w:rsidRPr="00707B4A">
        <w:rPr>
          <w:i/>
          <w:sz w:val="16"/>
          <w:szCs w:val="16"/>
        </w:rPr>
        <w:t>But see</w:t>
      </w:r>
      <w:r w:rsidRPr="00707B4A">
        <w:rPr>
          <w:sz w:val="16"/>
          <w:szCs w:val="16"/>
        </w:rPr>
        <w:t xml:space="preserve"> </w:t>
      </w:r>
      <w:hyperlink r:id="rId1452" w:history="1">
        <w:r w:rsidRPr="00707B4A">
          <w:rPr>
            <w:rStyle w:val="Hyperlink"/>
            <w:sz w:val="16"/>
            <w:szCs w:val="16"/>
          </w:rPr>
          <w:t>R.C. 121.22(G)(2)</w:t>
        </w:r>
      </w:hyperlink>
      <w:r w:rsidRPr="00707B4A">
        <w:rPr>
          <w:sz w:val="16"/>
          <w:szCs w:val="16"/>
        </w:rPr>
        <w:t xml:space="preserve"> (providing that “no member of a public body shall use [executive session under property exemption] as a subterfuge for providing covert information to prospective buyers or sellers”).</w:t>
      </w:r>
    </w:p>
  </w:endnote>
  <w:endnote w:id="1109">
    <w:p w14:paraId="7B5B2B4F" w14:textId="669A9C9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See, e.g.</w:t>
      </w:r>
      <w:r w:rsidRPr="00707B4A">
        <w:rPr>
          <w:sz w:val="16"/>
          <w:szCs w:val="16"/>
        </w:rPr>
        <w:t xml:space="preserve">, </w:t>
      </w:r>
      <w:hyperlink r:id="rId1453" w:history="1">
        <w:r w:rsidRPr="00707B4A">
          <w:rPr>
            <w:rStyle w:val="Hyperlink"/>
            <w:sz w:val="16"/>
            <w:szCs w:val="16"/>
          </w:rPr>
          <w:t>R.C. 102.03(B)</w:t>
        </w:r>
      </w:hyperlink>
      <w:r w:rsidRPr="00707B4A">
        <w:rPr>
          <w:sz w:val="16"/>
          <w:szCs w:val="16"/>
        </w:rPr>
        <w:t xml:space="preserve"> (providing that a public official must not disclose or use any information acquired in course of official duties that is confidential because of statutory provisions or that has been clearly designated as confidential); </w:t>
      </w:r>
      <w:r w:rsidRPr="00707B4A">
        <w:rPr>
          <w:i/>
          <w:sz w:val="16"/>
          <w:szCs w:val="16"/>
        </w:rPr>
        <w:t xml:space="preserve">Humphries v. </w:t>
      </w:r>
      <w:r w:rsidRPr="00707B4A">
        <w:rPr>
          <w:i/>
          <w:sz w:val="16"/>
          <w:szCs w:val="16"/>
        </w:rPr>
        <w:t>Chicarelli</w:t>
      </w:r>
      <w:r w:rsidRPr="00707B4A">
        <w:rPr>
          <w:sz w:val="16"/>
          <w:szCs w:val="16"/>
        </w:rPr>
        <w:t>, S.D. Ohio No. 1:10-cv-749, 2012 Ohio App. LEXIS 168038</w:t>
      </w:r>
      <w:r w:rsidR="006D5959" w:rsidRPr="00707B4A">
        <w:rPr>
          <w:sz w:val="16"/>
          <w:szCs w:val="16"/>
        </w:rPr>
        <w:t xml:space="preserve">, at </w:t>
      </w:r>
      <w:r w:rsidRPr="00707B4A">
        <w:rPr>
          <w:sz w:val="16"/>
          <w:szCs w:val="16"/>
        </w:rPr>
        <w:t xml:space="preserve">*14-15 (Nov. 27, 2012) (prohibiting city council members from testifying as to attorney-client privileged matters discussed during executive session); </w:t>
      </w:r>
      <w:r w:rsidRPr="00707B4A">
        <w:rPr>
          <w:i/>
          <w:sz w:val="16"/>
          <w:szCs w:val="16"/>
        </w:rPr>
        <w:t>Talismanic Properties, LLC v. Tipp City</w:t>
      </w:r>
      <w:r w:rsidRPr="00707B4A">
        <w:rPr>
          <w:sz w:val="16"/>
          <w:szCs w:val="16"/>
        </w:rPr>
        <w:t>, S.D. Ohio No. 3:16-cv-285, 2017 U.S. Dist. LEXIS 90290, *6-7 (June 9, 2017) (when city council entered executive session to discuss pending litigation—this case—and allegedly made the decision not to mediate, those discussions were privileged and not subject to discovery in the subsequent litigation when (1) the council did not violate the Open Meetings Act and (2) even if it had, the information was protected by attorney-client privilege).</w:t>
      </w:r>
    </w:p>
  </w:endnote>
  <w:endnote w:id="1110">
    <w:p w14:paraId="74A0A102" w14:textId="67BD292E" w:rsidR="002F23BE" w:rsidRPr="00707B4A" w:rsidRDefault="002F23BE" w:rsidP="00707B4A">
      <w:pPr>
        <w:pStyle w:val="EndnoteText"/>
        <w:spacing w:line="160" w:lineRule="exact"/>
        <w:rPr>
          <w:sz w:val="16"/>
          <w:szCs w:val="16"/>
        </w:rPr>
      </w:pPr>
      <w:r w:rsidRPr="00707B4A">
        <w:rPr>
          <w:rStyle w:val="EndnoteReference"/>
          <w:sz w:val="16"/>
          <w:szCs w:val="16"/>
        </w:rPr>
        <w:endnoteRef/>
      </w:r>
      <w:hyperlink r:id="rId1454" w:history="1">
        <w:r w:rsidRPr="00707B4A">
          <w:rPr>
            <w:rStyle w:val="Hyperlink"/>
            <w:i/>
            <w:sz w:val="16"/>
            <w:szCs w:val="16"/>
          </w:rPr>
          <w:t xml:space="preserve"> </w:t>
        </w:r>
        <w:r w:rsidRPr="00707B4A">
          <w:rPr>
            <w:rStyle w:val="Hyperlink"/>
            <w:sz w:val="16"/>
            <w:szCs w:val="16"/>
          </w:rPr>
          <w:t xml:space="preserve">OEC </w:t>
        </w:r>
        <w:r w:rsidRPr="00707B4A">
          <w:rPr>
            <w:rStyle w:val="Hyperlink"/>
            <w:sz w:val="16"/>
            <w:szCs w:val="16"/>
          </w:rPr>
          <w:t>Adv.Op. 20-02</w:t>
        </w:r>
      </w:hyperlink>
      <w:r w:rsidRPr="00707B4A">
        <w:rPr>
          <w:sz w:val="16"/>
          <w:szCs w:val="16"/>
        </w:rPr>
        <w:t xml:space="preserve">, 2020 Ohio Ethics Comm. LEXIS 2. </w:t>
      </w:r>
    </w:p>
  </w:endnote>
  <w:endnote w:id="1111">
    <w:p w14:paraId="73996A96" w14:textId="2747CBB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55" w:history="1">
        <w:r w:rsidRPr="00707B4A">
          <w:rPr>
            <w:rStyle w:val="Hyperlink"/>
            <w:i/>
            <w:sz w:val="16"/>
            <w:szCs w:val="16"/>
          </w:rPr>
          <w:t xml:space="preserve">State ex rel. Findlay Publishing Co. v. Hancock </w:t>
        </w:r>
        <w:r w:rsidRPr="00707B4A">
          <w:rPr>
            <w:rStyle w:val="Hyperlink"/>
            <w:i/>
            <w:sz w:val="16"/>
            <w:szCs w:val="16"/>
          </w:rPr>
          <w:t>Cty. Bd. of Commrs.</w:t>
        </w:r>
      </w:hyperlink>
      <w:r w:rsidRPr="00707B4A">
        <w:rPr>
          <w:sz w:val="16"/>
          <w:szCs w:val="16"/>
        </w:rPr>
        <w:t>, 80 Ohio St.3d 134, 138, 1997-Ohio-353 (“‘Since a settlement agreement contains the result of the bargaining process rather than revealing the details of the negotiations which led to the result, R.C. 121.22(G)(3), which exempts from public view only the conferences themselves, would not exempt a settlement agreement from disclosure.’”).</w:t>
      </w:r>
    </w:p>
  </w:endnote>
  <w:endnote w:id="1112">
    <w:p w14:paraId="542E34D4" w14:textId="308C9B88"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56" w:history="1">
        <w:r w:rsidRPr="00707B4A">
          <w:rPr>
            <w:rStyle w:val="Hyperlink"/>
            <w:sz w:val="16"/>
            <w:szCs w:val="16"/>
          </w:rPr>
          <w:t>R.C. 121.22(B)(3)</w:t>
        </w:r>
      </w:hyperlink>
      <w:r w:rsidRPr="00707B4A">
        <w:rPr>
          <w:sz w:val="16"/>
          <w:szCs w:val="16"/>
        </w:rPr>
        <w:t xml:space="preserve"> (defining “regulated individual” as (a) a student in a state or local public educational institution or (b) a person who is, voluntarily or involuntarily, an inmate, patient, or resident of a state or local institution because of criminal behavior, mental illness or intellectual disability, disease, disability, age, or other condition requiring custodial care).</w:t>
      </w:r>
    </w:p>
  </w:endnote>
  <w:endnote w:id="1113">
    <w:p w14:paraId="0BAD925E" w14:textId="0DA0F18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This provision does not create a substantive right to a public hearing.  </w:t>
      </w:r>
      <w:r w:rsidR="006D5959" w:rsidRPr="00E00902">
        <w:rPr>
          <w:i/>
          <w:iCs/>
          <w:sz w:val="16"/>
          <w:szCs w:val="16"/>
        </w:rPr>
        <w:t>See</w:t>
      </w:r>
      <w:r w:rsidR="006D5959" w:rsidRPr="00707B4A">
        <w:rPr>
          <w:sz w:val="16"/>
          <w:szCs w:val="16"/>
        </w:rPr>
        <w:t xml:space="preserve"> </w:t>
      </w:r>
      <w:r w:rsidRPr="00707B4A">
        <w:rPr>
          <w:i/>
          <w:sz w:val="16"/>
          <w:szCs w:val="16"/>
        </w:rPr>
        <w:t xml:space="preserve">Matheny v. Frontier Local Bd. of </w:t>
      </w:r>
      <w:r w:rsidRPr="00707B4A">
        <w:rPr>
          <w:i/>
          <w:sz w:val="16"/>
          <w:szCs w:val="16"/>
        </w:rPr>
        <w:t>Edn.</w:t>
      </w:r>
      <w:r w:rsidRPr="00707B4A">
        <w:rPr>
          <w:sz w:val="16"/>
          <w:szCs w:val="16"/>
        </w:rPr>
        <w:t xml:space="preserve">, 62 Ohio St.2d 362, 368 (1980) (“[T]he term ‘public hearing’ in subdivision (G)(1) of </w:t>
      </w:r>
      <w:r w:rsidR="006D5959" w:rsidRPr="00707B4A">
        <w:rPr>
          <w:sz w:val="16"/>
          <w:szCs w:val="16"/>
        </w:rPr>
        <w:t xml:space="preserve">the Open Meetings Act </w:t>
      </w:r>
      <w:r w:rsidRPr="00707B4A">
        <w:rPr>
          <w:sz w:val="16"/>
          <w:szCs w:val="16"/>
        </w:rPr>
        <w:t xml:space="preserve">refers only to the hearings elsewhere provided by law.”).  An employee who has a statutory right to a hearing may request a public hearing and prevent executive session.  </w:t>
      </w:r>
      <w:hyperlink r:id="rId1457" w:history="1">
        <w:r w:rsidRPr="00707B4A">
          <w:rPr>
            <w:rStyle w:val="Hyperlink"/>
            <w:i/>
            <w:sz w:val="16"/>
            <w:szCs w:val="16"/>
          </w:rPr>
          <w:t>Schmidt v. Newton</w:t>
        </w:r>
      </w:hyperlink>
      <w:r w:rsidRPr="00707B4A">
        <w:rPr>
          <w:sz w:val="16"/>
          <w:szCs w:val="16"/>
        </w:rPr>
        <w:t xml:space="preserve">, 1st Dist. Hamilton No. C-110470, 2012-Ohio-890, </w:t>
      </w:r>
      <w:r w:rsidRPr="00707B4A">
        <w:rPr>
          <w:rFonts w:cs="Aharoni"/>
          <w:sz w:val="16"/>
          <w:szCs w:val="16"/>
        </w:rPr>
        <w:t>¶</w:t>
      </w:r>
      <w:r w:rsidRPr="00707B4A">
        <w:rPr>
          <w:sz w:val="16"/>
          <w:szCs w:val="16"/>
        </w:rPr>
        <w:t xml:space="preserve"> 26 (“Only when a hearing is statutorily authorized, and a public hearing is requested, does R.C. 121.22(G) operate as a bar to holding an executive session to consider the dismissal of a public employee.”); </w:t>
      </w:r>
      <w:r w:rsidRPr="00707B4A">
        <w:rPr>
          <w:i/>
          <w:sz w:val="16"/>
          <w:szCs w:val="16"/>
        </w:rPr>
        <w:t>Brownfield v. Warren Local School Bd. of Edn.</w:t>
      </w:r>
      <w:r w:rsidRPr="00707B4A">
        <w:rPr>
          <w:sz w:val="16"/>
          <w:szCs w:val="16"/>
        </w:rPr>
        <w:t xml:space="preserve">, 4th Dist. Washington No. 89 CA 26, 1990 Ohio App. LEXIS 3878, *13 (Aug. 28, 1990) (finding that, upon request, a teacher was entitled to have deliberations regarding his dismissal occur in open meetings).  An employee with no statutory right to a hearing may not prevent discussion of his or her employment in executive session.  </w:t>
      </w:r>
      <w:hyperlink r:id="rId1458" w:history="1">
        <w:r w:rsidRPr="00707B4A">
          <w:rPr>
            <w:rStyle w:val="Hyperlink"/>
            <w:i/>
            <w:sz w:val="16"/>
            <w:szCs w:val="16"/>
          </w:rPr>
          <w:t>Stewart v. Lockland School Dist. Bd. of Edn.</w:t>
        </w:r>
      </w:hyperlink>
      <w:r w:rsidRPr="00707B4A">
        <w:rPr>
          <w:sz w:val="16"/>
          <w:szCs w:val="16"/>
        </w:rPr>
        <w:t xml:space="preserve">, 1st Dist. Hamilton No. C-130263, 2013-Ohio-5513; </w:t>
      </w:r>
      <w:r w:rsidRPr="00707B4A">
        <w:rPr>
          <w:i/>
          <w:sz w:val="16"/>
          <w:szCs w:val="16"/>
        </w:rPr>
        <w:t xml:space="preserve">Nosse v. City of Kirtland, </w:t>
      </w:r>
      <w:r w:rsidRPr="00707B4A">
        <w:rPr>
          <w:sz w:val="16"/>
          <w:szCs w:val="16"/>
        </w:rPr>
        <w:t>11th Dist. Lake No. 2022-L-032, 2022-Ohio-4161 (when a public body is acting in a quasi-judicial capacity, the adjudicatory hearing process is not a meeting under the Open Meetings Act; thus, the public body’s deliberations may be held privately in executive session).</w:t>
      </w:r>
    </w:p>
  </w:endnote>
  <w:endnote w:id="1114">
    <w:p w14:paraId="1CD4E276" w14:textId="35ECF932"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59" w:history="1">
        <w:r w:rsidRPr="00707B4A">
          <w:rPr>
            <w:rStyle w:val="Hyperlink"/>
            <w:sz w:val="16"/>
            <w:szCs w:val="16"/>
          </w:rPr>
          <w:t>R.C. 121.22(G)(1), (7)</w:t>
        </w:r>
      </w:hyperlink>
      <w:r w:rsidRPr="00707B4A">
        <w:rPr>
          <w:sz w:val="16"/>
          <w:szCs w:val="16"/>
        </w:rPr>
        <w:t xml:space="preserve"> (requiring roll call vote and specificity in motion); </w:t>
      </w:r>
      <w:hyperlink r:id="rId1460" w:history="1">
        <w:r w:rsidRPr="00707B4A">
          <w:rPr>
            <w:rStyle w:val="Hyperlink"/>
            <w:i/>
            <w:sz w:val="16"/>
            <w:szCs w:val="16"/>
          </w:rPr>
          <w:t>State ex rel. Long v. Cardington Village Council</w:t>
        </w:r>
      </w:hyperlink>
      <w:r w:rsidRPr="00707B4A">
        <w:rPr>
          <w:sz w:val="16"/>
          <w:szCs w:val="16"/>
        </w:rPr>
        <w:t xml:space="preserve">, 92 Ohio St.3d 54, 59 (2001) (finding respondents violated </w:t>
      </w:r>
      <w:r w:rsidR="006D5959" w:rsidRPr="00707B4A">
        <w:rPr>
          <w:sz w:val="16"/>
          <w:szCs w:val="16"/>
        </w:rPr>
        <w:t>the Open Meetings Act</w:t>
      </w:r>
      <w:r w:rsidRPr="00707B4A">
        <w:rPr>
          <w:sz w:val="16"/>
          <w:szCs w:val="16"/>
        </w:rPr>
        <w:t xml:space="preserve"> by using general terms like “personnel” and “personnel and finances” instead of one or more of the specified statutory purposes listed in division (G)(1)); </w:t>
      </w:r>
      <w:hyperlink r:id="rId1461" w:history="1">
        <w:r w:rsidRPr="00707B4A">
          <w:rPr>
            <w:rStyle w:val="Hyperlink"/>
            <w:i/>
            <w:sz w:val="16"/>
            <w:szCs w:val="16"/>
          </w:rPr>
          <w:t xml:space="preserve">Maddox v. Greene </w:t>
        </w:r>
        <w:r w:rsidRPr="00707B4A">
          <w:rPr>
            <w:rStyle w:val="Hyperlink"/>
            <w:i/>
            <w:sz w:val="16"/>
            <w:szCs w:val="16"/>
          </w:rPr>
          <w:t>Cty. Children Servs. Bd. of Dirs.</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18-21 (</w:t>
      </w:r>
      <w:r w:rsidR="002B581D" w:rsidRPr="00707B4A">
        <w:rPr>
          <w:sz w:val="16"/>
          <w:szCs w:val="16"/>
        </w:rPr>
        <w:t>general</w:t>
      </w:r>
      <w:r w:rsidRPr="00707B4A">
        <w:rPr>
          <w:sz w:val="16"/>
          <w:szCs w:val="16"/>
        </w:rPr>
        <w:t xml:space="preserve"> reference to “personnel matters” or “personnel issues” </w:t>
      </w:r>
      <w:r w:rsidR="002B581D" w:rsidRPr="00707B4A">
        <w:rPr>
          <w:sz w:val="16"/>
          <w:szCs w:val="16"/>
        </w:rPr>
        <w:t>is insufficient</w:t>
      </w:r>
      <w:r w:rsidRPr="00707B4A">
        <w:rPr>
          <w:sz w:val="16"/>
          <w:szCs w:val="16"/>
        </w:rPr>
        <w:t xml:space="preserve">); </w:t>
      </w:r>
      <w:r w:rsidRPr="00707B4A">
        <w:rPr>
          <w:i/>
          <w:sz w:val="16"/>
          <w:szCs w:val="16"/>
        </w:rPr>
        <w:t>Jones v. Brookfield Twp. Trustees</w:t>
      </w:r>
      <w:r w:rsidRPr="00707B4A">
        <w:rPr>
          <w:sz w:val="16"/>
          <w:szCs w:val="16"/>
        </w:rPr>
        <w:t xml:space="preserve">, 11th Dist. Trumbull No. 92-T-4692, 1995 Ohio App. LEXIS 2805, *8 (June 30, 1995) (stating “[p]olice personnel matters” does not constitute substantial compliance because it does not refer to any of the specific purposes listed in </w:t>
      </w:r>
      <w:r w:rsidR="002B581D" w:rsidRPr="00707B4A">
        <w:rPr>
          <w:sz w:val="16"/>
          <w:szCs w:val="16"/>
        </w:rPr>
        <w:t>the Open Meetings Act</w:t>
      </w:r>
      <w:r w:rsidRPr="00707B4A">
        <w:rPr>
          <w:sz w:val="16"/>
          <w:szCs w:val="16"/>
        </w:rPr>
        <w:t xml:space="preserve">); </w:t>
      </w:r>
      <w:hyperlink r:id="rId1462" w:history="1">
        <w:r w:rsidRPr="00707B4A">
          <w:rPr>
            <w:rStyle w:val="Hyperlink"/>
            <w:i/>
            <w:sz w:val="16"/>
            <w:szCs w:val="16"/>
          </w:rPr>
          <w:t>State ex rel. Dunlap v. Violet Twp. Bd. of Trustees</w:t>
        </w:r>
      </w:hyperlink>
      <w:r w:rsidRPr="00707B4A">
        <w:rPr>
          <w:sz w:val="16"/>
          <w:szCs w:val="16"/>
        </w:rPr>
        <w:t>, 5th Dist. Fairfield No. 12-CA-8, 2013-Ohio-2295, ¶ 25 (minutes stating that executive session was convened for “personnel issues” d</w:t>
      </w:r>
      <w:r w:rsidR="002B581D" w:rsidRPr="00707B4A">
        <w:rPr>
          <w:sz w:val="16"/>
          <w:szCs w:val="16"/>
        </w:rPr>
        <w:t>id</w:t>
      </w:r>
      <w:r w:rsidRPr="00707B4A">
        <w:rPr>
          <w:sz w:val="16"/>
          <w:szCs w:val="16"/>
        </w:rPr>
        <w:t xml:space="preserve"> not comply with </w:t>
      </w:r>
      <w:r w:rsidR="002B581D" w:rsidRPr="00707B4A">
        <w:rPr>
          <w:sz w:val="16"/>
          <w:szCs w:val="16"/>
        </w:rPr>
        <w:t>the Open Meetings Act</w:t>
      </w:r>
      <w:r w:rsidRPr="00707B4A">
        <w:rPr>
          <w:sz w:val="16"/>
          <w:szCs w:val="16"/>
        </w:rPr>
        <w:t>)</w:t>
      </w:r>
      <w:r w:rsidR="002B581D" w:rsidRPr="00707B4A">
        <w:rPr>
          <w:sz w:val="16"/>
          <w:szCs w:val="16"/>
        </w:rPr>
        <w:t>.</w:t>
      </w:r>
    </w:p>
  </w:endnote>
  <w:endnote w:id="1115">
    <w:p w14:paraId="2E009931" w14:textId="547738D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3" w:history="1">
        <w:r w:rsidRPr="00707B4A">
          <w:rPr>
            <w:rStyle w:val="Hyperlink"/>
            <w:i/>
            <w:sz w:val="16"/>
            <w:szCs w:val="16"/>
          </w:rPr>
          <w:t xml:space="preserve">Maddox v. Greene </w:t>
        </w:r>
        <w:r w:rsidRPr="00707B4A">
          <w:rPr>
            <w:rStyle w:val="Hyperlink"/>
            <w:i/>
            <w:sz w:val="16"/>
            <w:szCs w:val="16"/>
          </w:rPr>
          <w:t>Cty. Children Servs. Bd. of Dirs.</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19; </w:t>
      </w:r>
      <w:r w:rsidRPr="00707B4A">
        <w:rPr>
          <w:i/>
          <w:sz w:val="16"/>
          <w:szCs w:val="16"/>
        </w:rPr>
        <w:t xml:space="preserve">see also </w:t>
      </w:r>
      <w:hyperlink r:id="rId1464" w:history="1">
        <w:r w:rsidRPr="00707B4A">
          <w:rPr>
            <w:rStyle w:val="Hyperlink"/>
            <w:i/>
            <w:sz w:val="16"/>
            <w:szCs w:val="16"/>
          </w:rPr>
          <w:t>Lawrence v. Edon</w:t>
        </w:r>
      </w:hyperlink>
      <w:r w:rsidRPr="00707B4A">
        <w:rPr>
          <w:sz w:val="16"/>
          <w:szCs w:val="16"/>
        </w:rPr>
        <w:t xml:space="preserve">, 6th Dist. Williams No. WM-05-001, 2005-Ohio-5883 (Open Meetings Act does not prohibit a public body from discussing a public employee’s evaluations or job performance in executive session).  NOTE: the proper context and enumerated exemption in </w:t>
      </w:r>
      <w:r w:rsidRPr="00707B4A">
        <w:rPr>
          <w:i/>
          <w:sz w:val="16"/>
          <w:szCs w:val="16"/>
        </w:rPr>
        <w:t>Lawrence v. Edon</w:t>
      </w:r>
      <w:r w:rsidRPr="00707B4A">
        <w:rPr>
          <w:sz w:val="16"/>
          <w:szCs w:val="16"/>
        </w:rPr>
        <w:t xml:space="preserve"> was “dismissal or discipline”—other enumerated exemptions that might constitute proper contexts for considering employee evaluations include “employment,” “promotion,” “demotion,” or “compensation.”</w:t>
      </w:r>
    </w:p>
  </w:endnote>
  <w:endnote w:id="1116">
    <w:p w14:paraId="6801BBD9" w14:textId="26A89F4F"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5" w:history="1">
        <w:r w:rsidRPr="00707B4A">
          <w:rPr>
            <w:rStyle w:val="Hyperlink"/>
            <w:sz w:val="16"/>
            <w:szCs w:val="16"/>
          </w:rPr>
          <w:t>R.C. 121.22(G)(1).</w:t>
        </w:r>
      </w:hyperlink>
    </w:p>
  </w:endnote>
  <w:endnote w:id="1117">
    <w:p w14:paraId="259065E0" w14:textId="71F3D02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6" w:history="1">
        <w:r w:rsidRPr="00707B4A">
          <w:rPr>
            <w:rStyle w:val="Hyperlink"/>
            <w:i/>
            <w:sz w:val="16"/>
            <w:szCs w:val="16"/>
          </w:rPr>
          <w:t>Smith v. Pierce Twp</w:t>
        </w:r>
        <w:r w:rsidRPr="00707B4A">
          <w:rPr>
            <w:rStyle w:val="Hyperlink"/>
            <w:sz w:val="16"/>
            <w:szCs w:val="16"/>
          </w:rPr>
          <w:t>.</w:t>
        </w:r>
      </w:hyperlink>
      <w:r w:rsidRPr="00707B4A">
        <w:rPr>
          <w:sz w:val="16"/>
          <w:szCs w:val="16"/>
        </w:rPr>
        <w:t xml:space="preserve">, 12th Dist. Clermont No. CA2013-10-079, 2014-Ohio-3291, </w:t>
      </w:r>
      <w:r w:rsidRPr="00707B4A">
        <w:rPr>
          <w:rFonts w:cs="Calibri"/>
          <w:sz w:val="16"/>
          <w:szCs w:val="16"/>
        </w:rPr>
        <w:t>¶</w:t>
      </w:r>
      <w:r w:rsidRPr="00707B4A">
        <w:rPr>
          <w:sz w:val="16"/>
          <w:szCs w:val="16"/>
        </w:rPr>
        <w:t xml:space="preserve"> 50-55 (finding public body’s required publication of statutory purposes under R.C. 121.22(G)(1) for special meetings and executive sessions did not support claim of invasion of privacy under a publicity theory).</w:t>
      </w:r>
    </w:p>
  </w:endnote>
  <w:endnote w:id="1118">
    <w:p w14:paraId="2FA10763" w14:textId="5A7DF17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7" w:history="1">
        <w:r w:rsidRPr="00707B4A">
          <w:rPr>
            <w:rStyle w:val="Hyperlink"/>
            <w:i/>
            <w:sz w:val="16"/>
            <w:szCs w:val="16"/>
          </w:rPr>
          <w:t xml:space="preserve">State ex rel. Patrick Bros. v. Putnam </w:t>
        </w:r>
        <w:r w:rsidRPr="00707B4A">
          <w:rPr>
            <w:rStyle w:val="Hyperlink"/>
            <w:i/>
            <w:sz w:val="16"/>
            <w:szCs w:val="16"/>
          </w:rPr>
          <w:t>Cty. Bd. of Commrs.</w:t>
        </w:r>
      </w:hyperlink>
      <w:r w:rsidRPr="00707B4A">
        <w:rPr>
          <w:sz w:val="16"/>
          <w:szCs w:val="16"/>
        </w:rPr>
        <w:t xml:space="preserve">, 3d Dist. Putnam No. 12-13-05, 2014-Ohio-2717, </w:t>
      </w:r>
      <w:r w:rsidRPr="00707B4A">
        <w:rPr>
          <w:rFonts w:cs="Aharoni"/>
          <w:sz w:val="16"/>
          <w:szCs w:val="16"/>
        </w:rPr>
        <w:t>¶</w:t>
      </w:r>
      <w:r w:rsidRPr="00707B4A">
        <w:rPr>
          <w:sz w:val="16"/>
          <w:szCs w:val="16"/>
        </w:rPr>
        <w:t xml:space="preserve"> 36; </w:t>
      </w:r>
      <w:r w:rsidRPr="00707B4A">
        <w:rPr>
          <w:i/>
          <w:sz w:val="16"/>
          <w:szCs w:val="16"/>
        </w:rPr>
        <w:t>Gannett Satellite Information Network, Inc. v. Chillicothe City School Dist. Bd. of Edn.</w:t>
      </w:r>
      <w:r w:rsidRPr="00707B4A">
        <w:rPr>
          <w:sz w:val="16"/>
          <w:szCs w:val="16"/>
        </w:rPr>
        <w:t xml:space="preserve">, 41 Ohio App.3d 218 (4th Dist. 1988); </w:t>
      </w:r>
      <w:r w:rsidRPr="00707B4A">
        <w:rPr>
          <w:i/>
          <w:sz w:val="16"/>
          <w:szCs w:val="16"/>
        </w:rPr>
        <w:t>Davidson v. Sheffield-Sheffield Lake Bd. of Edn.</w:t>
      </w:r>
      <w:r w:rsidRPr="00707B4A">
        <w:rPr>
          <w:sz w:val="16"/>
          <w:szCs w:val="16"/>
        </w:rPr>
        <w:t>, 9th Dist. Lorain No. 89-CA004624, 1990 Ohio App. LEXIS 2190 (May 23, 1990) (rejecting the argument that an executive session was illegally held for a dual, unauthorized purpose when it was held to discuss termination of a specific employee’s employment due to budgetary considerations).</w:t>
      </w:r>
    </w:p>
  </w:endnote>
  <w:endnote w:id="1119">
    <w:p w14:paraId="4FA51F9B" w14:textId="6D0BF8C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8" w:history="1">
        <w:r w:rsidRPr="00707B4A">
          <w:rPr>
            <w:rStyle w:val="Hyperlink"/>
            <w:sz w:val="16"/>
            <w:szCs w:val="16"/>
          </w:rPr>
          <w:t>R.C. 121.22(C).</w:t>
        </w:r>
      </w:hyperlink>
    </w:p>
  </w:endnote>
  <w:endnote w:id="1120">
    <w:p w14:paraId="0CBA5175" w14:textId="5D616A2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Wright v. Mt. Vernon City Council</w:t>
      </w:r>
      <w:r w:rsidRPr="00707B4A">
        <w:rPr>
          <w:sz w:val="16"/>
          <w:szCs w:val="16"/>
        </w:rPr>
        <w:t xml:space="preserve">, 5th Dist. Knox No. 97-CA-7, 1997 Ohio App. LEXIS 4931 (Oct. 23, 1997) (public body </w:t>
      </w:r>
      <w:r w:rsidR="00B051BB">
        <w:rPr>
          <w:sz w:val="16"/>
          <w:szCs w:val="16"/>
        </w:rPr>
        <w:t>could</w:t>
      </w:r>
      <w:r w:rsidRPr="00707B4A">
        <w:rPr>
          <w:sz w:val="16"/>
          <w:szCs w:val="16"/>
        </w:rPr>
        <w:t xml:space="preserve"> discuss merit raises for exempt city employees in executive session without referring to individuals in particular positions).</w:t>
      </w:r>
    </w:p>
  </w:endnote>
  <w:endnote w:id="1121">
    <w:p w14:paraId="62D3A84E" w14:textId="29EAA18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69" w:history="1">
        <w:r w:rsidRPr="00707B4A">
          <w:rPr>
            <w:rStyle w:val="Hyperlink"/>
            <w:sz w:val="16"/>
            <w:szCs w:val="16"/>
          </w:rPr>
          <w:t>R.C. 121.22(G)(2)</w:t>
        </w:r>
      </w:hyperlink>
      <w:r w:rsidRPr="00707B4A">
        <w:rPr>
          <w:sz w:val="16"/>
          <w:szCs w:val="16"/>
        </w:rPr>
        <w:t xml:space="preserve">; </w:t>
      </w:r>
      <w:r w:rsidRPr="00707B4A">
        <w:rPr>
          <w:i/>
          <w:sz w:val="16"/>
          <w:szCs w:val="16"/>
        </w:rPr>
        <w:t>see also</w:t>
      </w:r>
      <w:r w:rsidRPr="00707B4A">
        <w:rPr>
          <w:sz w:val="16"/>
          <w:szCs w:val="16"/>
        </w:rPr>
        <w:t xml:space="preserve"> </w:t>
      </w:r>
      <w:hyperlink r:id="rId1470" w:history="1">
        <w:r w:rsidRPr="00707B4A">
          <w:rPr>
            <w:rStyle w:val="Hyperlink"/>
            <w:sz w:val="16"/>
            <w:szCs w:val="16"/>
          </w:rPr>
          <w:t xml:space="preserve">1988 Ohio </w:t>
        </w:r>
        <w:r w:rsidRPr="00707B4A">
          <w:rPr>
            <w:rStyle w:val="Hyperlink"/>
            <w:sz w:val="16"/>
            <w:szCs w:val="16"/>
          </w:rPr>
          <w:t>Atty.Gen.Ops. No. 003</w:t>
        </w:r>
      </w:hyperlink>
      <w:r w:rsidRPr="00707B4A">
        <w:rPr>
          <w:sz w:val="16"/>
          <w:szCs w:val="16"/>
        </w:rPr>
        <w:t>.</w:t>
      </w:r>
      <w:r w:rsidR="002B581D" w:rsidRPr="00707B4A">
        <w:rPr>
          <w:sz w:val="16"/>
          <w:szCs w:val="16"/>
        </w:rPr>
        <w:t xml:space="preserve"> A public body can convene into executive session “[t]o </w:t>
      </w:r>
      <w:r w:rsidR="002B581D" w:rsidRPr="00707B4A">
        <w:rPr>
          <w:sz w:val="16"/>
          <w:szCs w:val="16"/>
        </w:rPr>
        <w:t>consider the purchase o</w:t>
      </w:r>
      <w:r w:rsidR="00D2464C">
        <w:rPr>
          <w:sz w:val="16"/>
          <w:szCs w:val="16"/>
        </w:rPr>
        <w:t>f</w:t>
      </w:r>
      <w:r w:rsidR="002B581D" w:rsidRPr="00707B4A">
        <w:rPr>
          <w:sz w:val="16"/>
          <w:szCs w:val="16"/>
        </w:rPr>
        <w:t xml:space="preserve"> property for public purposes” without additional qualification, </w:t>
      </w:r>
      <w:r w:rsidR="002B581D" w:rsidRPr="00E00902">
        <w:rPr>
          <w:i/>
          <w:iCs/>
          <w:sz w:val="16"/>
          <w:szCs w:val="16"/>
        </w:rPr>
        <w:t>e.g</w:t>
      </w:r>
      <w:r w:rsidR="002B581D" w:rsidRPr="00707B4A">
        <w:rPr>
          <w:sz w:val="16"/>
          <w:szCs w:val="16"/>
        </w:rPr>
        <w:t xml:space="preserve">., “if the premature disclosure of information would give an unfair competitive or bargaining advantage to a person whose personal, private interest is adverse to the general public interest.” </w:t>
      </w:r>
      <w:hyperlink r:id="rId1471" w:history="1">
        <w:r w:rsidR="002B581D" w:rsidRPr="00B051BB">
          <w:rPr>
            <w:rStyle w:val="Hyperlink"/>
            <w:i/>
            <w:iCs/>
            <w:sz w:val="16"/>
            <w:szCs w:val="16"/>
          </w:rPr>
          <w:t xml:space="preserve">Look Ahead Am. v. Stark Cty. Bd. </w:t>
        </w:r>
        <w:r w:rsidR="00D2464C" w:rsidRPr="00B051BB">
          <w:rPr>
            <w:rStyle w:val="Hyperlink"/>
            <w:i/>
            <w:iCs/>
            <w:sz w:val="16"/>
            <w:szCs w:val="16"/>
          </w:rPr>
          <w:t>o</w:t>
        </w:r>
        <w:r w:rsidR="002B581D" w:rsidRPr="00B051BB">
          <w:rPr>
            <w:rStyle w:val="Hyperlink"/>
            <w:i/>
            <w:iCs/>
            <w:sz w:val="16"/>
            <w:szCs w:val="16"/>
          </w:rPr>
          <w:t>f Elections</w:t>
        </w:r>
      </w:hyperlink>
      <w:r w:rsidR="002B581D" w:rsidRPr="00707B4A">
        <w:rPr>
          <w:sz w:val="16"/>
          <w:szCs w:val="16"/>
        </w:rPr>
        <w:t>, 5th Dist. No. 2022-CA-00152</w:t>
      </w:r>
      <w:r w:rsidR="00B051BB">
        <w:rPr>
          <w:sz w:val="16"/>
          <w:szCs w:val="16"/>
        </w:rPr>
        <w:t>,</w:t>
      </w:r>
      <w:r w:rsidR="002B581D" w:rsidRPr="00707B4A">
        <w:rPr>
          <w:sz w:val="16"/>
          <w:szCs w:val="16"/>
        </w:rPr>
        <w:t xml:space="preserve"> 2023-Ohio-2494,</w:t>
      </w:r>
      <w:r w:rsidR="002B581D" w:rsidRPr="00707B4A">
        <w:rPr>
          <w:i/>
          <w:iCs/>
          <w:sz w:val="16"/>
          <w:szCs w:val="16"/>
        </w:rPr>
        <w:t xml:space="preserve"> appeal pending</w:t>
      </w:r>
      <w:r w:rsidR="002B581D" w:rsidRPr="00707B4A">
        <w:rPr>
          <w:sz w:val="16"/>
          <w:szCs w:val="16"/>
        </w:rPr>
        <w:t>, S.Ct.</w:t>
      </w:r>
      <w:r w:rsidR="00D2464C">
        <w:rPr>
          <w:sz w:val="16"/>
          <w:szCs w:val="16"/>
        </w:rPr>
        <w:t xml:space="preserve"> </w:t>
      </w:r>
      <w:r w:rsidR="002B581D" w:rsidRPr="00707B4A">
        <w:rPr>
          <w:sz w:val="16"/>
          <w:szCs w:val="16"/>
        </w:rPr>
        <w:t>No. 2023-1059.</w:t>
      </w:r>
    </w:p>
  </w:endnote>
  <w:endnote w:id="1122">
    <w:p w14:paraId="6CEC9804" w14:textId="46A7341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472" w:history="1">
        <w:r w:rsidRPr="00707B4A">
          <w:rPr>
            <w:rStyle w:val="Hyperlink"/>
            <w:sz w:val="16"/>
            <w:szCs w:val="16"/>
          </w:rPr>
          <w:t xml:space="preserve"> R.C. 121.22(G)(2)</w:t>
        </w:r>
      </w:hyperlink>
      <w:r w:rsidRPr="00707B4A">
        <w:rPr>
          <w:sz w:val="16"/>
          <w:szCs w:val="16"/>
        </w:rPr>
        <w:t xml:space="preserve">; </w:t>
      </w:r>
      <w:r w:rsidRPr="00707B4A">
        <w:rPr>
          <w:i/>
          <w:sz w:val="16"/>
          <w:szCs w:val="16"/>
        </w:rPr>
        <w:t xml:space="preserve">see also </w:t>
      </w:r>
      <w:hyperlink r:id="rId1473" w:history="1">
        <w:r w:rsidRPr="00707B4A">
          <w:rPr>
            <w:rStyle w:val="Hyperlink"/>
            <w:sz w:val="16"/>
            <w:szCs w:val="16"/>
          </w:rPr>
          <w:t xml:space="preserve">1988 Ohio </w:t>
        </w:r>
        <w:r w:rsidRPr="00707B4A">
          <w:rPr>
            <w:rStyle w:val="Hyperlink"/>
            <w:sz w:val="16"/>
            <w:szCs w:val="16"/>
          </w:rPr>
          <w:t>Atty.Gen.Ops. No. 003</w:t>
        </w:r>
      </w:hyperlink>
      <w:r w:rsidRPr="00707B4A">
        <w:rPr>
          <w:sz w:val="16"/>
          <w:szCs w:val="16"/>
        </w:rPr>
        <w:t>.</w:t>
      </w:r>
    </w:p>
  </w:endnote>
  <w:endnote w:id="1123">
    <w:p w14:paraId="4B90CFEF" w14:textId="37D311E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4" w:history="1">
        <w:r w:rsidRPr="00707B4A">
          <w:rPr>
            <w:rStyle w:val="Hyperlink"/>
            <w:sz w:val="16"/>
            <w:szCs w:val="16"/>
          </w:rPr>
          <w:t>R.C. 121.22(G)(2).</w:t>
        </w:r>
      </w:hyperlink>
    </w:p>
  </w:endnote>
  <w:endnote w:id="1124">
    <w:p w14:paraId="0D85CEAE" w14:textId="4D24782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475" w:history="1">
        <w:r w:rsidRPr="00707B4A">
          <w:rPr>
            <w:rStyle w:val="Hyperlink"/>
            <w:sz w:val="16"/>
            <w:szCs w:val="16"/>
          </w:rPr>
          <w:t xml:space="preserve"> R.C. 121.22(G)(3)</w:t>
        </w:r>
      </w:hyperlink>
      <w:r w:rsidRPr="00707B4A">
        <w:rPr>
          <w:sz w:val="16"/>
          <w:szCs w:val="16"/>
        </w:rPr>
        <w:t xml:space="preserve">; </w:t>
      </w:r>
      <w:r w:rsidRPr="00707B4A">
        <w:rPr>
          <w:i/>
          <w:sz w:val="16"/>
          <w:szCs w:val="16"/>
        </w:rPr>
        <w:t xml:space="preserve">State ex rel. Ames v. Brimfield Twp. Bd. of Trustees, </w:t>
      </w:r>
      <w:r w:rsidRPr="00707B4A">
        <w:rPr>
          <w:sz w:val="16"/>
          <w:szCs w:val="16"/>
        </w:rPr>
        <w:t>11th Dist. Portage No.</w:t>
      </w:r>
      <w:r w:rsidRPr="00707B4A">
        <w:rPr>
          <w:i/>
          <w:sz w:val="16"/>
          <w:szCs w:val="16"/>
        </w:rPr>
        <w:t xml:space="preserve"> </w:t>
      </w:r>
      <w:r w:rsidRPr="00707B4A">
        <w:rPr>
          <w:sz w:val="16"/>
          <w:szCs w:val="16"/>
        </w:rPr>
        <w:t>201</w:t>
      </w:r>
      <w:r w:rsidR="001D5D57">
        <w:rPr>
          <w:sz w:val="16"/>
          <w:szCs w:val="16"/>
        </w:rPr>
        <w:t>9</w:t>
      </w:r>
      <w:r w:rsidRPr="00707B4A">
        <w:rPr>
          <w:sz w:val="16"/>
          <w:szCs w:val="16"/>
        </w:rPr>
        <w:t xml:space="preserve">-P-0018, 2019-Ohio-5311, ¶ 32 (finding there is no requirement that an attorney be physically present for the exception under R.C. 121.22(G)(3) to apply, and board properly conducted conference in executive session with attorney via telephone). </w:t>
      </w:r>
    </w:p>
  </w:endnote>
  <w:endnote w:id="1125">
    <w:p w14:paraId="6156AE4B" w14:textId="6ED8F87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6" w:history="1">
        <w:r w:rsidRPr="00B051BB">
          <w:rPr>
            <w:rStyle w:val="Hyperlink"/>
            <w:i/>
            <w:sz w:val="16"/>
            <w:szCs w:val="16"/>
          </w:rPr>
          <w:t xml:space="preserve">State ex rel. Cincinnati Enquirer v. Hamilton </w:t>
        </w:r>
        <w:r w:rsidRPr="00B051BB">
          <w:rPr>
            <w:rStyle w:val="Hyperlink"/>
            <w:i/>
            <w:sz w:val="16"/>
            <w:szCs w:val="16"/>
          </w:rPr>
          <w:t>Cty. Commrs</w:t>
        </w:r>
      </w:hyperlink>
      <w:r w:rsidRPr="00707B4A">
        <w:rPr>
          <w:i/>
          <w:sz w:val="16"/>
          <w:szCs w:val="16"/>
        </w:rPr>
        <w:t>.</w:t>
      </w:r>
      <w:r w:rsidRPr="00707B4A">
        <w:rPr>
          <w:sz w:val="16"/>
          <w:szCs w:val="16"/>
        </w:rPr>
        <w:t xml:space="preserve">, 1st Dist. Hamilton No. C-010605, 2002-Ohio-2038, ¶ 20 (“imminent” is satisfied when a public body has moved beyond mere investigation and assumed an aggressive litigative posture manifested by the decision to commit government resources to the prospective litigation); </w:t>
      </w:r>
      <w:r w:rsidRPr="00707B4A">
        <w:rPr>
          <w:i/>
          <w:sz w:val="16"/>
          <w:szCs w:val="16"/>
        </w:rPr>
        <w:t>but see Greene Cty. Guidance Ctr., Inc. v. Greene-Clinton Community Mental Health Bd.</w:t>
      </w:r>
      <w:r w:rsidRPr="00707B4A">
        <w:rPr>
          <w:sz w:val="16"/>
          <w:szCs w:val="16"/>
        </w:rPr>
        <w:t>, 19 Ohio App.3d 1, 5 (2d Dist. 1984) (finding a discussion with legal counsel in executive session under 121.22(G)(3) is permitted when litigation is a “reasonable prospect”).</w:t>
      </w:r>
    </w:p>
  </w:endnote>
  <w:endnote w:id="1126">
    <w:p w14:paraId="55695F37" w14:textId="690CFE3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7" w:history="1">
        <w:r w:rsidRPr="00707B4A">
          <w:rPr>
            <w:rStyle w:val="Hyperlink"/>
            <w:i/>
            <w:sz w:val="16"/>
            <w:szCs w:val="16"/>
          </w:rPr>
          <w:t xml:space="preserve">Maddox v. Greene </w:t>
        </w:r>
        <w:r w:rsidRPr="00707B4A">
          <w:rPr>
            <w:rStyle w:val="Hyperlink"/>
            <w:i/>
            <w:sz w:val="16"/>
            <w:szCs w:val="16"/>
          </w:rPr>
          <w:t>Cty. Children Servs. Bd.</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22 (finding letter expressly threatening litigation if a settlement is not reached “reasonably made a lawsuit appear imminent”)</w:t>
      </w:r>
      <w:r w:rsidR="002B581D" w:rsidRPr="00707B4A">
        <w:rPr>
          <w:sz w:val="16"/>
          <w:szCs w:val="16"/>
        </w:rPr>
        <w:t>.</w:t>
      </w:r>
    </w:p>
  </w:endnote>
  <w:endnote w:id="1127">
    <w:p w14:paraId="4676B75E" w14:textId="65A3329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78" w:history="1">
        <w:r w:rsidRPr="00707B4A">
          <w:rPr>
            <w:rStyle w:val="Hyperlink"/>
            <w:i/>
            <w:sz w:val="16"/>
            <w:szCs w:val="16"/>
          </w:rPr>
          <w:t>State ex rel. Dunlap v. Violet Twp. Bd. of Trustees</w:t>
        </w:r>
      </w:hyperlink>
      <w:r w:rsidRPr="00707B4A">
        <w:rPr>
          <w:sz w:val="16"/>
          <w:szCs w:val="16"/>
        </w:rPr>
        <w:t>, 5th Dist. Fairfield No. 12-CA-8, 2013-Ohio-2295, ¶ 25 (</w:t>
      </w:r>
      <w:r w:rsidR="002B581D" w:rsidRPr="00707B4A">
        <w:rPr>
          <w:sz w:val="16"/>
          <w:szCs w:val="16"/>
        </w:rPr>
        <w:t xml:space="preserve">executive session was improper when </w:t>
      </w:r>
      <w:r w:rsidRPr="00707B4A">
        <w:rPr>
          <w:sz w:val="16"/>
          <w:szCs w:val="16"/>
        </w:rPr>
        <w:t>minutes stat</w:t>
      </w:r>
      <w:r w:rsidR="002B581D" w:rsidRPr="00707B4A">
        <w:rPr>
          <w:sz w:val="16"/>
          <w:szCs w:val="16"/>
        </w:rPr>
        <w:t>ed</w:t>
      </w:r>
      <w:r w:rsidRPr="00707B4A">
        <w:rPr>
          <w:sz w:val="16"/>
          <w:szCs w:val="16"/>
        </w:rPr>
        <w:t xml:space="preserve"> that </w:t>
      </w:r>
      <w:r w:rsidR="002B581D" w:rsidRPr="00707B4A">
        <w:rPr>
          <w:sz w:val="16"/>
          <w:szCs w:val="16"/>
        </w:rPr>
        <w:t>it</w:t>
      </w:r>
      <w:r w:rsidRPr="00707B4A">
        <w:rPr>
          <w:sz w:val="16"/>
          <w:szCs w:val="16"/>
        </w:rPr>
        <w:t xml:space="preserve"> was convened for “legal issues”); </w:t>
      </w:r>
      <w:hyperlink r:id="rId1479" w:history="1">
        <w:r w:rsidRPr="00662C0D">
          <w:rPr>
            <w:rStyle w:val="Hyperlink"/>
            <w:i/>
            <w:sz w:val="16"/>
            <w:szCs w:val="16"/>
          </w:rPr>
          <w:t>State ex rel. Ames v. Rootstown Twp. Bd. of Trustees</w:t>
        </w:r>
      </w:hyperlink>
      <w:r w:rsidRPr="00707B4A">
        <w:rPr>
          <w:i/>
          <w:sz w:val="16"/>
          <w:szCs w:val="16"/>
        </w:rPr>
        <w:t xml:space="preserve">, </w:t>
      </w:r>
      <w:r w:rsidRPr="00707B4A">
        <w:rPr>
          <w:sz w:val="16"/>
          <w:szCs w:val="16"/>
        </w:rPr>
        <w:t xml:space="preserve">11th Dist. Portage No. 2019-P-0019, 2019-Ohio-5412, ¶ 36 (because meeting minutes did not indicate that board convened in executive session to discuss “pending or imminent court action,” executive session was improper even though it included discussion with an attorney). </w:t>
      </w:r>
    </w:p>
  </w:endnote>
  <w:endnote w:id="1128">
    <w:p w14:paraId="53656AB0" w14:textId="03F4C7D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0" w:history="1">
        <w:r w:rsidRPr="00707B4A">
          <w:rPr>
            <w:rStyle w:val="Hyperlink"/>
            <w:i/>
            <w:sz w:val="16"/>
            <w:szCs w:val="16"/>
          </w:rPr>
          <w:t>Tobacco Use Prevention &amp; Control Found. Bd. of Trustees v. Boyce</w:t>
        </w:r>
      </w:hyperlink>
      <w:r w:rsidRPr="00707B4A">
        <w:rPr>
          <w:sz w:val="16"/>
          <w:szCs w:val="16"/>
        </w:rPr>
        <w:t xml:space="preserve">, 185 Ohio App.3d 707, 2009-Ohio-6993, ¶ 66-69 (10th Dist.) (board members and executive director who were attorneys were not acting as legal counsel for the board when they discussed legal matters in executive session), </w:t>
      </w:r>
      <w:r w:rsidRPr="00707B4A">
        <w:rPr>
          <w:i/>
          <w:sz w:val="16"/>
          <w:szCs w:val="16"/>
        </w:rPr>
        <w:t>aff’d</w:t>
      </w:r>
      <w:r w:rsidRPr="00707B4A">
        <w:rPr>
          <w:sz w:val="16"/>
          <w:szCs w:val="16"/>
        </w:rPr>
        <w:t xml:space="preserve"> 127 Ohio St.3d 511, 2010-Ohio-6207, ¶ 8, 27-29; </w:t>
      </w:r>
      <w:r w:rsidRPr="00707B4A">
        <w:rPr>
          <w:i/>
          <w:sz w:val="16"/>
          <w:szCs w:val="16"/>
        </w:rPr>
        <w:t>Awadalla v. Robinson Mem. Hosp.</w:t>
      </w:r>
      <w:r w:rsidRPr="00707B4A">
        <w:rPr>
          <w:sz w:val="16"/>
          <w:szCs w:val="16"/>
        </w:rPr>
        <w:t>, 11th Dist. Portage No. 91-P-2385, 1992 Ohio App. LEXIS 2838, *7 (June 5, 1992) (executive session improper when a board’s “attorney” was identified as “senior vice president” in meeting minutes).</w:t>
      </w:r>
    </w:p>
  </w:endnote>
  <w:endnote w:id="1129">
    <w:p w14:paraId="74BABE19" w14:textId="680CA14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1" w:history="1">
        <w:r w:rsidRPr="00707B4A">
          <w:rPr>
            <w:rStyle w:val="Hyperlink"/>
            <w:sz w:val="16"/>
            <w:szCs w:val="16"/>
          </w:rPr>
          <w:t>R.C. 121.22(G)(4)</w:t>
        </w:r>
      </w:hyperlink>
      <w:r w:rsidRPr="00707B4A">
        <w:rPr>
          <w:sz w:val="16"/>
          <w:szCs w:val="16"/>
        </w:rPr>
        <w:t xml:space="preserve">; </w:t>
      </w:r>
      <w:r w:rsidRPr="00707B4A">
        <w:rPr>
          <w:i/>
          <w:sz w:val="16"/>
          <w:szCs w:val="16"/>
        </w:rPr>
        <w:t xml:space="preserve">see also </w:t>
      </w:r>
      <w:hyperlink r:id="rId1482" w:history="1">
        <w:r w:rsidRPr="00707B4A">
          <w:rPr>
            <w:rStyle w:val="Hyperlink"/>
            <w:i/>
            <w:sz w:val="16"/>
            <w:szCs w:val="16"/>
          </w:rPr>
          <w:t xml:space="preserve">Back v. Madison Local School Dist. Bd. of </w:t>
        </w:r>
        <w:r w:rsidRPr="00707B4A">
          <w:rPr>
            <w:rStyle w:val="Hyperlink"/>
            <w:i/>
            <w:sz w:val="16"/>
            <w:szCs w:val="16"/>
          </w:rPr>
          <w:t>Edn.</w:t>
        </w:r>
      </w:hyperlink>
      <w:r w:rsidRPr="00707B4A">
        <w:rPr>
          <w:sz w:val="16"/>
          <w:szCs w:val="16"/>
        </w:rPr>
        <w:t>, 12th Dist. Butler No. CA2007-03-006, 2007-Ohio-4218, ¶ 8 (a school board’s meeting with a labor organization to renegotiate teachers’ salaries was proper because the meeting was not an executive session but was a “collective bargaining meeting,” which was exempt from the Open Meetings Act’s requirements</w:t>
      </w:r>
      <w:r w:rsidR="001B5B66" w:rsidRPr="001B5B66">
        <w:rPr>
          <w:sz w:val="16"/>
          <w:szCs w:val="16"/>
        </w:rPr>
        <w:t xml:space="preserve"> </w:t>
      </w:r>
      <w:r w:rsidR="001B5B66" w:rsidRPr="00707B4A">
        <w:rPr>
          <w:sz w:val="16"/>
          <w:szCs w:val="16"/>
        </w:rPr>
        <w:t>under R.C. 4117.21</w:t>
      </w:r>
      <w:r w:rsidRPr="00707B4A">
        <w:rPr>
          <w:sz w:val="16"/>
          <w:szCs w:val="16"/>
        </w:rPr>
        <w:t>).</w:t>
      </w:r>
    </w:p>
  </w:endnote>
  <w:endnote w:id="1130">
    <w:p w14:paraId="3B1BAEF5" w14:textId="2DA0D96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3" w:history="1">
        <w:r w:rsidRPr="00707B4A">
          <w:rPr>
            <w:rStyle w:val="Hyperlink"/>
            <w:sz w:val="16"/>
            <w:szCs w:val="16"/>
          </w:rPr>
          <w:t>R.C. 121.22(G)(5).</w:t>
        </w:r>
      </w:hyperlink>
    </w:p>
  </w:endnote>
  <w:endnote w:id="1131">
    <w:p w14:paraId="3013B9CF" w14:textId="41FCD4D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4" w:history="1">
        <w:r w:rsidRPr="00707B4A">
          <w:rPr>
            <w:rStyle w:val="Hyperlink"/>
            <w:i/>
            <w:sz w:val="16"/>
            <w:szCs w:val="16"/>
          </w:rPr>
          <w:t xml:space="preserve">State ex rel. Hardin v. Clermont </w:t>
        </w:r>
        <w:r w:rsidRPr="00707B4A">
          <w:rPr>
            <w:rStyle w:val="Hyperlink"/>
            <w:i/>
            <w:sz w:val="16"/>
            <w:szCs w:val="16"/>
          </w:rPr>
          <w:t>Cty. Bd. of Elections</w:t>
        </w:r>
      </w:hyperlink>
      <w:r w:rsidRPr="00707B4A">
        <w:rPr>
          <w:sz w:val="16"/>
          <w:szCs w:val="16"/>
        </w:rPr>
        <w:t xml:space="preserve">, 12th Dist. Clermont Nos. CA2011-05-045, CA2011-06-047, 2012-Ohio-2569, </w:t>
      </w:r>
      <w:r w:rsidRPr="00707B4A">
        <w:rPr>
          <w:rFonts w:cs="Aharoni"/>
          <w:sz w:val="16"/>
          <w:szCs w:val="16"/>
        </w:rPr>
        <w:t>¶</w:t>
      </w:r>
      <w:r w:rsidRPr="00707B4A">
        <w:rPr>
          <w:sz w:val="16"/>
          <w:szCs w:val="16"/>
        </w:rPr>
        <w:t xml:space="preserve"> 75-79; </w:t>
      </w:r>
      <w:r w:rsidRPr="00707B4A">
        <w:rPr>
          <w:i/>
          <w:sz w:val="16"/>
          <w:szCs w:val="16"/>
        </w:rPr>
        <w:t xml:space="preserve">State ex rel. Ames v. Brimfield Twp. Bd. of Trustees, </w:t>
      </w:r>
      <w:r w:rsidRPr="00707B4A">
        <w:rPr>
          <w:sz w:val="16"/>
          <w:szCs w:val="16"/>
        </w:rPr>
        <w:t xml:space="preserve">11th Dist. Portage No. 2019-P-0018, 2019-Ohio-5311, ¶ 27; </w:t>
      </w:r>
      <w:hyperlink r:id="rId1485" w:history="1">
        <w:r w:rsidRPr="00662C0D">
          <w:rPr>
            <w:rStyle w:val="Hyperlink"/>
            <w:i/>
            <w:sz w:val="16"/>
            <w:szCs w:val="16"/>
          </w:rPr>
          <w:t>State ex rel. Ames v. Rootstown Twp. Bd. of Trustees</w:t>
        </w:r>
      </w:hyperlink>
      <w:r w:rsidRPr="00707B4A">
        <w:rPr>
          <w:i/>
          <w:sz w:val="16"/>
          <w:szCs w:val="16"/>
        </w:rPr>
        <w:t xml:space="preserve">, </w:t>
      </w:r>
      <w:r w:rsidRPr="00707B4A">
        <w:rPr>
          <w:sz w:val="16"/>
          <w:szCs w:val="16"/>
        </w:rPr>
        <w:t>11th Dist. Portage No. 2019-P-0019, 2019-Ohio-5412, ¶ 39-42.</w:t>
      </w:r>
    </w:p>
  </w:endnote>
  <w:endnote w:id="1132">
    <w:p w14:paraId="7FCBF4A4" w14:textId="5A83195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6" w:history="1">
        <w:r w:rsidRPr="00707B4A">
          <w:rPr>
            <w:rStyle w:val="Hyperlink"/>
            <w:sz w:val="16"/>
            <w:szCs w:val="16"/>
          </w:rPr>
          <w:t>R.C. 121.22(G)(6).</w:t>
        </w:r>
      </w:hyperlink>
    </w:p>
  </w:endnote>
  <w:endnote w:id="1133">
    <w:p w14:paraId="4E752B7E" w14:textId="366E67E9"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7" w:history="1">
        <w:r w:rsidRPr="00707B4A">
          <w:rPr>
            <w:rStyle w:val="Hyperlink"/>
            <w:sz w:val="16"/>
            <w:szCs w:val="16"/>
          </w:rPr>
          <w:t>R.C. 121.22(G)(7).</w:t>
        </w:r>
      </w:hyperlink>
    </w:p>
  </w:endnote>
  <w:endnote w:id="1134">
    <w:p w14:paraId="5B2B0AB5" w14:textId="7B3B701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8" w:history="1">
        <w:r w:rsidRPr="00707B4A">
          <w:rPr>
            <w:rStyle w:val="Hyperlink"/>
            <w:sz w:val="16"/>
            <w:szCs w:val="16"/>
          </w:rPr>
          <w:t>R.C. 121.22(G)(8)(a).</w:t>
        </w:r>
      </w:hyperlink>
    </w:p>
  </w:endnote>
  <w:endnote w:id="1135">
    <w:p w14:paraId="1D469B26" w14:textId="3D31F60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89" w:history="1">
        <w:r w:rsidRPr="00707B4A">
          <w:rPr>
            <w:rStyle w:val="Hyperlink"/>
            <w:sz w:val="16"/>
            <w:szCs w:val="16"/>
          </w:rPr>
          <w:t>R.C. 121.22(G)(8)(b)</w:t>
        </w:r>
      </w:hyperlink>
      <w:r w:rsidRPr="00707B4A">
        <w:rPr>
          <w:sz w:val="16"/>
          <w:szCs w:val="16"/>
        </w:rPr>
        <w:t xml:space="preserve">; </w:t>
      </w:r>
      <w:hyperlink r:id="rId1490" w:history="1">
        <w:r w:rsidRPr="00662C0D">
          <w:rPr>
            <w:rStyle w:val="Hyperlink"/>
            <w:i/>
            <w:sz w:val="16"/>
            <w:szCs w:val="16"/>
          </w:rPr>
          <w:t>State ex rel. Ames v. Rootstown Twp. Bd. of Trustees</w:t>
        </w:r>
      </w:hyperlink>
      <w:r w:rsidRPr="00707B4A">
        <w:rPr>
          <w:i/>
          <w:sz w:val="16"/>
          <w:szCs w:val="16"/>
        </w:rPr>
        <w:t xml:space="preserve">, </w:t>
      </w:r>
      <w:r w:rsidRPr="00707B4A">
        <w:rPr>
          <w:sz w:val="16"/>
          <w:szCs w:val="16"/>
        </w:rPr>
        <w:t xml:space="preserve">11th Dist. Portage No. 2019-P-0019, 2019-Ohio-5412, ¶ 79 (board failed to comply with R.C. 121.22(G)(8)(a) and (b) when meeting minutes reflected merely that the board moved into executive session “to discuss economic development assistance concerning” a development contract). </w:t>
      </w:r>
    </w:p>
  </w:endnote>
  <w:endnote w:id="1136">
    <w:p w14:paraId="38BAB64E" w14:textId="11A60C1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1" w:history="1">
        <w:r w:rsidRPr="00707B4A">
          <w:rPr>
            <w:rStyle w:val="Hyperlink"/>
            <w:sz w:val="16"/>
            <w:szCs w:val="16"/>
          </w:rPr>
          <w:t>R.C. 121.22(J).</w:t>
        </w:r>
      </w:hyperlink>
    </w:p>
  </w:endnote>
  <w:endnote w:id="1137">
    <w:p w14:paraId="6DF09C55" w14:textId="0ABE6518"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2" w:history="1">
        <w:r w:rsidRPr="00707B4A">
          <w:rPr>
            <w:rStyle w:val="Hyperlink"/>
            <w:sz w:val="16"/>
            <w:szCs w:val="16"/>
          </w:rPr>
          <w:t>R.C. 121.22(G)</w:t>
        </w:r>
      </w:hyperlink>
      <w:r w:rsidR="002B581D" w:rsidRPr="00707B4A">
        <w:rPr>
          <w:sz w:val="16"/>
          <w:szCs w:val="16"/>
        </w:rPr>
        <w:t>.</w:t>
      </w:r>
    </w:p>
  </w:endnote>
  <w:endnote w:id="1138">
    <w:p w14:paraId="42AA6C74" w14:textId="09C27199"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bookmarkStart w:id="640" w:name="_Hlk158726943"/>
      <w:r w:rsidR="002B581D" w:rsidRPr="00707B4A">
        <w:rPr>
          <w:sz w:val="16"/>
          <w:szCs w:val="16"/>
        </w:rPr>
        <w:fldChar w:fldCharType="begin"/>
      </w:r>
      <w:r w:rsidR="002B581D" w:rsidRPr="00707B4A">
        <w:rPr>
          <w:sz w:val="16"/>
          <w:szCs w:val="16"/>
        </w:rPr>
        <w:instrText>HYPERLINK "https://codes.ohio.gov/ohio-revised-code/section-121.22"</w:instrText>
      </w:r>
      <w:r w:rsidR="002B581D" w:rsidRPr="00707B4A">
        <w:rPr>
          <w:sz w:val="16"/>
          <w:szCs w:val="16"/>
        </w:rPr>
      </w:r>
      <w:r w:rsidR="002B581D" w:rsidRPr="00707B4A">
        <w:rPr>
          <w:sz w:val="16"/>
          <w:szCs w:val="16"/>
        </w:rPr>
        <w:fldChar w:fldCharType="separate"/>
      </w:r>
      <w:r w:rsidR="002B581D" w:rsidRPr="00707B4A">
        <w:rPr>
          <w:rStyle w:val="Hyperlink"/>
          <w:sz w:val="16"/>
          <w:szCs w:val="16"/>
        </w:rPr>
        <w:t>R.C. 121.22(G).</w:t>
      </w:r>
      <w:r w:rsidR="002B581D" w:rsidRPr="00707B4A">
        <w:rPr>
          <w:sz w:val="16"/>
          <w:szCs w:val="16"/>
        </w:rPr>
        <w:fldChar w:fldCharType="end"/>
      </w:r>
      <w:r w:rsidR="002B581D" w:rsidRPr="00707B4A">
        <w:rPr>
          <w:sz w:val="16"/>
          <w:szCs w:val="16"/>
        </w:rPr>
        <w:t xml:space="preserve"> </w:t>
      </w:r>
      <w:bookmarkEnd w:id="640"/>
    </w:p>
  </w:endnote>
  <w:endnote w:id="1139">
    <w:p w14:paraId="1F0F767C" w14:textId="50EE283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3" w:history="1">
        <w:r w:rsidR="00BD5891" w:rsidRPr="00707B4A">
          <w:rPr>
            <w:rStyle w:val="Hyperlink"/>
            <w:sz w:val="16"/>
            <w:szCs w:val="16"/>
          </w:rPr>
          <w:t>R.C. 121.22(G).</w:t>
        </w:r>
      </w:hyperlink>
      <w:r w:rsidR="00BD5891" w:rsidRPr="00707B4A">
        <w:rPr>
          <w:sz w:val="16"/>
          <w:szCs w:val="16"/>
        </w:rPr>
        <w:t xml:space="preserve"> NOTE: </w:t>
      </w:r>
      <w:r w:rsidR="003279F5" w:rsidRPr="00707B4A">
        <w:rPr>
          <w:sz w:val="16"/>
          <w:szCs w:val="16"/>
        </w:rPr>
        <w:t>t</w:t>
      </w:r>
      <w:r w:rsidR="00BD5891" w:rsidRPr="00707B4A">
        <w:rPr>
          <w:sz w:val="16"/>
          <w:szCs w:val="16"/>
        </w:rPr>
        <w:t xml:space="preserve">o consider confidential business information of an application for economic development assistance under R.C. 121.22(G)(8), the motion must be approved by a unanimous quorum. </w:t>
      </w:r>
      <w:hyperlink r:id="rId1494" w:history="1">
        <w:r w:rsidR="00934954" w:rsidRPr="00707B4A">
          <w:rPr>
            <w:rStyle w:val="Hyperlink"/>
            <w:sz w:val="16"/>
            <w:szCs w:val="16"/>
          </w:rPr>
          <w:t>R.C. 121.22(G)</w:t>
        </w:r>
        <w:r w:rsidR="00934954">
          <w:rPr>
            <w:rStyle w:val="Hyperlink"/>
            <w:sz w:val="16"/>
            <w:szCs w:val="16"/>
          </w:rPr>
          <w:t>(8)(b)</w:t>
        </w:r>
        <w:r w:rsidR="00934954" w:rsidRPr="00707B4A">
          <w:rPr>
            <w:rStyle w:val="Hyperlink"/>
            <w:sz w:val="16"/>
            <w:szCs w:val="16"/>
          </w:rPr>
          <w:t>.</w:t>
        </w:r>
      </w:hyperlink>
    </w:p>
  </w:endnote>
  <w:endnote w:id="1140">
    <w:p w14:paraId="2F412C71" w14:textId="314C372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5" w:history="1">
        <w:r w:rsidRPr="00707B4A">
          <w:rPr>
            <w:rStyle w:val="Hyperlink"/>
            <w:sz w:val="16"/>
            <w:szCs w:val="16"/>
          </w:rPr>
          <w:t>R.C. 121.22(G)(1), (8).</w:t>
        </w:r>
      </w:hyperlink>
    </w:p>
  </w:endnote>
  <w:endnote w:id="1141">
    <w:p w14:paraId="7252CA22" w14:textId="4793834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6" w:history="1">
        <w:r w:rsidRPr="00707B4A">
          <w:rPr>
            <w:rStyle w:val="Hyperlink"/>
            <w:i/>
            <w:sz w:val="16"/>
            <w:szCs w:val="16"/>
          </w:rPr>
          <w:t xml:space="preserve">State ex rel. </w:t>
        </w:r>
        <w:r w:rsidRPr="00707B4A">
          <w:rPr>
            <w:rStyle w:val="Hyperlink"/>
            <w:i/>
            <w:sz w:val="16"/>
            <w:szCs w:val="16"/>
          </w:rPr>
          <w:t>Long v. Cardington Village Council</w:t>
        </w:r>
      </w:hyperlink>
      <w:r w:rsidRPr="00707B4A">
        <w:rPr>
          <w:sz w:val="16"/>
          <w:szCs w:val="16"/>
        </w:rPr>
        <w:t>, 92 Ohio St.3d 54, 59 (2001).</w:t>
      </w:r>
    </w:p>
  </w:endnote>
  <w:endnote w:id="1142">
    <w:p w14:paraId="6D216772" w14:textId="266E0BF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7" w:history="1">
        <w:r w:rsidRPr="00707B4A">
          <w:rPr>
            <w:rStyle w:val="Hyperlink"/>
            <w:i/>
            <w:sz w:val="16"/>
            <w:szCs w:val="16"/>
          </w:rPr>
          <w:t>State ex rel. Long v. Cardington Village Council</w:t>
        </w:r>
      </w:hyperlink>
      <w:r w:rsidRPr="00707B4A">
        <w:rPr>
          <w:sz w:val="16"/>
          <w:szCs w:val="16"/>
        </w:rPr>
        <w:t xml:space="preserve">, 92 Ohio St.3d 54, 59 (2001) (using general terms like “personnel” instead of one or more of the specified statutory purposes is a violation of R.C. 121.22(G)(1)); </w:t>
      </w:r>
      <w:r w:rsidRPr="00707B4A">
        <w:rPr>
          <w:i/>
          <w:sz w:val="16"/>
          <w:szCs w:val="16"/>
        </w:rPr>
        <w:t>Jones v. Brookfield Twp. Trustees</w:t>
      </w:r>
      <w:r w:rsidRPr="00707B4A">
        <w:rPr>
          <w:sz w:val="16"/>
          <w:szCs w:val="16"/>
        </w:rPr>
        <w:t>, 11th Dist. Trumbull No. 92-T-4692, 1995 Ohio App. LEXIS 2805, *8 (June 30, 1995) (“[A] reference to ‘police personnel issues’ does not technically satisfy [the R.C. 121.22(G)(1)] requirement because it does not specify which of the approved purposes was applicable in this instance.”)</w:t>
      </w:r>
      <w:r w:rsidR="00BD5891" w:rsidRPr="00707B4A">
        <w:rPr>
          <w:sz w:val="16"/>
          <w:szCs w:val="16"/>
        </w:rPr>
        <w:t>.</w:t>
      </w:r>
    </w:p>
  </w:endnote>
  <w:endnote w:id="1143">
    <w:p w14:paraId="358A6C3D" w14:textId="3B400D0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8" w:history="1">
        <w:r w:rsidRPr="00707B4A">
          <w:rPr>
            <w:rStyle w:val="Hyperlink"/>
            <w:sz w:val="16"/>
            <w:szCs w:val="16"/>
          </w:rPr>
          <w:t>R.C. 121.22(G)(1)</w:t>
        </w:r>
      </w:hyperlink>
      <w:r w:rsidRPr="00707B4A">
        <w:rPr>
          <w:sz w:val="16"/>
          <w:szCs w:val="16"/>
        </w:rPr>
        <w:t xml:space="preserve">; </w:t>
      </w:r>
      <w:r w:rsidRPr="00707B4A">
        <w:rPr>
          <w:i/>
          <w:sz w:val="16"/>
          <w:szCs w:val="16"/>
        </w:rPr>
        <w:t>Beisel v. Monroe Cty. Bd. of Edn.</w:t>
      </w:r>
      <w:r w:rsidRPr="00707B4A">
        <w:rPr>
          <w:sz w:val="16"/>
          <w:szCs w:val="16"/>
        </w:rPr>
        <w:t>, 7th Dist. Columbiana No. CA-678, 1990 Ohio App. LEXIS 3761 (Aug. 29, 1990).</w:t>
      </w:r>
    </w:p>
  </w:endnote>
  <w:endnote w:id="1144">
    <w:p w14:paraId="1A672253" w14:textId="315CA51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499" w:history="1">
        <w:r w:rsidRPr="00707B4A">
          <w:rPr>
            <w:rStyle w:val="Hyperlink"/>
            <w:i/>
            <w:sz w:val="16"/>
            <w:szCs w:val="16"/>
          </w:rPr>
          <w:t xml:space="preserve">State ex rel. </w:t>
        </w:r>
        <w:r w:rsidRPr="00707B4A">
          <w:rPr>
            <w:rStyle w:val="Hyperlink"/>
            <w:i/>
            <w:sz w:val="16"/>
            <w:szCs w:val="16"/>
          </w:rPr>
          <w:t>Long v. Cardington Village Council</w:t>
        </w:r>
      </w:hyperlink>
      <w:r w:rsidRPr="00707B4A">
        <w:rPr>
          <w:sz w:val="16"/>
          <w:szCs w:val="16"/>
        </w:rPr>
        <w:t xml:space="preserve">, 92 Ohio St.3d 54, 59 (2001); </w:t>
      </w:r>
      <w:r w:rsidRPr="00707B4A">
        <w:rPr>
          <w:i/>
          <w:sz w:val="16"/>
          <w:szCs w:val="16"/>
        </w:rPr>
        <w:t xml:space="preserve">State ex rel. Ames v. Portage </w:t>
      </w:r>
      <w:r w:rsidRPr="00707B4A">
        <w:rPr>
          <w:i/>
          <w:sz w:val="16"/>
          <w:szCs w:val="16"/>
        </w:rPr>
        <w:t xml:space="preserve">Cty. Bd. of Commrs., </w:t>
      </w:r>
      <w:r w:rsidRPr="00707B4A">
        <w:rPr>
          <w:sz w:val="16"/>
          <w:szCs w:val="16"/>
        </w:rPr>
        <w:t>11th Dist. Portage No. 2019-P-0015, 2019-Ohio-3729, ¶ 63.</w:t>
      </w:r>
    </w:p>
  </w:endnote>
  <w:endnote w:id="1145">
    <w:p w14:paraId="02D951A1" w14:textId="072B470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0" w:history="1">
        <w:r w:rsidRPr="00707B4A">
          <w:rPr>
            <w:rStyle w:val="Hyperlink"/>
            <w:i/>
            <w:sz w:val="16"/>
            <w:szCs w:val="16"/>
          </w:rPr>
          <w:t xml:space="preserve">State ex rel. Hicks v. Clermont </w:t>
        </w:r>
        <w:r w:rsidRPr="00707B4A">
          <w:rPr>
            <w:rStyle w:val="Hyperlink"/>
            <w:i/>
            <w:sz w:val="16"/>
            <w:szCs w:val="16"/>
          </w:rPr>
          <w:t>Cty. Bd. Of Commrs.</w:t>
        </w:r>
      </w:hyperlink>
      <w:r w:rsidRPr="00707B4A">
        <w:rPr>
          <w:i/>
          <w:sz w:val="16"/>
          <w:szCs w:val="16"/>
        </w:rPr>
        <w:t>,</w:t>
      </w:r>
      <w:r w:rsidR="00BD5891" w:rsidRPr="00707B4A">
        <w:rPr>
          <w:sz w:val="16"/>
          <w:szCs w:val="16"/>
        </w:rPr>
        <w:t xml:space="preserve"> 171 Ohio St.3d 593, </w:t>
      </w:r>
      <w:r w:rsidRPr="00707B4A">
        <w:rPr>
          <w:sz w:val="16"/>
          <w:szCs w:val="16"/>
        </w:rPr>
        <w:t>2022-Ohio-4237</w:t>
      </w:r>
      <w:r w:rsidR="00BD5891" w:rsidRPr="00707B4A">
        <w:rPr>
          <w:sz w:val="16"/>
          <w:szCs w:val="16"/>
        </w:rPr>
        <w:t xml:space="preserve">, </w:t>
      </w:r>
      <w:r w:rsidRPr="00707B4A">
        <w:rPr>
          <w:sz w:val="16"/>
          <w:szCs w:val="16"/>
        </w:rPr>
        <w:t>¶ 34-36 (public body need not discuss every single topic included in the executive-session motion during executive session).</w:t>
      </w:r>
    </w:p>
  </w:endnote>
  <w:endnote w:id="1146">
    <w:p w14:paraId="019C8C8B" w14:textId="5011BFA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1" w:history="1">
        <w:r w:rsidRPr="00707B4A">
          <w:rPr>
            <w:rStyle w:val="Hyperlink"/>
            <w:sz w:val="16"/>
            <w:szCs w:val="16"/>
          </w:rPr>
          <w:t>R.C. 121.22(G).</w:t>
        </w:r>
      </w:hyperlink>
    </w:p>
  </w:endnote>
  <w:endnote w:id="1147">
    <w:p w14:paraId="6DC8616C" w14:textId="7E85321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2" w:history="1">
        <w:r w:rsidRPr="00707B4A">
          <w:rPr>
            <w:rStyle w:val="Hyperlink"/>
            <w:sz w:val="16"/>
            <w:szCs w:val="16"/>
          </w:rPr>
          <w:t>R.C. 121.22(G)</w:t>
        </w:r>
      </w:hyperlink>
      <w:r w:rsidRPr="00707B4A">
        <w:rPr>
          <w:sz w:val="16"/>
          <w:szCs w:val="16"/>
        </w:rPr>
        <w:t xml:space="preserve">; </w:t>
      </w:r>
      <w:hyperlink r:id="rId1503" w:history="1">
        <w:r w:rsidRPr="00707B4A">
          <w:rPr>
            <w:rStyle w:val="Hyperlink"/>
            <w:sz w:val="16"/>
            <w:szCs w:val="16"/>
          </w:rPr>
          <w:t xml:space="preserve">1988 Ohio </w:t>
        </w:r>
        <w:r w:rsidRPr="00707B4A">
          <w:rPr>
            <w:rStyle w:val="Hyperlink"/>
            <w:sz w:val="16"/>
            <w:szCs w:val="16"/>
          </w:rPr>
          <w:t>Atty.Gen.Ops. No. 029</w:t>
        </w:r>
      </w:hyperlink>
      <w:r w:rsidRPr="00707B4A">
        <w:rPr>
          <w:sz w:val="16"/>
          <w:szCs w:val="16"/>
        </w:rPr>
        <w:t xml:space="preserve">; </w:t>
      </w:r>
      <w:hyperlink r:id="rId1504" w:history="1">
        <w:r w:rsidRPr="00707B4A">
          <w:rPr>
            <w:rStyle w:val="Hyperlink"/>
            <w:i/>
            <w:sz w:val="16"/>
            <w:szCs w:val="16"/>
          </w:rPr>
          <w:t>State ex rel. MORE Bratenahl v. Bratenahl</w:t>
        </w:r>
      </w:hyperlink>
      <w:r w:rsidRPr="00707B4A">
        <w:rPr>
          <w:sz w:val="16"/>
          <w:szCs w:val="16"/>
        </w:rPr>
        <w:t xml:space="preserve">, 8th Dist. Cuyahoga No. 105281, 2017-Ohio-8484, ¶ 29 (finding evidence in the record and on audio recording of the village council meeting that a roll call vote that took place before the council went in to executive session was sufficient to show compliance with the Open Meetings Act, even though the roll call vote technically took place before the court reporter began recording the transcript), </w:t>
      </w:r>
      <w:r w:rsidRPr="00707B4A">
        <w:rPr>
          <w:i/>
          <w:sz w:val="16"/>
          <w:szCs w:val="16"/>
        </w:rPr>
        <w:t>re</w:t>
      </w:r>
      <w:r w:rsidR="009A5611">
        <w:rPr>
          <w:i/>
          <w:sz w:val="16"/>
          <w:szCs w:val="16"/>
        </w:rPr>
        <w:t>v’</w:t>
      </w:r>
      <w:r w:rsidRPr="00707B4A">
        <w:rPr>
          <w:i/>
          <w:sz w:val="16"/>
          <w:szCs w:val="16"/>
        </w:rPr>
        <w:t xml:space="preserve">d on other grounds, </w:t>
      </w:r>
      <w:r w:rsidRPr="00707B4A">
        <w:rPr>
          <w:sz w:val="16"/>
          <w:szCs w:val="16"/>
        </w:rPr>
        <w:t>157 Ohio St.3d 309, 2019-Ohio-3233.</w:t>
      </w:r>
    </w:p>
  </w:endnote>
  <w:endnote w:id="1148">
    <w:p w14:paraId="4866DBA2" w14:textId="5057D8C8"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5" w:history="1">
        <w:r w:rsidRPr="00707B4A">
          <w:rPr>
            <w:rStyle w:val="Hyperlink"/>
            <w:sz w:val="16"/>
            <w:szCs w:val="16"/>
          </w:rPr>
          <w:t>R.C. 121.22(I)(1).</w:t>
        </w:r>
      </w:hyperlink>
    </w:p>
  </w:endnote>
  <w:endnote w:id="1149">
    <w:p w14:paraId="2D04BCA8" w14:textId="5026EA4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6" w:history="1">
        <w:r w:rsidRPr="00707B4A">
          <w:rPr>
            <w:rStyle w:val="Hyperlink"/>
            <w:sz w:val="16"/>
            <w:szCs w:val="16"/>
          </w:rPr>
          <w:t>R.C. 121.22(A).</w:t>
        </w:r>
      </w:hyperlink>
    </w:p>
  </w:endnote>
  <w:endnote w:id="1150">
    <w:p w14:paraId="29C6349A" w14:textId="031DD54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7" w:history="1">
        <w:r w:rsidRPr="00707B4A">
          <w:rPr>
            <w:rStyle w:val="Hyperlink"/>
            <w:i/>
            <w:sz w:val="16"/>
            <w:szCs w:val="16"/>
          </w:rPr>
          <w:t xml:space="preserve">State ex rel. Hardin v. Clermont </w:t>
        </w:r>
        <w:r w:rsidRPr="00707B4A">
          <w:rPr>
            <w:rStyle w:val="Hyperlink"/>
            <w:i/>
            <w:sz w:val="16"/>
            <w:szCs w:val="16"/>
          </w:rPr>
          <w:t>Cty. Bd. of Elections</w:t>
        </w:r>
      </w:hyperlink>
      <w:r w:rsidRPr="00707B4A">
        <w:rPr>
          <w:sz w:val="16"/>
          <w:szCs w:val="16"/>
        </w:rPr>
        <w:t xml:space="preserve">, 12th Dist. Clermont Nos. CA2011-05-045, CA2011-06-047, 2012-Ohio-2569, </w:t>
      </w:r>
      <w:r w:rsidRPr="00707B4A">
        <w:rPr>
          <w:rFonts w:cs="Aharoni"/>
          <w:sz w:val="16"/>
          <w:szCs w:val="16"/>
        </w:rPr>
        <w:t>¶</w:t>
      </w:r>
      <w:r w:rsidRPr="00707B4A">
        <w:rPr>
          <w:sz w:val="16"/>
          <w:szCs w:val="16"/>
        </w:rPr>
        <w:t xml:space="preserve"> 15; </w:t>
      </w:r>
      <w:hyperlink r:id="rId1508" w:history="1">
        <w:r w:rsidRPr="00707B4A">
          <w:rPr>
            <w:rStyle w:val="Hyperlink"/>
            <w:i/>
            <w:sz w:val="16"/>
            <w:szCs w:val="16"/>
          </w:rPr>
          <w:t>Maddox v. Greene Cty. Children Servs. Bd. of Dirs.</w:t>
        </w:r>
      </w:hyperlink>
      <w:r w:rsidRPr="00707B4A">
        <w:rPr>
          <w:sz w:val="16"/>
          <w:szCs w:val="16"/>
        </w:rPr>
        <w:t xml:space="preserve">, 2d Dist. Greene No. 2013 CA 38, 2014-Ohio-2312, </w:t>
      </w:r>
      <w:r w:rsidRPr="00707B4A">
        <w:rPr>
          <w:rFonts w:cs="Aharoni"/>
          <w:sz w:val="16"/>
          <w:szCs w:val="16"/>
        </w:rPr>
        <w:t>¶</w:t>
      </w:r>
      <w:r w:rsidRPr="00707B4A">
        <w:rPr>
          <w:sz w:val="16"/>
          <w:szCs w:val="16"/>
        </w:rPr>
        <w:t xml:space="preserve"> 17.</w:t>
      </w:r>
    </w:p>
  </w:endnote>
  <w:endnote w:id="1151">
    <w:p w14:paraId="33DCBAEF" w14:textId="161E576A"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09" w:history="1">
        <w:r w:rsidRPr="00707B4A">
          <w:rPr>
            <w:rStyle w:val="Hyperlink"/>
            <w:sz w:val="16"/>
            <w:szCs w:val="16"/>
          </w:rPr>
          <w:t>R.C. 121.22(I)(1)</w:t>
        </w:r>
      </w:hyperlink>
      <w:r w:rsidRPr="00707B4A">
        <w:rPr>
          <w:sz w:val="16"/>
          <w:szCs w:val="16"/>
        </w:rPr>
        <w:t xml:space="preserve">; </w:t>
      </w:r>
      <w:r w:rsidRPr="00707B4A">
        <w:rPr>
          <w:i/>
          <w:sz w:val="16"/>
          <w:szCs w:val="16"/>
        </w:rPr>
        <w:t xml:space="preserve">see also </w:t>
      </w:r>
      <w:hyperlink r:id="rId1510" w:history="1">
        <w:r w:rsidRPr="00707B4A">
          <w:rPr>
            <w:rStyle w:val="Hyperlink"/>
            <w:i/>
            <w:sz w:val="16"/>
            <w:szCs w:val="16"/>
          </w:rPr>
          <w:t>Mollette v. Portsmouth City Council</w:t>
        </w:r>
      </w:hyperlink>
      <w:r w:rsidRPr="00707B4A">
        <w:rPr>
          <w:sz w:val="16"/>
          <w:szCs w:val="16"/>
        </w:rPr>
        <w:t xml:space="preserve">, 179 Ohio App.3d 455, 2008-Ohio-6342 (4th Dist.); </w:t>
      </w:r>
      <w:hyperlink r:id="rId1511" w:history="1">
        <w:r w:rsidRPr="00707B4A">
          <w:rPr>
            <w:rStyle w:val="Hyperlink"/>
            <w:i/>
            <w:sz w:val="16"/>
            <w:szCs w:val="16"/>
          </w:rPr>
          <w:t>State ex rel. Dunlap v. Violet Twp. Bd. of Trustees</w:t>
        </w:r>
      </w:hyperlink>
      <w:r w:rsidRPr="00707B4A">
        <w:rPr>
          <w:sz w:val="16"/>
          <w:szCs w:val="16"/>
        </w:rPr>
        <w:t>, 5th Dist. Fairfield No. 12-CA-8, 2013-Ohio-2295, ¶ 16.</w:t>
      </w:r>
    </w:p>
  </w:endnote>
  <w:endnote w:id="1152">
    <w:p w14:paraId="35FC2523" w14:textId="567F806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2" w:history="1">
        <w:r w:rsidRPr="00707B4A">
          <w:rPr>
            <w:rStyle w:val="Hyperlink"/>
            <w:i/>
            <w:sz w:val="16"/>
            <w:szCs w:val="16"/>
          </w:rPr>
          <w:t>Tucker v. Leadership Academy</w:t>
        </w:r>
      </w:hyperlink>
      <w:r w:rsidRPr="00707B4A">
        <w:rPr>
          <w:sz w:val="16"/>
          <w:szCs w:val="16"/>
        </w:rPr>
        <w:t xml:space="preserve">, 10th Dist. Franklin No. 14AP-100, 2014-Ohio-3307, </w:t>
      </w:r>
      <w:r w:rsidRPr="00707B4A">
        <w:rPr>
          <w:rFonts w:cs="Calibri"/>
          <w:sz w:val="16"/>
          <w:szCs w:val="16"/>
        </w:rPr>
        <w:t>¶</w:t>
      </w:r>
      <w:r w:rsidRPr="00707B4A">
        <w:rPr>
          <w:sz w:val="16"/>
          <w:szCs w:val="16"/>
        </w:rPr>
        <w:t xml:space="preserve"> 14-17 (finding closure of charter school rendered allegedly improper resolution under Open Meetings Act moot); </w:t>
      </w:r>
      <w:r w:rsidRPr="00707B4A">
        <w:rPr>
          <w:i/>
          <w:sz w:val="16"/>
          <w:szCs w:val="16"/>
        </w:rPr>
        <w:t xml:space="preserve">State ex rel. </w:t>
      </w:r>
      <w:r w:rsidRPr="00707B4A">
        <w:rPr>
          <w:i/>
          <w:sz w:val="16"/>
          <w:szCs w:val="16"/>
        </w:rPr>
        <w:t xml:space="preserve">Crilley v. Lowellville Bd. of Educ., </w:t>
      </w:r>
      <w:r w:rsidRPr="00707B4A">
        <w:rPr>
          <w:sz w:val="16"/>
          <w:szCs w:val="16"/>
        </w:rPr>
        <w:t>7th Dist. Mahoning No. 20 MA 0128, 2021-Ohio-3333 (</w:t>
      </w:r>
      <w:r w:rsidR="00E33770" w:rsidRPr="00707B4A">
        <w:rPr>
          <w:sz w:val="16"/>
          <w:szCs w:val="16"/>
        </w:rPr>
        <w:t>Open Meetings Act challenge based on school board’s reopening plan was moot by the end of the school year</w:t>
      </w:r>
      <w:r w:rsidRPr="00707B4A">
        <w:rPr>
          <w:sz w:val="16"/>
          <w:szCs w:val="16"/>
        </w:rPr>
        <w:t>).</w:t>
      </w:r>
    </w:p>
  </w:endnote>
  <w:endnote w:id="1153">
    <w:p w14:paraId="06CCBDF7" w14:textId="5D5F6F3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3" w:history="1">
        <w:r w:rsidRPr="00662C0D">
          <w:rPr>
            <w:rStyle w:val="Hyperlink"/>
            <w:i/>
            <w:sz w:val="16"/>
            <w:szCs w:val="16"/>
          </w:rPr>
          <w:t xml:space="preserve">Ames v. Rootstown Twp. Bd. </w:t>
        </w:r>
        <w:r w:rsidR="00662C0D" w:rsidRPr="00662C0D">
          <w:rPr>
            <w:rStyle w:val="Hyperlink"/>
            <w:i/>
            <w:sz w:val="16"/>
            <w:szCs w:val="16"/>
          </w:rPr>
          <w:t>o</w:t>
        </w:r>
        <w:r w:rsidRPr="00662C0D">
          <w:rPr>
            <w:rStyle w:val="Hyperlink"/>
            <w:i/>
            <w:sz w:val="16"/>
            <w:szCs w:val="16"/>
          </w:rPr>
          <w:t>f Trustees</w:t>
        </w:r>
      </w:hyperlink>
      <w:r w:rsidRPr="00707B4A">
        <w:rPr>
          <w:i/>
          <w:sz w:val="16"/>
          <w:szCs w:val="16"/>
        </w:rPr>
        <w:t xml:space="preserve">, </w:t>
      </w:r>
      <w:r w:rsidR="00E33770" w:rsidRPr="00707B4A">
        <w:rPr>
          <w:sz w:val="16"/>
          <w:szCs w:val="16"/>
        </w:rPr>
        <w:t>172 Ohio St.3d 1,</w:t>
      </w:r>
      <w:r w:rsidRPr="00707B4A">
        <w:rPr>
          <w:sz w:val="16"/>
          <w:szCs w:val="16"/>
        </w:rPr>
        <w:t xml:space="preserve"> 2022-Ohio-4605</w:t>
      </w:r>
      <w:r w:rsidR="00E33770" w:rsidRPr="00707B4A">
        <w:rPr>
          <w:sz w:val="16"/>
          <w:szCs w:val="16"/>
        </w:rPr>
        <w:t xml:space="preserve">, </w:t>
      </w:r>
      <w:r w:rsidRPr="00707B4A">
        <w:rPr>
          <w:sz w:val="16"/>
          <w:szCs w:val="16"/>
        </w:rPr>
        <w:t>¶ 21.</w:t>
      </w:r>
    </w:p>
  </w:endnote>
  <w:endnote w:id="1154">
    <w:p w14:paraId="2529800A" w14:textId="4C1186E0" w:rsidR="002F23BE" w:rsidRPr="00707B4A" w:rsidRDefault="002F23BE" w:rsidP="00707B4A">
      <w:pPr>
        <w:pStyle w:val="EndnoteText"/>
        <w:spacing w:line="160" w:lineRule="exact"/>
        <w:jc w:val="both"/>
        <w:rPr>
          <w:i/>
          <w:sz w:val="16"/>
          <w:szCs w:val="16"/>
        </w:rPr>
      </w:pPr>
      <w:r w:rsidRPr="00707B4A">
        <w:rPr>
          <w:rStyle w:val="EndnoteReference"/>
          <w:sz w:val="16"/>
          <w:szCs w:val="16"/>
        </w:rPr>
        <w:endnoteRef/>
      </w:r>
      <w:r w:rsidRPr="00707B4A">
        <w:rPr>
          <w:sz w:val="16"/>
          <w:szCs w:val="16"/>
        </w:rPr>
        <w:t xml:space="preserve"> </w:t>
      </w:r>
      <w:hyperlink r:id="rId1514" w:history="1">
        <w:r w:rsidRPr="00707B4A">
          <w:rPr>
            <w:rStyle w:val="Hyperlink"/>
            <w:sz w:val="16"/>
            <w:szCs w:val="16"/>
          </w:rPr>
          <w:t>R.C. 121.22(I)(1</w:t>
        </w:r>
      </w:hyperlink>
      <w:r w:rsidRPr="00707B4A">
        <w:rPr>
          <w:sz w:val="16"/>
          <w:szCs w:val="16"/>
        </w:rPr>
        <w:t xml:space="preserve">); </w:t>
      </w:r>
      <w:hyperlink r:id="rId1515" w:history="1">
        <w:r w:rsidRPr="00707B4A">
          <w:rPr>
            <w:rStyle w:val="Hyperlink"/>
            <w:i/>
            <w:sz w:val="16"/>
            <w:szCs w:val="16"/>
          </w:rPr>
          <w:t>McVey v. Carthage Twp. Trustees</w:t>
        </w:r>
      </w:hyperlink>
      <w:r w:rsidRPr="00707B4A">
        <w:rPr>
          <w:sz w:val="16"/>
          <w:szCs w:val="16"/>
        </w:rPr>
        <w:t>, 4th Dist. Athens No. 04CA44, 2005-Ohio-2869.</w:t>
      </w:r>
    </w:p>
  </w:endnote>
  <w:endnote w:id="1155">
    <w:p w14:paraId="4421CEAF" w14:textId="33BB095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6" w:history="1">
        <w:r w:rsidRPr="00707B4A">
          <w:rPr>
            <w:rStyle w:val="Hyperlink"/>
            <w:i/>
            <w:sz w:val="16"/>
            <w:szCs w:val="16"/>
          </w:rPr>
          <w:t xml:space="preserve">Doran v. Northmont Bd. of </w:t>
        </w:r>
        <w:r w:rsidRPr="00707B4A">
          <w:rPr>
            <w:rStyle w:val="Hyperlink"/>
            <w:i/>
            <w:sz w:val="16"/>
            <w:szCs w:val="16"/>
          </w:rPr>
          <w:t>Edn.</w:t>
        </w:r>
      </w:hyperlink>
      <w:r w:rsidRPr="00707B4A">
        <w:rPr>
          <w:sz w:val="16"/>
          <w:szCs w:val="16"/>
        </w:rPr>
        <w:t xml:space="preserve">, 153 Ohio App.3d 499, 2003-Ohio-4084, ¶ 20 (2d Dist.); </w:t>
      </w:r>
      <w:r w:rsidRPr="00707B4A">
        <w:rPr>
          <w:i/>
          <w:sz w:val="16"/>
          <w:szCs w:val="16"/>
        </w:rPr>
        <w:t>State ex rel. Mason v. State Employment Relations Bd.</w:t>
      </w:r>
      <w:r w:rsidRPr="00707B4A">
        <w:rPr>
          <w:sz w:val="16"/>
          <w:szCs w:val="16"/>
        </w:rPr>
        <w:t xml:space="preserve">, 133 Ohio App.3d 213 (10th Dist. 1999). </w:t>
      </w:r>
      <w:r w:rsidRPr="00707B4A">
        <w:rPr>
          <w:i/>
          <w:sz w:val="16"/>
          <w:szCs w:val="16"/>
        </w:rPr>
        <w:t xml:space="preserve"> But see</w:t>
      </w:r>
      <w:r w:rsidRPr="00707B4A">
        <w:rPr>
          <w:sz w:val="16"/>
          <w:szCs w:val="16"/>
        </w:rPr>
        <w:t xml:space="preserve"> </w:t>
      </w:r>
      <w:r w:rsidRPr="00707B4A">
        <w:rPr>
          <w:i/>
          <w:sz w:val="16"/>
          <w:szCs w:val="16"/>
        </w:rPr>
        <w:t>Korchnak v. Civil Serv. Comm. of Canton</w:t>
      </w:r>
      <w:r w:rsidRPr="00707B4A">
        <w:rPr>
          <w:sz w:val="16"/>
          <w:szCs w:val="16"/>
        </w:rPr>
        <w:t>, 5th Dist. Stark No. CA-8133, 1991 Ohio App. LEXIS 291, *5 (Jan. 7, 1991) (finding a party did not have standing to challenge a public body’s failure to provide requested notices of meetings when he had not followed procedures entitling him to notice).</w:t>
      </w:r>
    </w:p>
  </w:endnote>
  <w:endnote w:id="1156">
    <w:p w14:paraId="6002DB40" w14:textId="48B69B1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7" w:history="1">
        <w:r w:rsidRPr="00707B4A">
          <w:rPr>
            <w:rStyle w:val="Hyperlink"/>
            <w:i/>
            <w:sz w:val="16"/>
            <w:szCs w:val="16"/>
          </w:rPr>
          <w:t>Mollette v. Portsmouth City Council</w:t>
        </w:r>
      </w:hyperlink>
      <w:r w:rsidRPr="00707B4A">
        <w:rPr>
          <w:sz w:val="16"/>
          <w:szCs w:val="16"/>
        </w:rPr>
        <w:t>, 169 Ohio App.3d 557, 2006-Ohio-6289 (4th Dist.) (finding suit should have been filed against the individual council members in their official capacities)</w:t>
      </w:r>
      <w:r w:rsidR="00E33770" w:rsidRPr="00707B4A">
        <w:rPr>
          <w:sz w:val="16"/>
          <w:szCs w:val="16"/>
        </w:rPr>
        <w:t>.</w:t>
      </w:r>
    </w:p>
  </w:endnote>
  <w:endnote w:id="1157">
    <w:p w14:paraId="68A2119F" w14:textId="6E9C54B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18" w:history="1">
        <w:r w:rsidRPr="00707B4A">
          <w:rPr>
            <w:rStyle w:val="Hyperlink"/>
            <w:i/>
            <w:sz w:val="16"/>
            <w:szCs w:val="16"/>
          </w:rPr>
          <w:t xml:space="preserve">Maddox v. Greene </w:t>
        </w:r>
        <w:r w:rsidRPr="00707B4A">
          <w:rPr>
            <w:rStyle w:val="Hyperlink"/>
            <w:i/>
            <w:sz w:val="16"/>
            <w:szCs w:val="16"/>
          </w:rPr>
          <w:t>Cty. Children Servs. Bd. of Dirs.</w:t>
        </w:r>
      </w:hyperlink>
      <w:r w:rsidRPr="00707B4A">
        <w:rPr>
          <w:sz w:val="16"/>
          <w:szCs w:val="16"/>
        </w:rPr>
        <w:t xml:space="preserve">, 2d Dist. Greene No. 2013-CA-38 , 2014-Ohio-2312, </w:t>
      </w:r>
      <w:r w:rsidRPr="00707B4A">
        <w:rPr>
          <w:rFonts w:cs="Aharoni"/>
          <w:sz w:val="16"/>
          <w:szCs w:val="16"/>
        </w:rPr>
        <w:t>¶</w:t>
      </w:r>
      <w:r w:rsidRPr="00707B4A">
        <w:rPr>
          <w:sz w:val="16"/>
          <w:szCs w:val="16"/>
        </w:rPr>
        <w:t xml:space="preserve"> 10-14;</w:t>
      </w:r>
      <w:r w:rsidRPr="00707B4A">
        <w:rPr>
          <w:i/>
          <w:sz w:val="16"/>
          <w:szCs w:val="16"/>
        </w:rPr>
        <w:t xml:space="preserve"> </w:t>
      </w:r>
      <w:hyperlink r:id="rId1519" w:history="1">
        <w:r w:rsidRPr="00707B4A">
          <w:rPr>
            <w:rStyle w:val="Hyperlink"/>
            <w:i/>
            <w:sz w:val="16"/>
            <w:szCs w:val="16"/>
          </w:rPr>
          <w:t>Krueck v. Kipton Village Council</w:t>
        </w:r>
      </w:hyperlink>
      <w:r w:rsidRPr="00707B4A">
        <w:rPr>
          <w:sz w:val="16"/>
          <w:szCs w:val="16"/>
        </w:rPr>
        <w:t xml:space="preserve">, 9th Dist. Lorain No. 11CA009960, 2012-Ohio-1787, </w:t>
      </w:r>
      <w:r w:rsidRPr="00707B4A">
        <w:rPr>
          <w:rFonts w:cs="Aharoni"/>
          <w:sz w:val="16"/>
          <w:szCs w:val="16"/>
        </w:rPr>
        <w:t>¶</w:t>
      </w:r>
      <w:r w:rsidRPr="00707B4A">
        <w:rPr>
          <w:sz w:val="16"/>
          <w:szCs w:val="16"/>
        </w:rPr>
        <w:t xml:space="preserve"> 3-4, 16; </w:t>
      </w:r>
      <w:r w:rsidRPr="00707B4A">
        <w:rPr>
          <w:i/>
          <w:sz w:val="16"/>
          <w:szCs w:val="16"/>
        </w:rPr>
        <w:t xml:space="preserve">State ex rel. Maynard v. Medina Cty. Facilities Taskforce Subcommt., </w:t>
      </w:r>
      <w:r w:rsidRPr="00707B4A">
        <w:rPr>
          <w:sz w:val="16"/>
          <w:szCs w:val="16"/>
        </w:rPr>
        <w:t xml:space="preserve">9th Dist. Medina No. 19CA0083-M, 2020-Ohio-5561, ¶ 18-21 (finding that subcommittee is </w:t>
      </w:r>
      <w:r w:rsidRPr="00707B4A">
        <w:rPr>
          <w:i/>
          <w:sz w:val="16"/>
          <w:szCs w:val="16"/>
        </w:rPr>
        <w:t xml:space="preserve">sui juris </w:t>
      </w:r>
      <w:r w:rsidRPr="00707B4A">
        <w:rPr>
          <w:sz w:val="16"/>
          <w:szCs w:val="16"/>
        </w:rPr>
        <w:t>even though it is not a “decision-making body” and does not have “decision-making authority”; while individual subcommittee members were also sued, they were not necessarily parties).</w:t>
      </w:r>
    </w:p>
  </w:endnote>
  <w:endnote w:id="1158">
    <w:p w14:paraId="2C8AE5C4" w14:textId="03AE407A" w:rsidR="002F23BE" w:rsidRPr="00CC3F85" w:rsidRDefault="002F23BE" w:rsidP="00CC3F85">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20" w:history="1">
        <w:r w:rsidRPr="00707B4A">
          <w:rPr>
            <w:rStyle w:val="Hyperlink"/>
            <w:sz w:val="16"/>
            <w:szCs w:val="16"/>
          </w:rPr>
          <w:t>R.C. 121.22(I)(1).</w:t>
        </w:r>
      </w:hyperlink>
    </w:p>
  </w:endnote>
  <w:endnote w:id="1159">
    <w:p w14:paraId="679D6458" w14:textId="738F0A49" w:rsidR="002F23BE" w:rsidRPr="00CC3F85"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hyperlink r:id="rId1521" w:history="1">
        <w:r w:rsidRPr="00CC3F85">
          <w:rPr>
            <w:rStyle w:val="Hyperlink"/>
            <w:i/>
            <w:sz w:val="16"/>
            <w:szCs w:val="16"/>
          </w:rPr>
          <w:t xml:space="preserve">State ex rel. </w:t>
        </w:r>
        <w:r w:rsidRPr="00CC3F85">
          <w:rPr>
            <w:rStyle w:val="Hyperlink"/>
            <w:i/>
            <w:sz w:val="16"/>
            <w:szCs w:val="16"/>
          </w:rPr>
          <w:t>Savko &amp; Sons v. Perry Twp. Bd. of Trustees</w:t>
        </w:r>
      </w:hyperlink>
      <w:r w:rsidRPr="00CC3F85">
        <w:rPr>
          <w:sz w:val="16"/>
          <w:szCs w:val="16"/>
        </w:rPr>
        <w:t>, 10th Dist. Franklin No. 14AP-204, 2014-Ohio-1181.</w:t>
      </w:r>
    </w:p>
  </w:endnote>
  <w:endnote w:id="1160">
    <w:p w14:paraId="1C1F8380" w14:textId="0F2CC591" w:rsidR="002F23BE" w:rsidRPr="00CC3F85"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r w:rsidRPr="00CC3F85">
        <w:rPr>
          <w:b/>
          <w:sz w:val="16"/>
          <w:szCs w:val="16"/>
        </w:rPr>
        <w:t>Courts finding jurisdiction:</w:t>
      </w:r>
      <w:r w:rsidRPr="00CC3F85">
        <w:rPr>
          <w:sz w:val="16"/>
          <w:szCs w:val="16"/>
        </w:rPr>
        <w:t xml:space="preserve">  </w:t>
      </w:r>
      <w:hyperlink r:id="rId1522" w:history="1">
        <w:r w:rsidRPr="00CC3F85">
          <w:rPr>
            <w:rStyle w:val="Hyperlink"/>
            <w:i/>
            <w:sz w:val="16"/>
            <w:szCs w:val="16"/>
          </w:rPr>
          <w:t xml:space="preserve">Brenneman Bros. v. Allen </w:t>
        </w:r>
        <w:r w:rsidRPr="00CC3F85">
          <w:rPr>
            <w:rStyle w:val="Hyperlink"/>
            <w:i/>
            <w:sz w:val="16"/>
            <w:szCs w:val="16"/>
          </w:rPr>
          <w:t>Cty. Commrs.</w:t>
        </w:r>
      </w:hyperlink>
      <w:r w:rsidRPr="00CC3F85">
        <w:rPr>
          <w:sz w:val="16"/>
          <w:szCs w:val="16"/>
        </w:rPr>
        <w:t xml:space="preserve">, 3d Dist. Allen No. 1-13-14, 2013-Ohio-4635; </w:t>
      </w:r>
      <w:r w:rsidRPr="00CC3F85">
        <w:rPr>
          <w:i/>
          <w:sz w:val="16"/>
          <w:szCs w:val="16"/>
        </w:rPr>
        <w:t>Hardesty v. River View Local School Dist. Bd. of Edn.</w:t>
      </w:r>
      <w:r w:rsidRPr="00CC3F85">
        <w:rPr>
          <w:sz w:val="16"/>
          <w:szCs w:val="16"/>
        </w:rPr>
        <w:t xml:space="preserve">, 63 Ohio Misc.2d 145 (C.P. 1993).  </w:t>
      </w:r>
      <w:r w:rsidRPr="00CC3F85">
        <w:rPr>
          <w:b/>
          <w:sz w:val="16"/>
          <w:szCs w:val="16"/>
        </w:rPr>
        <w:t>Courts finding no jurisdiction:</w:t>
      </w:r>
      <w:r w:rsidRPr="00CC3F85">
        <w:rPr>
          <w:sz w:val="16"/>
          <w:szCs w:val="16"/>
        </w:rPr>
        <w:t xml:space="preserve">  </w:t>
      </w:r>
      <w:hyperlink r:id="rId1523" w:history="1">
        <w:r w:rsidRPr="00CC3F85">
          <w:rPr>
            <w:rStyle w:val="Hyperlink"/>
            <w:i/>
            <w:sz w:val="16"/>
            <w:szCs w:val="16"/>
          </w:rPr>
          <w:t>Stainfield v. Jefferson Emergency Rescue District</w:t>
        </w:r>
      </w:hyperlink>
      <w:r w:rsidRPr="00CC3F85">
        <w:rPr>
          <w:sz w:val="16"/>
          <w:szCs w:val="16"/>
        </w:rPr>
        <w:t xml:space="preserve">, 11th Dist. Ashtabula No. 2009-A-0044, 2010-Ohio-2282; </w:t>
      </w:r>
      <w:hyperlink r:id="rId1524" w:history="1">
        <w:r w:rsidRPr="00CC3F85">
          <w:rPr>
            <w:rStyle w:val="Hyperlink"/>
            <w:i/>
            <w:sz w:val="16"/>
            <w:szCs w:val="16"/>
          </w:rPr>
          <w:t>Fahl v. Athens</w:t>
        </w:r>
      </w:hyperlink>
      <w:r w:rsidRPr="00CC3F85">
        <w:rPr>
          <w:sz w:val="16"/>
          <w:szCs w:val="16"/>
        </w:rPr>
        <w:t xml:space="preserve">, 4th Dist. Athens No. 06CA23, 2007-Ohio-4925; </w:t>
      </w:r>
      <w:r w:rsidRPr="00CC3F85">
        <w:rPr>
          <w:i/>
          <w:sz w:val="16"/>
          <w:szCs w:val="16"/>
        </w:rPr>
        <w:t>Pfeffer v. Bd. of Cty. Commrs. of Portage Cty.</w:t>
      </w:r>
      <w:r w:rsidRPr="00CC3F85">
        <w:rPr>
          <w:sz w:val="16"/>
          <w:szCs w:val="16"/>
        </w:rPr>
        <w:t>, 11th Dist. Portage No. 2000-P-0030, 2001 Ohio App. LEXIS 3185 (July 13, 2001).</w:t>
      </w:r>
    </w:p>
  </w:endnote>
  <w:endnote w:id="1161">
    <w:p w14:paraId="00047ED3" w14:textId="72E07B96" w:rsidR="002F23BE" w:rsidRPr="00CC3F85"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hyperlink r:id="rId1525" w:history="1">
        <w:r w:rsidRPr="00CC3F85">
          <w:rPr>
            <w:rStyle w:val="Hyperlink"/>
            <w:i/>
            <w:sz w:val="16"/>
            <w:szCs w:val="16"/>
          </w:rPr>
          <w:t xml:space="preserve">State ex rel. Hicks v. Clermont </w:t>
        </w:r>
        <w:r w:rsidRPr="00CC3F85">
          <w:rPr>
            <w:rStyle w:val="Hyperlink"/>
            <w:i/>
            <w:sz w:val="16"/>
            <w:szCs w:val="16"/>
          </w:rPr>
          <w:t>Cty. Bd. Of Commrs.</w:t>
        </w:r>
      </w:hyperlink>
      <w:r w:rsidRPr="00CC3F85">
        <w:rPr>
          <w:i/>
          <w:sz w:val="16"/>
          <w:szCs w:val="16"/>
        </w:rPr>
        <w:t xml:space="preserve">, </w:t>
      </w:r>
      <w:r w:rsidR="00E33770" w:rsidRPr="00CC3F85">
        <w:rPr>
          <w:sz w:val="16"/>
          <w:szCs w:val="16"/>
        </w:rPr>
        <w:t>171 Ohio St.3d 593,</w:t>
      </w:r>
      <w:r w:rsidRPr="00CC3F85">
        <w:rPr>
          <w:sz w:val="16"/>
          <w:szCs w:val="16"/>
        </w:rPr>
        <w:t xml:space="preserve"> 2022-Ohio-4237</w:t>
      </w:r>
      <w:r w:rsidR="00E33770" w:rsidRPr="00CC3F85">
        <w:rPr>
          <w:sz w:val="16"/>
          <w:szCs w:val="16"/>
        </w:rPr>
        <w:t>,</w:t>
      </w:r>
      <w:r w:rsidRPr="00CC3F85">
        <w:rPr>
          <w:sz w:val="16"/>
          <w:szCs w:val="16"/>
        </w:rPr>
        <w:t xml:space="preserve"> ¶ 40 (“Plaintiffs alleging violations of Ohio’s OMA, R.C. 121.22, bear the burden of proving the violations they have alleged”); </w:t>
      </w:r>
      <w:hyperlink r:id="rId1526" w:history="1">
        <w:r w:rsidRPr="00CC3F85">
          <w:rPr>
            <w:rStyle w:val="Hyperlink"/>
            <w:i/>
            <w:sz w:val="16"/>
            <w:szCs w:val="16"/>
          </w:rPr>
          <w:t>Paridon v. Trumbull Cty. Children Servs. Bd.</w:t>
        </w:r>
      </w:hyperlink>
      <w:r w:rsidRPr="00CC3F85">
        <w:rPr>
          <w:sz w:val="16"/>
          <w:szCs w:val="16"/>
        </w:rPr>
        <w:t xml:space="preserve">, 11th Dist. Trumbull No. 2012-T-0035, 2013-Ohio-881, </w:t>
      </w:r>
      <w:r w:rsidRPr="00CC3F85">
        <w:rPr>
          <w:rFonts w:cs="Aharoni"/>
          <w:sz w:val="16"/>
          <w:szCs w:val="16"/>
        </w:rPr>
        <w:t>¶</w:t>
      </w:r>
      <w:r w:rsidRPr="00CC3F85">
        <w:rPr>
          <w:sz w:val="16"/>
          <w:szCs w:val="16"/>
        </w:rPr>
        <w:t xml:space="preserve"> 18 (requiring proof by clear and convincing evidence); </w:t>
      </w:r>
      <w:hyperlink r:id="rId1527" w:history="1">
        <w:r w:rsidRPr="00CC3F85">
          <w:rPr>
            <w:rStyle w:val="Hyperlink"/>
            <w:i/>
            <w:sz w:val="16"/>
            <w:szCs w:val="16"/>
          </w:rPr>
          <w:t>State ex rel. Masiella v. Brimfield Twp. Bd. of Trustees</w:t>
        </w:r>
      </w:hyperlink>
      <w:r w:rsidRPr="00CC3F85">
        <w:rPr>
          <w:sz w:val="16"/>
          <w:szCs w:val="16"/>
        </w:rPr>
        <w:t>, 11th Dist. Portage No. 2016-P-0038, 2017-Ohio-2934, ¶ 53 (finding appellant failed to meet this burden, which required him “to demonstrate that a meeting occurred . . .[and] that a public action resulted from a deliberation in the meeting that was not open to the public”).</w:t>
      </w:r>
    </w:p>
  </w:endnote>
  <w:endnote w:id="1162">
    <w:p w14:paraId="3AC51CD8" w14:textId="5C52525B" w:rsidR="000D29DA" w:rsidRPr="00CC3F85" w:rsidRDefault="000D29DA" w:rsidP="00CC3F85">
      <w:pPr>
        <w:pStyle w:val="EndnoteText"/>
        <w:spacing w:line="160" w:lineRule="exact"/>
        <w:jc w:val="both"/>
        <w:rPr>
          <w:sz w:val="16"/>
          <w:szCs w:val="16"/>
        </w:rPr>
      </w:pPr>
      <w:r w:rsidRPr="00CC3F85">
        <w:rPr>
          <w:rStyle w:val="EndnoteReference"/>
          <w:sz w:val="16"/>
          <w:szCs w:val="16"/>
        </w:rPr>
        <w:endnoteRef/>
      </w:r>
      <w:hyperlink r:id="rId1528" w:history="1">
        <w:r w:rsidRPr="00CC3F85">
          <w:rPr>
            <w:rStyle w:val="Hyperlink"/>
            <w:i/>
            <w:iCs/>
            <w:sz w:val="16"/>
            <w:szCs w:val="16"/>
          </w:rPr>
          <w:t xml:space="preserve"> State ex rel. Hicks v. Clermont </w:t>
        </w:r>
        <w:r w:rsidRPr="00CC3F85">
          <w:rPr>
            <w:rStyle w:val="Hyperlink"/>
            <w:i/>
            <w:iCs/>
            <w:sz w:val="16"/>
            <w:szCs w:val="16"/>
          </w:rPr>
          <w:t>Cty. Bd. Of Commrs</w:t>
        </w:r>
      </w:hyperlink>
      <w:r w:rsidRPr="00CC3F85">
        <w:rPr>
          <w:sz w:val="16"/>
          <w:szCs w:val="16"/>
        </w:rPr>
        <w:t>., 171 Ohio St.3d 593, 2022-Ohio-4237, ¶ 21.</w:t>
      </w:r>
    </w:p>
  </w:endnote>
  <w:endnote w:id="1163">
    <w:p w14:paraId="47821668" w14:textId="09ABF08D" w:rsidR="002F23BE" w:rsidRPr="00707B4A" w:rsidRDefault="002F23BE" w:rsidP="00CC3F85">
      <w:pPr>
        <w:pStyle w:val="EndnoteText"/>
        <w:spacing w:line="160" w:lineRule="exact"/>
        <w:jc w:val="both"/>
        <w:rPr>
          <w:sz w:val="16"/>
          <w:szCs w:val="16"/>
        </w:rPr>
      </w:pPr>
      <w:r w:rsidRPr="00CC3F85">
        <w:rPr>
          <w:rStyle w:val="EndnoteReference"/>
          <w:sz w:val="16"/>
          <w:szCs w:val="16"/>
        </w:rPr>
        <w:endnoteRef/>
      </w:r>
      <w:r w:rsidRPr="00CC3F85">
        <w:rPr>
          <w:sz w:val="16"/>
          <w:szCs w:val="16"/>
        </w:rPr>
        <w:t xml:space="preserve"> </w:t>
      </w:r>
      <w:hyperlink r:id="rId1529" w:history="1">
        <w:r w:rsidRPr="00CC3F85">
          <w:rPr>
            <w:rStyle w:val="Hyperlink"/>
            <w:i/>
            <w:sz w:val="16"/>
            <w:szCs w:val="16"/>
          </w:rPr>
          <w:t xml:space="preserve">State ex rel. Hicks v. Clermont </w:t>
        </w:r>
        <w:r w:rsidRPr="00CC3F85">
          <w:rPr>
            <w:rStyle w:val="Hyperlink"/>
            <w:i/>
            <w:sz w:val="16"/>
            <w:szCs w:val="16"/>
          </w:rPr>
          <w:t>Cty. Bd. Of Commrs</w:t>
        </w:r>
      </w:hyperlink>
      <w:r w:rsidRPr="00CC3F85">
        <w:rPr>
          <w:i/>
          <w:sz w:val="16"/>
          <w:szCs w:val="16"/>
        </w:rPr>
        <w:t xml:space="preserve">., </w:t>
      </w:r>
      <w:r w:rsidR="00E33770" w:rsidRPr="00CC3F85">
        <w:rPr>
          <w:sz w:val="16"/>
          <w:szCs w:val="16"/>
        </w:rPr>
        <w:t>171 Ohio St.3d 593</w:t>
      </w:r>
      <w:r w:rsidRPr="00CC3F85">
        <w:rPr>
          <w:sz w:val="16"/>
          <w:szCs w:val="16"/>
        </w:rPr>
        <w:t>, 2022-Ohio-4237</w:t>
      </w:r>
      <w:r w:rsidR="00E33770" w:rsidRPr="00CC3F85">
        <w:rPr>
          <w:sz w:val="16"/>
          <w:szCs w:val="16"/>
        </w:rPr>
        <w:t xml:space="preserve">, </w:t>
      </w:r>
      <w:r w:rsidRPr="00CC3F85">
        <w:rPr>
          <w:sz w:val="16"/>
          <w:szCs w:val="16"/>
        </w:rPr>
        <w:t xml:space="preserve">¶ 21; </w:t>
      </w:r>
      <w:r w:rsidRPr="00CC3F85">
        <w:rPr>
          <w:i/>
          <w:sz w:val="16"/>
          <w:szCs w:val="16"/>
        </w:rPr>
        <w:t xml:space="preserve">Armatas v. Plain Twp., </w:t>
      </w:r>
      <w:r w:rsidRPr="00CC3F85">
        <w:rPr>
          <w:sz w:val="16"/>
          <w:szCs w:val="16"/>
        </w:rPr>
        <w:t>5th Dist. Stark No. 2022 CA 00039, 2023-Ohio-204, ¶ 59 (plaintiff failed to present evidence of the public body’s improper deliberations during secret meeting)</w:t>
      </w:r>
      <w:r w:rsidR="00E33770" w:rsidRPr="00CC3F85">
        <w:rPr>
          <w:sz w:val="16"/>
          <w:szCs w:val="16"/>
        </w:rPr>
        <w:t>,</w:t>
      </w:r>
      <w:r w:rsidR="00E33770" w:rsidRPr="00CC3F85">
        <w:rPr>
          <w:i/>
          <w:iCs/>
          <w:sz w:val="16"/>
          <w:szCs w:val="16"/>
        </w:rPr>
        <w:t xml:space="preserve"> discretionary appeal not allowed</w:t>
      </w:r>
      <w:r w:rsidR="00E33770" w:rsidRPr="00CC3F85">
        <w:rPr>
          <w:sz w:val="16"/>
          <w:szCs w:val="16"/>
        </w:rPr>
        <w:t>, 170 Ohio St.3d 1480, 2023-Ohio-2236.</w:t>
      </w:r>
    </w:p>
  </w:endnote>
  <w:endnote w:id="1164">
    <w:p w14:paraId="64A25EA2" w14:textId="1037A60C"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 xml:space="preserve">Sea Lakes, Inc. v. </w:t>
      </w:r>
      <w:r w:rsidRPr="00707B4A">
        <w:rPr>
          <w:i/>
          <w:sz w:val="16"/>
          <w:szCs w:val="16"/>
        </w:rPr>
        <w:t>Lipstreu</w:t>
      </w:r>
      <w:r w:rsidRPr="00707B4A">
        <w:rPr>
          <w:sz w:val="16"/>
          <w:szCs w:val="16"/>
        </w:rPr>
        <w:t xml:space="preserve">, 11th Dist. Portage No. 90-P-2254, 1991 Ohio App. LEXIS 4615, *12 (Sept. 30, 1991) (finding a violation when board was to discuss administrative appeal merits privately, appellant’s attorney objected, board immediately held executive session “to discuss possible legal actions”, then emerged to announce decision on appeal); </w:t>
      </w:r>
      <w:r w:rsidRPr="00707B4A">
        <w:rPr>
          <w:i/>
          <w:sz w:val="16"/>
          <w:szCs w:val="16"/>
        </w:rPr>
        <w:t>In the Matter of Removal of Smith</w:t>
      </w:r>
      <w:r w:rsidRPr="00707B4A">
        <w:rPr>
          <w:sz w:val="16"/>
          <w:szCs w:val="16"/>
        </w:rPr>
        <w:t xml:space="preserve">, 5th Dist. Morgan No. CA-90-11, 1991 Ohio App. LEXIS 2409, *2 (May 15, 1991) (county commission </w:t>
      </w:r>
      <w:r w:rsidR="00E33770" w:rsidRPr="00707B4A">
        <w:rPr>
          <w:sz w:val="16"/>
          <w:szCs w:val="16"/>
        </w:rPr>
        <w:t xml:space="preserve">violated the Open Meetings Act when it </w:t>
      </w:r>
      <w:r w:rsidRPr="00707B4A">
        <w:rPr>
          <w:sz w:val="16"/>
          <w:szCs w:val="16"/>
        </w:rPr>
        <w:t>emerged from executive session held “to discuss legal matters” and announced decision to remove Smith from Board of Mental Health</w:t>
      </w:r>
      <w:r w:rsidR="00E33770" w:rsidRPr="00707B4A">
        <w:rPr>
          <w:sz w:val="16"/>
          <w:szCs w:val="16"/>
        </w:rPr>
        <w:t xml:space="preserve">; </w:t>
      </w:r>
      <w:r w:rsidRPr="00707B4A">
        <w:rPr>
          <w:sz w:val="16"/>
          <w:szCs w:val="16"/>
        </w:rPr>
        <w:t xml:space="preserve">no county attorney </w:t>
      </w:r>
      <w:r w:rsidR="00E33770" w:rsidRPr="00707B4A">
        <w:rPr>
          <w:sz w:val="16"/>
          <w:szCs w:val="16"/>
        </w:rPr>
        <w:t xml:space="preserve">was </w:t>
      </w:r>
      <w:r w:rsidRPr="00707B4A">
        <w:rPr>
          <w:sz w:val="16"/>
          <w:szCs w:val="16"/>
        </w:rPr>
        <w:t>present in executive session, and a request for public hearing on removal decision was pending).</w:t>
      </w:r>
    </w:p>
  </w:endnote>
  <w:endnote w:id="1165">
    <w:p w14:paraId="44156629" w14:textId="12F22A50"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0" w:history="1">
        <w:r w:rsidRPr="00707B4A">
          <w:rPr>
            <w:rStyle w:val="Hyperlink"/>
            <w:sz w:val="16"/>
            <w:szCs w:val="16"/>
          </w:rPr>
          <w:t>R.C. 121.22(I)(3)</w:t>
        </w:r>
      </w:hyperlink>
      <w:r w:rsidR="00E33770" w:rsidRPr="00707B4A">
        <w:rPr>
          <w:sz w:val="16"/>
          <w:szCs w:val="16"/>
        </w:rPr>
        <w:t>.</w:t>
      </w:r>
    </w:p>
  </w:endnote>
  <w:endnote w:id="1166">
    <w:p w14:paraId="03FD0FA9" w14:textId="4BC9EB4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1" w:history="1">
        <w:r w:rsidRPr="00707B4A">
          <w:rPr>
            <w:rStyle w:val="Hyperlink"/>
            <w:sz w:val="16"/>
            <w:szCs w:val="16"/>
          </w:rPr>
          <w:t>R.C. 121.22(I)(1)</w:t>
        </w:r>
      </w:hyperlink>
      <w:r w:rsidRPr="00707B4A">
        <w:rPr>
          <w:sz w:val="16"/>
          <w:szCs w:val="16"/>
        </w:rPr>
        <w:t xml:space="preserve">; </w:t>
      </w:r>
      <w:r w:rsidRPr="00707B4A">
        <w:rPr>
          <w:i/>
          <w:sz w:val="16"/>
          <w:szCs w:val="16"/>
        </w:rPr>
        <w:t xml:space="preserve">see also </w:t>
      </w:r>
      <w:hyperlink r:id="rId1532" w:history="1">
        <w:r w:rsidRPr="00707B4A">
          <w:rPr>
            <w:rStyle w:val="Hyperlink"/>
            <w:i/>
            <w:sz w:val="16"/>
            <w:szCs w:val="16"/>
          </w:rPr>
          <w:t xml:space="preserve">Doran v. Northmont Bd. of </w:t>
        </w:r>
        <w:r w:rsidRPr="00707B4A">
          <w:rPr>
            <w:rStyle w:val="Hyperlink"/>
            <w:i/>
            <w:sz w:val="16"/>
            <w:szCs w:val="16"/>
          </w:rPr>
          <w:t>Edn.</w:t>
        </w:r>
      </w:hyperlink>
      <w:r w:rsidRPr="00707B4A">
        <w:rPr>
          <w:sz w:val="16"/>
          <w:szCs w:val="16"/>
        </w:rPr>
        <w:t xml:space="preserve">, 153 Ohio App.3d 499, 2003-Ohio-4084, ¶ 21 (2d Dist.) (statute’s provision that an injunction is mandatory upon finding violation is not an unconstitutional violation of separation of powers); </w:t>
      </w:r>
      <w:r w:rsidRPr="00707B4A">
        <w:rPr>
          <w:i/>
          <w:sz w:val="16"/>
          <w:szCs w:val="16"/>
        </w:rPr>
        <w:t>Fayette Volunteer Fire Dept. No. 2, Inc. v. Fayette Twp. Bd. of Trustees</w:t>
      </w:r>
      <w:r w:rsidRPr="00707B4A">
        <w:rPr>
          <w:sz w:val="16"/>
          <w:szCs w:val="16"/>
        </w:rPr>
        <w:t>, 87 Ohio App.3d 51, 54 (4th Dist. 1993) (finding injunction mandatory even though challenged board action was nullified and there was no need for an injunction).</w:t>
      </w:r>
    </w:p>
  </w:endnote>
  <w:endnote w:id="1167">
    <w:p w14:paraId="1E4E74ED" w14:textId="1E32F4BA"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3" w:history="1">
        <w:r w:rsidRPr="00707B4A">
          <w:rPr>
            <w:rStyle w:val="Hyperlink"/>
            <w:i/>
            <w:sz w:val="16"/>
            <w:szCs w:val="16"/>
          </w:rPr>
          <w:t>McVey v. Carthage Twp. Trustees</w:t>
        </w:r>
      </w:hyperlink>
      <w:r w:rsidRPr="00707B4A">
        <w:rPr>
          <w:sz w:val="16"/>
          <w:szCs w:val="16"/>
        </w:rPr>
        <w:t>, 4th Dist. Athens No. 04CA44, 2005-Ohio-2869, ¶ 9 (“Because the statute clearly provides that an injunction is to be issued upon finding a violation of the Sunshine Law, it is irrelevant that the Trustees nullified their prior [offending] action.”)</w:t>
      </w:r>
      <w:r w:rsidR="00E33770" w:rsidRPr="00707B4A">
        <w:rPr>
          <w:sz w:val="16"/>
          <w:szCs w:val="16"/>
        </w:rPr>
        <w:t>.</w:t>
      </w:r>
    </w:p>
  </w:endnote>
  <w:endnote w:id="1168">
    <w:p w14:paraId="42E87A38" w14:textId="4C1810B6"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b/>
          <w:sz w:val="16"/>
          <w:szCs w:val="16"/>
        </w:rPr>
        <w:t>Courts finding that violation was not cured:</w:t>
      </w:r>
      <w:r w:rsidRPr="00707B4A">
        <w:rPr>
          <w:bCs/>
          <w:i/>
          <w:sz w:val="16"/>
          <w:szCs w:val="16"/>
        </w:rPr>
        <w:t xml:space="preserve"> </w:t>
      </w:r>
      <w:hyperlink r:id="rId1534" w:history="1">
        <w:r w:rsidRPr="00707B4A">
          <w:rPr>
            <w:rStyle w:val="Hyperlink"/>
            <w:bCs/>
            <w:i/>
            <w:sz w:val="16"/>
            <w:szCs w:val="16"/>
          </w:rPr>
          <w:t xml:space="preserve">Keystone </w:t>
        </w:r>
        <w:r w:rsidRPr="00707B4A">
          <w:rPr>
            <w:rStyle w:val="Hyperlink"/>
            <w:bCs/>
            <w:i/>
            <w:sz w:val="16"/>
            <w:szCs w:val="16"/>
          </w:rPr>
          <w:t>Commt. v. Switzerland of Ohio School Dist. Bd. of Edn.</w:t>
        </w:r>
      </w:hyperlink>
      <w:r w:rsidRPr="00707B4A">
        <w:rPr>
          <w:bCs/>
          <w:sz w:val="16"/>
          <w:szCs w:val="16"/>
        </w:rPr>
        <w:t>, 7th Dist. No. 15 MO 0011, 2016-Ohio-4663, ¶ 44-46 (a public body cannot “cure” a violation by simply voting again on the same information improperly obtained in executive session);</w:t>
      </w:r>
      <w:r w:rsidRPr="00707B4A">
        <w:rPr>
          <w:b/>
          <w:sz w:val="16"/>
          <w:szCs w:val="16"/>
        </w:rPr>
        <w:t xml:space="preserve"> </w:t>
      </w:r>
      <w:hyperlink r:id="rId1535" w:history="1">
        <w:r w:rsidRPr="00707B4A">
          <w:rPr>
            <w:rStyle w:val="Hyperlink"/>
            <w:i/>
            <w:sz w:val="16"/>
            <w:szCs w:val="16"/>
          </w:rPr>
          <w:t>Wheeling Corp. v. Columbus &amp; Ohio River R.R. Co.</w:t>
        </w:r>
      </w:hyperlink>
      <w:r w:rsidRPr="00707B4A">
        <w:rPr>
          <w:sz w:val="16"/>
          <w:szCs w:val="16"/>
        </w:rPr>
        <w:t xml:space="preserve">, 147 Ohio App.3d 460, 476 (10th Dist. 2001) (no cure of violation by conducting an open meeting prior to taking formal action); </w:t>
      </w:r>
      <w:r w:rsidRPr="00707B4A">
        <w:rPr>
          <w:i/>
          <w:sz w:val="16"/>
          <w:szCs w:val="16"/>
        </w:rPr>
        <w:t>M.F. Waste Ventures, Inc. v. Bd. of Amanda Twp. Trustees</w:t>
      </w:r>
      <w:r w:rsidRPr="00707B4A">
        <w:rPr>
          <w:sz w:val="16"/>
          <w:szCs w:val="16"/>
        </w:rPr>
        <w:t>, 3d Dist. No. 1-87-46, 1988 Ohio App. LEXIS 493, *9 (Feb. 12, 1988) (</w:t>
      </w:r>
      <w:r w:rsidR="00E33770" w:rsidRPr="00707B4A">
        <w:rPr>
          <w:sz w:val="16"/>
          <w:szCs w:val="16"/>
        </w:rPr>
        <w:t>based on</w:t>
      </w:r>
      <w:r w:rsidRPr="00707B4A">
        <w:rPr>
          <w:sz w:val="16"/>
          <w:szCs w:val="16"/>
        </w:rPr>
        <w:t xml:space="preserve"> violation “the resolutions were invalid, and the fact that they were later adopted at public meetings did not cure their invalidity”); </w:t>
      </w:r>
      <w:r w:rsidRPr="00707B4A">
        <w:rPr>
          <w:i/>
          <w:sz w:val="16"/>
          <w:szCs w:val="16"/>
        </w:rPr>
        <w:t>Gannett Satellite Information Network, Inc. v. Chillicothe City School Dist. Bd. of Edn.</w:t>
      </w:r>
      <w:r w:rsidRPr="00707B4A">
        <w:rPr>
          <w:sz w:val="16"/>
          <w:szCs w:val="16"/>
        </w:rPr>
        <w:t xml:space="preserve">, 41 Ohio App.3d 218, 221 (4th Dist. 1988) (“A violation of the Sunshine Law cannot be ‘cured’ by subsequent open meetings if the public body initially discussed matters in executive session that should have been discussed before the public.”).  </w:t>
      </w:r>
      <w:r w:rsidRPr="00707B4A">
        <w:rPr>
          <w:b/>
          <w:sz w:val="16"/>
          <w:szCs w:val="16"/>
        </w:rPr>
        <w:t xml:space="preserve">Courts finding violation was cured: </w:t>
      </w:r>
      <w:r w:rsidRPr="00707B4A">
        <w:rPr>
          <w:i/>
          <w:sz w:val="16"/>
          <w:szCs w:val="16"/>
        </w:rPr>
        <w:t>Kuhlman v. Leipsic</w:t>
      </w:r>
      <w:r w:rsidRPr="00707B4A">
        <w:rPr>
          <w:sz w:val="16"/>
          <w:szCs w:val="16"/>
        </w:rPr>
        <w:t xml:space="preserve">, 3d Dist. Putnam No. 12-94-9, 1995 Ohio App. LEXIS 1269, *8 (Mar. 27, 1995) (“[A]n initial failure to comply with R.C. 121.22 can be cured if the matter at issue is later placed before the public for consideration.”); </w:t>
      </w:r>
      <w:r w:rsidRPr="00707B4A">
        <w:rPr>
          <w:i/>
          <w:sz w:val="16"/>
          <w:szCs w:val="16"/>
        </w:rPr>
        <w:t>Beisel v. Monroe Cty. Bd. of Edn.</w:t>
      </w:r>
      <w:r w:rsidRPr="00707B4A">
        <w:rPr>
          <w:sz w:val="16"/>
          <w:szCs w:val="16"/>
        </w:rPr>
        <w:t>, 7th Dist. Monroe No. CA-678, 1990 Ohio App. LEXIS 3761, *6-7 (Aug. 29, 1990) (discussing a permitted matter in executive session, without a proper motion, was cured by rescinding the resulting action and then conducting the action in compliance with the Open Meetings Act).</w:t>
      </w:r>
    </w:p>
  </w:endnote>
  <w:endnote w:id="1169">
    <w:p w14:paraId="6BA5932D" w14:textId="1175491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Danis Montco Landfill Co. v. Jefferson Twp. Zoning Commn.</w:t>
      </w:r>
      <w:r w:rsidRPr="00707B4A">
        <w:rPr>
          <w:sz w:val="16"/>
          <w:szCs w:val="16"/>
        </w:rPr>
        <w:t xml:space="preserve">, 85 Ohio App.3d 494, 501 (2d Dist. 1993); </w:t>
      </w:r>
      <w:r w:rsidRPr="00707B4A">
        <w:rPr>
          <w:i/>
          <w:sz w:val="16"/>
          <w:szCs w:val="16"/>
        </w:rPr>
        <w:t xml:space="preserve">see also </w:t>
      </w:r>
      <w:hyperlink r:id="rId1536" w:history="1">
        <w:r w:rsidRPr="00707B4A">
          <w:rPr>
            <w:rStyle w:val="Hyperlink"/>
            <w:i/>
            <w:sz w:val="16"/>
            <w:szCs w:val="16"/>
          </w:rPr>
          <w:t>Maddox v. Greene Cty. Children Servs. Bd.</w:t>
        </w:r>
      </w:hyperlink>
      <w:r w:rsidRPr="00707B4A">
        <w:rPr>
          <w:sz w:val="16"/>
          <w:szCs w:val="16"/>
        </w:rPr>
        <w:t xml:space="preserve">, 2d Dist. Greene No. 2013-CA-38, 2014-Ohio-2312, </w:t>
      </w:r>
      <w:r w:rsidRPr="00707B4A">
        <w:rPr>
          <w:rFonts w:cs="Aharoni"/>
          <w:sz w:val="16"/>
          <w:szCs w:val="16"/>
        </w:rPr>
        <w:t>¶</w:t>
      </w:r>
      <w:r w:rsidRPr="00707B4A">
        <w:rPr>
          <w:sz w:val="16"/>
          <w:szCs w:val="16"/>
        </w:rPr>
        <w:t xml:space="preserve"> 36</w:t>
      </w:r>
      <w:r w:rsidRPr="00707B4A">
        <w:rPr>
          <w:i/>
          <w:sz w:val="16"/>
          <w:szCs w:val="16"/>
        </w:rPr>
        <w:t xml:space="preserve"> </w:t>
      </w:r>
      <w:r w:rsidRPr="00707B4A">
        <w:rPr>
          <w:sz w:val="16"/>
          <w:szCs w:val="16"/>
        </w:rPr>
        <w:t xml:space="preserve">(finding Open Meetings Act violation in termination of an employee did not afford employee </w:t>
      </w:r>
      <w:r w:rsidR="00A35944" w:rsidRPr="00707B4A">
        <w:rPr>
          <w:sz w:val="16"/>
          <w:szCs w:val="16"/>
        </w:rPr>
        <w:t>lifetime</w:t>
      </w:r>
      <w:r w:rsidRPr="00707B4A">
        <w:rPr>
          <w:sz w:val="16"/>
          <w:szCs w:val="16"/>
        </w:rPr>
        <w:t xml:space="preserve"> employment but the public body </w:t>
      </w:r>
      <w:r w:rsidR="00E33770" w:rsidRPr="00707B4A">
        <w:rPr>
          <w:sz w:val="16"/>
          <w:szCs w:val="16"/>
        </w:rPr>
        <w:t>must</w:t>
      </w:r>
      <w:r w:rsidRPr="00707B4A">
        <w:rPr>
          <w:sz w:val="16"/>
          <w:szCs w:val="16"/>
        </w:rPr>
        <w:t xml:space="preserve"> re-deliberate “at least enough to support a finding that its discharge decision did not result from prior improper deliberations”).</w:t>
      </w:r>
    </w:p>
  </w:endnote>
  <w:endnote w:id="1170">
    <w:p w14:paraId="4A0C2793" w14:textId="7777777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Fox v. Lakewood</w:t>
      </w:r>
      <w:r w:rsidRPr="00707B4A">
        <w:rPr>
          <w:sz w:val="16"/>
          <w:szCs w:val="16"/>
        </w:rPr>
        <w:t xml:space="preserve">, 39 Ohio St.3d 19 (1998); </w:t>
      </w:r>
      <w:r w:rsidRPr="00707B4A">
        <w:rPr>
          <w:i/>
          <w:sz w:val="16"/>
          <w:szCs w:val="16"/>
        </w:rPr>
        <w:t xml:space="preserve">see also </w:t>
      </w:r>
      <w:hyperlink r:id="rId1537" w:history="1">
        <w:r w:rsidRPr="00707B4A">
          <w:rPr>
            <w:rStyle w:val="Hyperlink"/>
            <w:i/>
            <w:sz w:val="16"/>
            <w:szCs w:val="16"/>
          </w:rPr>
          <w:t>Skindell v. Madigan</w:t>
        </w:r>
      </w:hyperlink>
      <w:r w:rsidRPr="00707B4A">
        <w:rPr>
          <w:sz w:val="16"/>
          <w:szCs w:val="16"/>
        </w:rPr>
        <w:t>, 8th Dist. Cuyahoga No. 103976, 2017-Ohio-398, ¶ 5.</w:t>
      </w:r>
    </w:p>
  </w:endnote>
  <w:endnote w:id="1171">
    <w:p w14:paraId="4F57008D" w14:textId="34E1DAE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38" w:history="1">
        <w:r w:rsidRPr="00707B4A">
          <w:rPr>
            <w:rStyle w:val="Hyperlink"/>
            <w:i/>
            <w:sz w:val="16"/>
            <w:szCs w:val="16"/>
          </w:rPr>
          <w:t>State ex rel. Long v. Cardington Village Council</w:t>
        </w:r>
      </w:hyperlink>
      <w:r w:rsidRPr="00707B4A">
        <w:rPr>
          <w:sz w:val="16"/>
          <w:szCs w:val="16"/>
        </w:rPr>
        <w:t>, 92 Ohio St.3d 54 (2001)</w:t>
      </w:r>
      <w:r w:rsidR="00FF6767" w:rsidRPr="00707B4A">
        <w:rPr>
          <w:sz w:val="16"/>
          <w:szCs w:val="16"/>
        </w:rPr>
        <w:t xml:space="preserve"> (once a public body’s minutes are prepared, the Public Records Act requires the public body to permit access to the minutes upon request)</w:t>
      </w:r>
      <w:r w:rsidRPr="00707B4A">
        <w:rPr>
          <w:sz w:val="16"/>
          <w:szCs w:val="16"/>
        </w:rPr>
        <w:t xml:space="preserve">; </w:t>
      </w:r>
      <w:hyperlink r:id="rId1539" w:history="1">
        <w:r w:rsidRPr="001D5D57">
          <w:rPr>
            <w:rStyle w:val="Hyperlink"/>
            <w:i/>
            <w:sz w:val="16"/>
            <w:szCs w:val="16"/>
          </w:rPr>
          <w:t xml:space="preserve">Ames v. Portage </w:t>
        </w:r>
        <w:r w:rsidRPr="001D5D57">
          <w:rPr>
            <w:rStyle w:val="Hyperlink"/>
            <w:i/>
            <w:sz w:val="16"/>
            <w:szCs w:val="16"/>
          </w:rPr>
          <w:t>Cty. Bd. Commrs</w:t>
        </w:r>
      </w:hyperlink>
      <w:r w:rsidRPr="00707B4A">
        <w:rPr>
          <w:i/>
          <w:sz w:val="16"/>
          <w:szCs w:val="16"/>
        </w:rPr>
        <w:t>.</w:t>
      </w:r>
      <w:r w:rsidRPr="00707B4A">
        <w:rPr>
          <w:sz w:val="16"/>
          <w:szCs w:val="16"/>
        </w:rPr>
        <w:t xml:space="preserve">, </w:t>
      </w:r>
      <w:r w:rsidR="00FF6767" w:rsidRPr="00707B4A">
        <w:rPr>
          <w:sz w:val="16"/>
          <w:szCs w:val="16"/>
        </w:rPr>
        <w:t>S.Ct.</w:t>
      </w:r>
      <w:r w:rsidR="00662C0D">
        <w:rPr>
          <w:sz w:val="16"/>
          <w:szCs w:val="16"/>
        </w:rPr>
        <w:t xml:space="preserve"> </w:t>
      </w:r>
      <w:r w:rsidR="00FF6767" w:rsidRPr="00707B4A">
        <w:rPr>
          <w:sz w:val="16"/>
          <w:szCs w:val="16"/>
        </w:rPr>
        <w:t>No. 2022-0148, 2023-Ohio-3382</w:t>
      </w:r>
      <w:r w:rsidRPr="00707B4A">
        <w:rPr>
          <w:sz w:val="16"/>
          <w:szCs w:val="16"/>
        </w:rPr>
        <w:t xml:space="preserve"> (finding that</w:t>
      </w:r>
      <w:r w:rsidR="00FF6767" w:rsidRPr="00707B4A">
        <w:rPr>
          <w:sz w:val="16"/>
          <w:szCs w:val="16"/>
        </w:rPr>
        <w:t xml:space="preserve"> when the </w:t>
      </w:r>
      <w:r w:rsidRPr="00707B4A">
        <w:rPr>
          <w:sz w:val="16"/>
          <w:szCs w:val="16"/>
        </w:rPr>
        <w:t xml:space="preserve">public body violated the Open Meetings Act in failing to prepare full and accurate minutes, </w:t>
      </w:r>
      <w:r w:rsidR="00FF6767" w:rsidRPr="00707B4A">
        <w:rPr>
          <w:sz w:val="16"/>
          <w:szCs w:val="16"/>
        </w:rPr>
        <w:t>the relator also established a violation of</w:t>
      </w:r>
      <w:r w:rsidRPr="00707B4A">
        <w:rPr>
          <w:sz w:val="16"/>
          <w:szCs w:val="16"/>
        </w:rPr>
        <w:t xml:space="preserve"> the Public Records Act).</w:t>
      </w:r>
    </w:p>
  </w:endnote>
  <w:endnote w:id="1172">
    <w:p w14:paraId="57BD0C5E" w14:textId="4607ED5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 xml:space="preserve">State ex rel. Vindicator Printing Co. v. </w:t>
      </w:r>
      <w:r w:rsidRPr="00707B4A">
        <w:rPr>
          <w:i/>
          <w:sz w:val="16"/>
          <w:szCs w:val="16"/>
        </w:rPr>
        <w:t>Kirila</w:t>
      </w:r>
      <w:r w:rsidRPr="00707B4A">
        <w:rPr>
          <w:sz w:val="16"/>
          <w:szCs w:val="16"/>
        </w:rPr>
        <w:t>, 11th Dist. Trumbull No. 91-T-4550, 1991 Ohio App. LEXIS 6413 (Dec. 31, 1991).</w:t>
      </w:r>
    </w:p>
  </w:endnote>
  <w:endnote w:id="1173">
    <w:p w14:paraId="0A90689D" w14:textId="4C57ED1B"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40" w:history="1">
        <w:r w:rsidRPr="00707B4A">
          <w:rPr>
            <w:rStyle w:val="Hyperlink"/>
            <w:sz w:val="16"/>
            <w:szCs w:val="16"/>
          </w:rPr>
          <w:t>R.C. 121.22(I)(4)</w:t>
        </w:r>
      </w:hyperlink>
      <w:r w:rsidRPr="00707B4A">
        <w:rPr>
          <w:sz w:val="16"/>
          <w:szCs w:val="16"/>
        </w:rPr>
        <w:t xml:space="preserve">; </w:t>
      </w:r>
      <w:hyperlink r:id="rId1541" w:history="1">
        <w:r w:rsidRPr="00707B4A">
          <w:rPr>
            <w:rStyle w:val="Hyperlink"/>
            <w:sz w:val="16"/>
            <w:szCs w:val="16"/>
          </w:rPr>
          <w:t>R.C. Chapter 2733</w:t>
        </w:r>
      </w:hyperlink>
      <w:r w:rsidRPr="00707B4A">
        <w:rPr>
          <w:sz w:val="16"/>
          <w:szCs w:val="16"/>
        </w:rPr>
        <w:t xml:space="preserve"> (</w:t>
      </w:r>
      <w:r w:rsidR="00934954">
        <w:rPr>
          <w:sz w:val="16"/>
          <w:szCs w:val="16"/>
        </w:rPr>
        <w:t>q</w:t>
      </w:r>
      <w:r w:rsidRPr="00707B4A">
        <w:rPr>
          <w:sz w:val="16"/>
          <w:szCs w:val="16"/>
        </w:rPr>
        <w:t xml:space="preserve">uo </w:t>
      </w:r>
      <w:r w:rsidR="00934954">
        <w:rPr>
          <w:sz w:val="16"/>
          <w:szCs w:val="16"/>
        </w:rPr>
        <w:t>w</w:t>
      </w:r>
      <w:r w:rsidRPr="00707B4A">
        <w:rPr>
          <w:sz w:val="16"/>
          <w:szCs w:val="16"/>
        </w:rPr>
        <w:t xml:space="preserve">arranto); </w:t>
      </w:r>
      <w:hyperlink r:id="rId1542" w:history="1">
        <w:r w:rsidRPr="00707B4A">
          <w:rPr>
            <w:rStyle w:val="Hyperlink"/>
            <w:bCs/>
            <w:i/>
            <w:sz w:val="16"/>
            <w:szCs w:val="16"/>
          </w:rPr>
          <w:t>State ex rel. Bates v. Smith</w:t>
        </w:r>
      </w:hyperlink>
      <w:r w:rsidRPr="00707B4A">
        <w:rPr>
          <w:bCs/>
          <w:sz w:val="16"/>
          <w:szCs w:val="16"/>
        </w:rPr>
        <w:t xml:space="preserve">, 147 Ohio St.3d 322, 2016-Ohio-5449 (granting </w:t>
      </w:r>
      <w:r w:rsidRPr="00707B4A">
        <w:rPr>
          <w:bCs/>
          <w:i/>
          <w:sz w:val="16"/>
          <w:szCs w:val="16"/>
        </w:rPr>
        <w:t>quo warranto</w:t>
      </w:r>
      <w:r w:rsidRPr="00707B4A">
        <w:rPr>
          <w:bCs/>
          <w:sz w:val="16"/>
          <w:szCs w:val="16"/>
        </w:rPr>
        <w:t xml:space="preserve"> to remove township trustee from office because trustees unlawfully voted to declare that position vacant when officeholder was on active military service); </w:t>
      </w:r>
      <w:hyperlink r:id="rId1543" w:history="1">
        <w:r w:rsidRPr="00707B4A">
          <w:rPr>
            <w:rStyle w:val="Hyperlink"/>
            <w:i/>
            <w:sz w:val="16"/>
            <w:szCs w:val="16"/>
          </w:rPr>
          <w:t>State ex rel. Newell v. Jackson</w:t>
        </w:r>
      </w:hyperlink>
      <w:r w:rsidRPr="00707B4A">
        <w:rPr>
          <w:sz w:val="16"/>
          <w:szCs w:val="16"/>
        </w:rPr>
        <w:t>, 118 Ohio St.3d 138, 2008-Ohio-1965, ¶ 8-14 (</w:t>
      </w:r>
      <w:r w:rsidR="00A35944">
        <w:rPr>
          <w:sz w:val="16"/>
          <w:szCs w:val="16"/>
        </w:rPr>
        <w:t>t</w:t>
      </w:r>
      <w:r w:rsidRPr="00707B4A">
        <w:rPr>
          <w:sz w:val="16"/>
          <w:szCs w:val="16"/>
        </w:rPr>
        <w:t xml:space="preserve">o be entitled to a writ of </w:t>
      </w:r>
      <w:r w:rsidRPr="00707B4A">
        <w:rPr>
          <w:i/>
          <w:sz w:val="16"/>
          <w:szCs w:val="16"/>
        </w:rPr>
        <w:t>quo warranto</w:t>
      </w:r>
      <w:r w:rsidRPr="00707B4A">
        <w:rPr>
          <w:sz w:val="16"/>
          <w:szCs w:val="16"/>
        </w:rPr>
        <w:t xml:space="preserve"> to oust a good-faith appointee, a relator must either file a </w:t>
      </w:r>
      <w:r w:rsidRPr="00707B4A">
        <w:rPr>
          <w:i/>
          <w:sz w:val="16"/>
          <w:szCs w:val="16"/>
        </w:rPr>
        <w:t>quo warranto</w:t>
      </w:r>
      <w:r w:rsidRPr="00707B4A">
        <w:rPr>
          <w:sz w:val="16"/>
          <w:szCs w:val="16"/>
        </w:rPr>
        <w:t xml:space="preserve"> action or an injunction challenging the appointment before the appointee completes the probationary period and becomes a permanent employee; this duty applies to alleged violations of the </w:t>
      </w:r>
      <w:r w:rsidR="00A35944">
        <w:rPr>
          <w:sz w:val="16"/>
          <w:szCs w:val="16"/>
        </w:rPr>
        <w:t>O</w:t>
      </w:r>
      <w:r w:rsidRPr="00707B4A">
        <w:rPr>
          <w:sz w:val="16"/>
          <w:szCs w:val="16"/>
        </w:rPr>
        <w:t xml:space="preserve">pen </w:t>
      </w:r>
      <w:r w:rsidR="00A35944">
        <w:rPr>
          <w:sz w:val="16"/>
          <w:szCs w:val="16"/>
        </w:rPr>
        <w:t>M</w:t>
      </w:r>
      <w:r w:rsidRPr="00707B4A">
        <w:rPr>
          <w:sz w:val="16"/>
          <w:szCs w:val="16"/>
        </w:rPr>
        <w:t>eeting</w:t>
      </w:r>
      <w:r w:rsidR="00A35944">
        <w:rPr>
          <w:sz w:val="16"/>
          <w:szCs w:val="16"/>
        </w:rPr>
        <w:t>s</w:t>
      </w:r>
      <w:r w:rsidRPr="00707B4A">
        <w:rPr>
          <w:sz w:val="16"/>
          <w:szCs w:val="16"/>
        </w:rPr>
        <w:t xml:space="preserve"> </w:t>
      </w:r>
      <w:r w:rsidR="00A35944">
        <w:rPr>
          <w:sz w:val="16"/>
          <w:szCs w:val="16"/>
        </w:rPr>
        <w:t>Act</w:t>
      </w:r>
      <w:r w:rsidRPr="00707B4A">
        <w:rPr>
          <w:sz w:val="16"/>
          <w:szCs w:val="16"/>
        </w:rPr>
        <w:t xml:space="preserve">); </w:t>
      </w:r>
      <w:hyperlink r:id="rId1544" w:history="1">
        <w:r w:rsidRPr="00707B4A">
          <w:rPr>
            <w:rStyle w:val="Hyperlink"/>
            <w:i/>
            <w:sz w:val="16"/>
            <w:szCs w:val="16"/>
          </w:rPr>
          <w:t>Randles v. Hill</w:t>
        </w:r>
      </w:hyperlink>
      <w:r w:rsidRPr="00707B4A">
        <w:rPr>
          <w:sz w:val="16"/>
          <w:szCs w:val="16"/>
        </w:rPr>
        <w:t xml:space="preserve">, 66 Ohio St.3d 32 (1993) (granting writ of </w:t>
      </w:r>
      <w:r w:rsidRPr="00707B4A">
        <w:rPr>
          <w:i/>
          <w:sz w:val="16"/>
          <w:szCs w:val="16"/>
        </w:rPr>
        <w:t>quo warranto</w:t>
      </w:r>
      <w:r w:rsidRPr="00707B4A">
        <w:rPr>
          <w:sz w:val="16"/>
          <w:szCs w:val="16"/>
        </w:rPr>
        <w:t xml:space="preserve"> reinstating petitioner when vote to remove him was made at a meeting where the public was inadvertently excluded); </w:t>
      </w:r>
      <w:r w:rsidRPr="00707B4A">
        <w:rPr>
          <w:i/>
          <w:sz w:val="16"/>
          <w:szCs w:val="16"/>
        </w:rPr>
        <w:t>McClarren v. Alliance</w:t>
      </w:r>
      <w:r w:rsidRPr="00707B4A">
        <w:rPr>
          <w:sz w:val="16"/>
          <w:szCs w:val="16"/>
        </w:rPr>
        <w:t>, 5th Dist. Stark No. CA-7201, 1987 Ohio App. LEXIS 9211 (Oct. 13, 1987) (finding that an injunction must be issued upon the finding of a violation to allow for removal from office after any future knowing violation).</w:t>
      </w:r>
    </w:p>
  </w:endnote>
  <w:endnote w:id="1174">
    <w:p w14:paraId="610A092E" w14:textId="3F753B9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45" w:history="1">
        <w:r w:rsidRPr="00707B4A">
          <w:rPr>
            <w:rStyle w:val="Hyperlink"/>
            <w:sz w:val="16"/>
            <w:szCs w:val="16"/>
          </w:rPr>
          <w:t>R.C. 121.22(H)</w:t>
        </w:r>
      </w:hyperlink>
      <w:r w:rsidR="00FF6767" w:rsidRPr="00707B4A">
        <w:rPr>
          <w:sz w:val="16"/>
          <w:szCs w:val="16"/>
        </w:rPr>
        <w:t>.</w:t>
      </w:r>
    </w:p>
  </w:endnote>
  <w:endnote w:id="1175">
    <w:p w14:paraId="590F01C0" w14:textId="33DB2EE3"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Jones v. Brookfield Twp. Trustees</w:t>
      </w:r>
      <w:r w:rsidRPr="00707B4A">
        <w:rPr>
          <w:sz w:val="16"/>
          <w:szCs w:val="16"/>
        </w:rPr>
        <w:t xml:space="preserve">, 11th Dist. Trumbull No. 92-T-4692, 1995 Ohio App. LEXIS 2805 (June 30, 1995); </w:t>
      </w:r>
      <w:r w:rsidRPr="00707B4A">
        <w:rPr>
          <w:i/>
          <w:sz w:val="16"/>
          <w:szCs w:val="16"/>
        </w:rPr>
        <w:t>Roberto v. Brown Cty. Gen. Hosp.</w:t>
      </w:r>
      <w:r w:rsidRPr="00707B4A">
        <w:rPr>
          <w:sz w:val="16"/>
          <w:szCs w:val="16"/>
        </w:rPr>
        <w:t>, 12th Dist. Brown No. CA87-06-009, 1988 Ohio App. LEXIS 372 (Feb. 8, 1988).</w:t>
      </w:r>
    </w:p>
  </w:endnote>
  <w:endnote w:id="1176">
    <w:p w14:paraId="2FC30D00" w14:textId="0701DCB5"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Roberto v. Brown Cty. Gen. Hosp.</w:t>
      </w:r>
      <w:r w:rsidRPr="00707B4A">
        <w:rPr>
          <w:sz w:val="16"/>
          <w:szCs w:val="16"/>
        </w:rPr>
        <w:t>, 12th Dist. Brown No. CA87-06-009, 1988 Ohio App. LEXIS 372 (Feb. 8, 1988).</w:t>
      </w:r>
    </w:p>
  </w:endnote>
  <w:endnote w:id="1177">
    <w:p w14:paraId="68D68234" w14:textId="529AF1C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546" w:history="1">
        <w:r w:rsidRPr="00707B4A">
          <w:rPr>
            <w:rStyle w:val="Hyperlink"/>
            <w:sz w:val="16"/>
            <w:szCs w:val="16"/>
          </w:rPr>
          <w:t xml:space="preserve"> R.C. 121.22(A), (C), and (H)</w:t>
        </w:r>
      </w:hyperlink>
      <w:r w:rsidRPr="00707B4A">
        <w:rPr>
          <w:sz w:val="16"/>
          <w:szCs w:val="16"/>
        </w:rPr>
        <w:t>.</w:t>
      </w:r>
    </w:p>
  </w:endnote>
  <w:endnote w:id="1178">
    <w:p w14:paraId="084DF07E" w14:textId="6AB2D11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47" w:history="1">
        <w:r w:rsidRPr="00707B4A">
          <w:rPr>
            <w:rStyle w:val="Hyperlink"/>
            <w:i/>
            <w:sz w:val="16"/>
            <w:szCs w:val="16"/>
          </w:rPr>
          <w:t>Piekutowski v. S. Cent. Ohio Edn. Serv. Ctr. Governing Bd.</w:t>
        </w:r>
      </w:hyperlink>
      <w:r w:rsidRPr="00707B4A">
        <w:rPr>
          <w:sz w:val="16"/>
          <w:szCs w:val="16"/>
        </w:rPr>
        <w:t xml:space="preserve">, 161 Ohio App.3d 372, 2005-Ohio-2868, ¶ 19 (4th Dist.) (finding that resolution to adopt proposal was invalid; even though it was adopted in open session, board members gave personal opinions and indicated how they would vote in resolution in an executive session); </w:t>
      </w:r>
      <w:hyperlink r:id="rId1548" w:history="1">
        <w:r w:rsidRPr="00707B4A">
          <w:rPr>
            <w:rStyle w:val="Hyperlink"/>
            <w:i/>
            <w:sz w:val="16"/>
            <w:szCs w:val="16"/>
          </w:rPr>
          <w:t>Keystone Commt. v. Switzerland of Ohio School Dist. Bd. of Edn.</w:t>
        </w:r>
      </w:hyperlink>
      <w:r w:rsidRPr="00707B4A">
        <w:rPr>
          <w:sz w:val="16"/>
          <w:szCs w:val="16"/>
        </w:rPr>
        <w:t xml:space="preserve">, 7th Dist. Monroe No. 15 MO 0011, 2016-Ohio-4663, ¶ 37-39 (finding an attempt to “cure” a violation “with an open vote that immediately followed presentations and discussions held behind closed doors in executive sessions is exactly the type of conduct the Act seeks to prohibit”); </w:t>
      </w:r>
      <w:hyperlink r:id="rId1549" w:history="1">
        <w:r w:rsidRPr="00707B4A">
          <w:rPr>
            <w:rStyle w:val="Hyperlink"/>
            <w:i/>
            <w:sz w:val="16"/>
            <w:szCs w:val="16"/>
          </w:rPr>
          <w:t>Mathews v. E. Local School Dist.</w:t>
        </w:r>
      </w:hyperlink>
      <w:r w:rsidRPr="00707B4A">
        <w:rPr>
          <w:sz w:val="16"/>
          <w:szCs w:val="16"/>
        </w:rPr>
        <w:t xml:space="preserve">, 4th Dist. Pike No. 00CA647, 2001 Ohio App. LEXIS 1677 (Jan. 4, 2001) (board was permitted to discuss employee grievance in executive session, but was required to take formal action by voting in an open meeting); </w:t>
      </w:r>
      <w:r w:rsidRPr="00707B4A">
        <w:rPr>
          <w:i/>
          <w:sz w:val="16"/>
          <w:szCs w:val="16"/>
        </w:rPr>
        <w:t>State ex rel. Kinsley v. Berea Bd. of Edn.</w:t>
      </w:r>
      <w:r w:rsidRPr="00707B4A">
        <w:rPr>
          <w:sz w:val="16"/>
          <w:szCs w:val="16"/>
        </w:rPr>
        <w:t>, 64 Ohio App.3d 659, 664 (8th Dist. 1990) (once a conclusion is reached regarding pending or imminent litigation, the conclusion is to be made public, even though the deliberations leading to the conclusion were private).</w:t>
      </w:r>
    </w:p>
  </w:endnote>
  <w:endnote w:id="1179">
    <w:p w14:paraId="310FBEF5" w14:textId="690D5279"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0" w:history="1">
        <w:r w:rsidRPr="00707B4A">
          <w:rPr>
            <w:rStyle w:val="Hyperlink"/>
            <w:sz w:val="16"/>
            <w:szCs w:val="16"/>
          </w:rPr>
          <w:t>R.C. 121.22(H)</w:t>
        </w:r>
      </w:hyperlink>
      <w:r w:rsidRPr="00707B4A">
        <w:rPr>
          <w:sz w:val="16"/>
          <w:szCs w:val="16"/>
        </w:rPr>
        <w:t>;</w:t>
      </w:r>
      <w:r w:rsidRPr="00707B4A">
        <w:rPr>
          <w:bCs/>
          <w:i/>
          <w:sz w:val="16"/>
          <w:szCs w:val="16"/>
        </w:rPr>
        <w:t xml:space="preserve"> </w:t>
      </w:r>
      <w:hyperlink r:id="rId1551" w:history="1">
        <w:r w:rsidRPr="00707B4A">
          <w:rPr>
            <w:rStyle w:val="Hyperlink"/>
            <w:bCs/>
            <w:i/>
            <w:sz w:val="16"/>
            <w:szCs w:val="16"/>
          </w:rPr>
          <w:t>Keystone Commt. v. Switzerland of Ohio School Dist. Bd. of Edn.</w:t>
        </w:r>
      </w:hyperlink>
      <w:r w:rsidRPr="00707B4A">
        <w:rPr>
          <w:bCs/>
          <w:sz w:val="16"/>
          <w:szCs w:val="16"/>
        </w:rPr>
        <w:t>, 7th Dist. Monroe No. 15 MO 0011, 2016-Ohio-4663, ¶ 30-31 (action by the public body that resulted from improper discussion in executive session was invalid);</w:t>
      </w:r>
      <w:r w:rsidRPr="00707B4A">
        <w:rPr>
          <w:sz w:val="16"/>
          <w:szCs w:val="16"/>
        </w:rPr>
        <w:t xml:space="preserve"> </w:t>
      </w:r>
      <w:r w:rsidRPr="00707B4A">
        <w:rPr>
          <w:i/>
          <w:sz w:val="16"/>
          <w:szCs w:val="16"/>
        </w:rPr>
        <w:t xml:space="preserve">Mansfield City Council v. Richland Cty. Council AFL-CIO, </w:t>
      </w:r>
      <w:r w:rsidRPr="00707B4A">
        <w:rPr>
          <w:sz w:val="16"/>
          <w:szCs w:val="16"/>
        </w:rPr>
        <w:t>5th Dist. Richland No. 03 CA 55, 2003 Ohio App. LEXIS 6654 (Dec. 24, 2003) (finding council reached its conclusion based on comments in executive session and acted according to that conclusion)</w:t>
      </w:r>
      <w:r w:rsidR="00FF6767" w:rsidRPr="00707B4A">
        <w:rPr>
          <w:sz w:val="16"/>
          <w:szCs w:val="16"/>
        </w:rPr>
        <w:t>.</w:t>
      </w:r>
    </w:p>
  </w:endnote>
  <w:endnote w:id="1180">
    <w:p w14:paraId="441D84C9" w14:textId="2E2D6C04"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Mansfield City Council v. Richland Cty. Council AFL-CIO</w:t>
      </w:r>
      <w:r w:rsidRPr="00707B4A">
        <w:rPr>
          <w:sz w:val="16"/>
          <w:szCs w:val="16"/>
        </w:rPr>
        <w:t>, 5th Dist. Richland No. 03 CA 55, 2003 Ohio App. LEXIS 6654 (Dec. 24, 2003).</w:t>
      </w:r>
    </w:p>
  </w:endnote>
  <w:endnote w:id="1181">
    <w:p w14:paraId="3B7BED4F" w14:textId="2BDABB10"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2" w:history="1">
        <w:r w:rsidRPr="00707B4A">
          <w:rPr>
            <w:rStyle w:val="Hyperlink"/>
            <w:sz w:val="16"/>
            <w:szCs w:val="16"/>
          </w:rPr>
          <w:t>R.C. 121.22(H)</w:t>
        </w:r>
      </w:hyperlink>
      <w:r w:rsidR="00FF6767" w:rsidRPr="00707B4A">
        <w:rPr>
          <w:sz w:val="16"/>
          <w:szCs w:val="16"/>
        </w:rPr>
        <w:t>.</w:t>
      </w:r>
      <w:r w:rsidRPr="00707B4A">
        <w:rPr>
          <w:sz w:val="16"/>
          <w:szCs w:val="16"/>
        </w:rPr>
        <w:t xml:space="preserve"> </w:t>
      </w:r>
      <w:r w:rsidRPr="00707B4A">
        <w:rPr>
          <w:i/>
          <w:sz w:val="16"/>
          <w:szCs w:val="16"/>
        </w:rPr>
        <w:t>But see Hoops v. Jerusalem Twp. Bd. of Trustees</w:t>
      </w:r>
      <w:r w:rsidRPr="00707B4A">
        <w:rPr>
          <w:sz w:val="16"/>
          <w:szCs w:val="16"/>
        </w:rPr>
        <w:t xml:space="preserve">, 6th Dist. Lucas No. L-97-1240, 1998 Ohio App. LEXIS 1496, *10-11 (Apr. 10, 1998) (illustrating that actions are not invalid merely because a reasonable method of notice had not been enacted by “rule”); </w:t>
      </w:r>
      <w:hyperlink r:id="rId1553" w:history="1">
        <w:r w:rsidRPr="00707B4A">
          <w:rPr>
            <w:rStyle w:val="Hyperlink"/>
            <w:bCs/>
            <w:i/>
            <w:sz w:val="16"/>
            <w:szCs w:val="16"/>
          </w:rPr>
          <w:t>Keystone Commt. v. Switzerland of Ohio School Dist. Bd. of Edn.</w:t>
        </w:r>
      </w:hyperlink>
      <w:r w:rsidRPr="00707B4A">
        <w:rPr>
          <w:bCs/>
          <w:sz w:val="16"/>
          <w:szCs w:val="16"/>
        </w:rPr>
        <w:t xml:space="preserve">, 7th Dist. Monroe No. 15 MO 0011, 2016-Ohio-4663, ¶ 35-36 (finding notice of special meeting “to discuss the 2015-2016 school year” was not specific enough to meeting’s purpose to discuss a school closure); </w:t>
      </w:r>
      <w:r w:rsidRPr="00707B4A">
        <w:rPr>
          <w:i/>
          <w:sz w:val="16"/>
          <w:szCs w:val="16"/>
        </w:rPr>
        <w:t>Barbeck v. Twinsburg Twp.</w:t>
      </w:r>
      <w:r w:rsidRPr="00707B4A">
        <w:rPr>
          <w:sz w:val="16"/>
          <w:szCs w:val="16"/>
        </w:rPr>
        <w:t xml:space="preserve">, 73 Ohio App.3d 587 (9th Dist. 1992); </w:t>
      </w:r>
      <w:hyperlink r:id="rId1554" w:history="1">
        <w:r w:rsidRPr="00707B4A">
          <w:rPr>
            <w:rStyle w:val="Hyperlink"/>
            <w:i/>
            <w:sz w:val="16"/>
            <w:szCs w:val="16"/>
          </w:rPr>
          <w:t>Huth v. Bolivar</w:t>
        </w:r>
      </w:hyperlink>
      <w:r w:rsidRPr="00707B4A">
        <w:rPr>
          <w:sz w:val="16"/>
          <w:szCs w:val="16"/>
        </w:rPr>
        <w:t xml:space="preserve">, 5th Dist. Tuscarawas No. 2014 AP 02 0005, 2014-Ohio-4889, </w:t>
      </w:r>
      <w:r w:rsidRPr="00707B4A">
        <w:rPr>
          <w:rFonts w:cs="Calibri"/>
          <w:sz w:val="16"/>
          <w:szCs w:val="16"/>
        </w:rPr>
        <w:t>¶</w:t>
      </w:r>
      <w:r w:rsidRPr="00707B4A">
        <w:rPr>
          <w:sz w:val="16"/>
          <w:szCs w:val="16"/>
        </w:rPr>
        <w:t xml:space="preserve"> 20-23 (holding that, even if notice was flawed, the second reading of a proposed ordinance was not “formal action”).</w:t>
      </w:r>
    </w:p>
  </w:endnote>
  <w:endnote w:id="1182">
    <w:p w14:paraId="267B1866" w14:textId="0FDAD72D" w:rsidR="002F23BE" w:rsidRPr="00707B4A" w:rsidRDefault="002F23BE" w:rsidP="00707B4A">
      <w:pPr>
        <w:pStyle w:val="EndnoteTex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Davidson v. Hanging Rock</w:t>
      </w:r>
      <w:r w:rsidRPr="00707B4A">
        <w:rPr>
          <w:sz w:val="16"/>
          <w:szCs w:val="16"/>
        </w:rPr>
        <w:t>, 97 Ohio App.3d 723, 733 (4th Dist. 1994).</w:t>
      </w:r>
    </w:p>
  </w:endnote>
  <w:endnote w:id="1183">
    <w:p w14:paraId="1C4BC4D2" w14:textId="77777777"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r w:rsidRPr="00707B4A">
        <w:rPr>
          <w:i/>
          <w:sz w:val="16"/>
          <w:szCs w:val="16"/>
        </w:rPr>
        <w:t>Davidson v. Hanging Rock</w:t>
      </w:r>
      <w:r w:rsidRPr="00707B4A">
        <w:rPr>
          <w:sz w:val="16"/>
          <w:szCs w:val="16"/>
        </w:rPr>
        <w:t>, 97 Ohio App.3d 723, 733 (4th Dist. 1994).</w:t>
      </w:r>
    </w:p>
  </w:endnote>
  <w:endnote w:id="1184">
    <w:p w14:paraId="21CA6CF4" w14:textId="3382B301"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5" w:history="1">
        <w:r w:rsidRPr="00707B4A">
          <w:rPr>
            <w:rStyle w:val="Hyperlink"/>
            <w:sz w:val="16"/>
            <w:szCs w:val="16"/>
          </w:rPr>
          <w:t>R.C. 121.22(I)(2)(a)</w:t>
        </w:r>
      </w:hyperlink>
      <w:r w:rsidRPr="00707B4A">
        <w:rPr>
          <w:sz w:val="16"/>
          <w:szCs w:val="16"/>
        </w:rPr>
        <w:t xml:space="preserve">.  </w:t>
      </w:r>
      <w:r w:rsidRPr="00707B4A">
        <w:rPr>
          <w:i/>
          <w:sz w:val="16"/>
          <w:szCs w:val="16"/>
        </w:rPr>
        <w:t>But see</w:t>
      </w:r>
      <w:r w:rsidRPr="00707B4A">
        <w:rPr>
          <w:sz w:val="16"/>
          <w:szCs w:val="16"/>
        </w:rPr>
        <w:t xml:space="preserve"> </w:t>
      </w:r>
      <w:hyperlink r:id="rId1556" w:history="1">
        <w:r w:rsidRPr="00707B4A">
          <w:rPr>
            <w:rStyle w:val="Hyperlink"/>
            <w:i/>
            <w:sz w:val="16"/>
            <w:szCs w:val="16"/>
          </w:rPr>
          <w:t>State ex rel. Dunlap v. Violet Twp. Bd. of Trustees</w:t>
        </w:r>
      </w:hyperlink>
      <w:r w:rsidRPr="00707B4A">
        <w:rPr>
          <w:sz w:val="16"/>
          <w:szCs w:val="16"/>
        </w:rPr>
        <w:t>, 5th Dist. Fairfield No. 12-CA-8, 2013-Ohio-2295, ¶ 32 (2013) (declining to award civil forfeiture damages and attorney fees when case was filed as mandamus action in the court of appeals instead of a request for an injunction in the court of common pleas).</w:t>
      </w:r>
    </w:p>
  </w:endnote>
  <w:endnote w:id="1185">
    <w:p w14:paraId="6DC29D1C" w14:textId="1888DD36"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57" w:history="1">
        <w:r w:rsidRPr="00707B4A">
          <w:rPr>
            <w:rStyle w:val="Hyperlink"/>
            <w:i/>
            <w:sz w:val="16"/>
            <w:szCs w:val="16"/>
          </w:rPr>
          <w:t>Specht v. Finnegan</w:t>
        </w:r>
      </w:hyperlink>
      <w:r w:rsidRPr="00707B4A">
        <w:rPr>
          <w:sz w:val="16"/>
          <w:szCs w:val="16"/>
        </w:rPr>
        <w:t xml:space="preserve">, 6th Dist. Lucas No. 2-02-1012, 2002-Ohio-4660; </w:t>
      </w:r>
      <w:r w:rsidRPr="00707B4A">
        <w:rPr>
          <w:i/>
          <w:sz w:val="16"/>
          <w:szCs w:val="16"/>
        </w:rPr>
        <w:t>Manogg v. Stickle</w:t>
      </w:r>
      <w:r w:rsidRPr="00707B4A">
        <w:rPr>
          <w:sz w:val="16"/>
          <w:szCs w:val="16"/>
        </w:rPr>
        <w:t xml:space="preserve">, 5th Dist. Licking No. 98CA00102, 1999 Ohio App. LEXIS 1488 (Mar. 15, 1999); </w:t>
      </w:r>
      <w:hyperlink r:id="rId1558" w:history="1">
        <w:r w:rsidRPr="00707B4A">
          <w:rPr>
            <w:rStyle w:val="Hyperlink"/>
            <w:i/>
            <w:sz w:val="16"/>
            <w:szCs w:val="16"/>
          </w:rPr>
          <w:t>Weisbarth v. Geauga Park Dist</w:t>
        </w:r>
      </w:hyperlink>
      <w:r w:rsidRPr="00707B4A">
        <w:rPr>
          <w:i/>
          <w:sz w:val="16"/>
          <w:szCs w:val="16"/>
        </w:rPr>
        <w:t>.</w:t>
      </w:r>
      <w:r w:rsidRPr="00707B4A">
        <w:rPr>
          <w:sz w:val="16"/>
          <w:szCs w:val="16"/>
        </w:rPr>
        <w:t xml:space="preserve">, 11th Dist. No. 2007-G-2780, 2007-Ohio-6728, ¶ 30 (holding that the only violation alleged was board’s failure to state a precise statutory reason for going into executive session and that this “‘technical’ violation entitled appellant to only one statutory injunction and one civil forfeiture”); </w:t>
      </w:r>
      <w:hyperlink r:id="rId1559" w:history="1">
        <w:r w:rsidRPr="00707B4A">
          <w:rPr>
            <w:rStyle w:val="Hyperlink"/>
            <w:i/>
            <w:sz w:val="16"/>
            <w:szCs w:val="16"/>
          </w:rPr>
          <w:t>Maddox v. Greene Cty. Children Servs. Bd</w:t>
        </w:r>
        <w:r w:rsidRPr="00707B4A">
          <w:rPr>
            <w:rStyle w:val="Hyperlink"/>
            <w:sz w:val="16"/>
            <w:szCs w:val="16"/>
          </w:rPr>
          <w:t>.</w:t>
        </w:r>
      </w:hyperlink>
      <w:r w:rsidRPr="00707B4A">
        <w:rPr>
          <w:sz w:val="16"/>
          <w:szCs w:val="16"/>
        </w:rPr>
        <w:t xml:space="preserve">, 2d Dist. Greene No. 2013 CA 38, 2014-Ohio-2312, ¶ 40-51 (stacking forfeitures for certain violations but not others).  </w:t>
      </w:r>
      <w:r w:rsidRPr="00707B4A">
        <w:rPr>
          <w:i/>
          <w:sz w:val="16"/>
          <w:szCs w:val="16"/>
        </w:rPr>
        <w:t xml:space="preserve">But see </w:t>
      </w:r>
      <w:hyperlink r:id="rId1560" w:history="1">
        <w:r w:rsidRPr="00707B4A">
          <w:rPr>
            <w:rStyle w:val="Hyperlink"/>
            <w:i/>
            <w:sz w:val="16"/>
            <w:szCs w:val="16"/>
          </w:rPr>
          <w:t>Doran v. Northmont Bd. of Edn.</w:t>
        </w:r>
      </w:hyperlink>
      <w:r w:rsidRPr="00707B4A">
        <w:rPr>
          <w:sz w:val="16"/>
          <w:szCs w:val="16"/>
        </w:rPr>
        <w:t>, 2d Dist. Montgomery No. 19956, 2003-Ohio-7097, ¶ 18, n.3 (determining that the failure to adopt rule is one violation with one $500 fine</w:t>
      </w:r>
      <w:r w:rsidR="00A35944">
        <w:rPr>
          <w:sz w:val="16"/>
          <w:szCs w:val="16"/>
        </w:rPr>
        <w:t>;</w:t>
      </w:r>
      <w:r w:rsidRPr="00707B4A">
        <w:rPr>
          <w:sz w:val="16"/>
          <w:szCs w:val="16"/>
        </w:rPr>
        <w:t xml:space="preserve"> fine </w:t>
      </w:r>
      <w:r w:rsidR="00A35944">
        <w:rPr>
          <w:sz w:val="16"/>
          <w:szCs w:val="16"/>
        </w:rPr>
        <w:t xml:space="preserve">is </w:t>
      </w:r>
      <w:r w:rsidRPr="00707B4A">
        <w:rPr>
          <w:sz w:val="16"/>
          <w:szCs w:val="16"/>
        </w:rPr>
        <w:t>not assessed for each meeting conducted in absence of rule where meetings were, in fact, properly noticed and held in an open forum).</w:t>
      </w:r>
    </w:p>
  </w:endnote>
  <w:endnote w:id="1186">
    <w:p w14:paraId="720CD814" w14:textId="3A4A716A"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1" w:history="1">
        <w:r w:rsidRPr="001D5D57">
          <w:rPr>
            <w:rStyle w:val="Hyperlink"/>
            <w:i/>
            <w:sz w:val="16"/>
            <w:szCs w:val="16"/>
          </w:rPr>
          <w:t xml:space="preserve">Ames v. Rootstown Twp. Bd. </w:t>
        </w:r>
        <w:r w:rsidR="001D5D57" w:rsidRPr="001D5D57">
          <w:rPr>
            <w:rStyle w:val="Hyperlink"/>
            <w:i/>
            <w:sz w:val="16"/>
            <w:szCs w:val="16"/>
          </w:rPr>
          <w:t>o</w:t>
        </w:r>
        <w:r w:rsidRPr="001D5D57">
          <w:rPr>
            <w:rStyle w:val="Hyperlink"/>
            <w:i/>
            <w:sz w:val="16"/>
            <w:szCs w:val="16"/>
          </w:rPr>
          <w:t>f Trustees</w:t>
        </w:r>
      </w:hyperlink>
      <w:r w:rsidRPr="00707B4A">
        <w:rPr>
          <w:i/>
          <w:sz w:val="16"/>
          <w:szCs w:val="16"/>
        </w:rPr>
        <w:t xml:space="preserve">, </w:t>
      </w:r>
      <w:r w:rsidR="00FF6767" w:rsidRPr="00707B4A">
        <w:rPr>
          <w:sz w:val="16"/>
          <w:szCs w:val="16"/>
        </w:rPr>
        <w:t xml:space="preserve">172 Ohio St.3d 1, </w:t>
      </w:r>
      <w:r w:rsidRPr="00707B4A">
        <w:rPr>
          <w:sz w:val="16"/>
          <w:szCs w:val="16"/>
        </w:rPr>
        <w:t>2022-Ohio-4605</w:t>
      </w:r>
      <w:r w:rsidR="00FF6767" w:rsidRPr="00707B4A">
        <w:rPr>
          <w:sz w:val="16"/>
          <w:szCs w:val="16"/>
        </w:rPr>
        <w:t>,</w:t>
      </w:r>
      <w:r w:rsidRPr="00707B4A">
        <w:rPr>
          <w:sz w:val="16"/>
          <w:szCs w:val="16"/>
        </w:rPr>
        <w:t xml:space="preserve"> ¶ 21.</w:t>
      </w:r>
    </w:p>
  </w:endnote>
  <w:endnote w:id="1187">
    <w:p w14:paraId="5E123E85" w14:textId="20078FDB"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2" w:history="1">
        <w:r w:rsidRPr="00707B4A">
          <w:rPr>
            <w:rStyle w:val="Hyperlink"/>
            <w:sz w:val="16"/>
            <w:szCs w:val="16"/>
          </w:rPr>
          <w:t>R.C. 121.22(I)(2)(a).</w:t>
        </w:r>
      </w:hyperlink>
    </w:p>
  </w:endnote>
  <w:endnote w:id="1188">
    <w:p w14:paraId="7CF55E30" w14:textId="114217CF" w:rsidR="002F23BE" w:rsidRPr="00707B4A" w:rsidRDefault="002F23BE" w:rsidP="001D5D57">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3" w:history="1">
        <w:r w:rsidRPr="00707B4A">
          <w:rPr>
            <w:rStyle w:val="Hyperlink"/>
            <w:sz w:val="16"/>
            <w:szCs w:val="16"/>
          </w:rPr>
          <w:t>R.C. 121.22(I)(2)(a)</w:t>
        </w:r>
      </w:hyperlink>
      <w:r w:rsidRPr="00707B4A">
        <w:rPr>
          <w:sz w:val="16"/>
          <w:szCs w:val="16"/>
        </w:rPr>
        <w:t xml:space="preserve">; </w:t>
      </w:r>
      <w:hyperlink r:id="rId1564" w:history="1">
        <w:r w:rsidRPr="00707B4A">
          <w:rPr>
            <w:rStyle w:val="Hyperlink"/>
            <w:i/>
            <w:sz w:val="16"/>
            <w:szCs w:val="16"/>
          </w:rPr>
          <w:t>State ex rel. Long v. Cardington Village Council</w:t>
        </w:r>
      </w:hyperlink>
      <w:r w:rsidRPr="00707B4A">
        <w:rPr>
          <w:sz w:val="16"/>
          <w:szCs w:val="16"/>
        </w:rPr>
        <w:t>, 92 Ohio St.3d 54, 60 (2001) and 93 Ohio St.3d 1230 (</w:t>
      </w:r>
      <w:hyperlink r:id="rId1565" w:history="1">
        <w:r w:rsidRPr="00707B4A">
          <w:rPr>
            <w:rStyle w:val="Hyperlink"/>
            <w:sz w:val="16"/>
            <w:szCs w:val="16"/>
          </w:rPr>
          <w:t>2001</w:t>
        </w:r>
      </w:hyperlink>
      <w:r w:rsidRPr="00707B4A">
        <w:rPr>
          <w:sz w:val="16"/>
          <w:szCs w:val="16"/>
        </w:rPr>
        <w:t xml:space="preserve">) (awarding a citizen over $17,000 in attorney fees); </w:t>
      </w:r>
      <w:hyperlink r:id="rId1566" w:history="1">
        <w:r w:rsidRPr="00707B4A">
          <w:rPr>
            <w:rStyle w:val="Hyperlink"/>
            <w:i/>
            <w:sz w:val="16"/>
            <w:szCs w:val="16"/>
          </w:rPr>
          <w:t>Maddox v. Greene Cty. Children Servs. Bd. of Dirs.</w:t>
        </w:r>
      </w:hyperlink>
      <w:r w:rsidRPr="00707B4A">
        <w:rPr>
          <w:i/>
          <w:sz w:val="16"/>
          <w:szCs w:val="16"/>
        </w:rPr>
        <w:t xml:space="preserve">, </w:t>
      </w:r>
      <w:r w:rsidRPr="00707B4A">
        <w:rPr>
          <w:sz w:val="16"/>
          <w:szCs w:val="16"/>
        </w:rPr>
        <w:t xml:space="preserve">2d Dist. Greene No. 2013-CA-38, 2014-Ohio-2312, ¶ 60 (“[T]he OMA is structured such that an injunction follows a violation and attorney fees follow an injunction.”); </w:t>
      </w:r>
      <w:r w:rsidRPr="00707B4A">
        <w:rPr>
          <w:i/>
          <w:sz w:val="16"/>
          <w:szCs w:val="16"/>
        </w:rPr>
        <w:t>But see</w:t>
      </w:r>
      <w:r w:rsidRPr="00707B4A">
        <w:rPr>
          <w:sz w:val="16"/>
          <w:szCs w:val="16"/>
        </w:rPr>
        <w:t xml:space="preserve"> </w:t>
      </w:r>
      <w:hyperlink r:id="rId1567" w:history="1">
        <w:r w:rsidRPr="00707B4A">
          <w:rPr>
            <w:rStyle w:val="Hyperlink"/>
            <w:i/>
            <w:sz w:val="16"/>
            <w:szCs w:val="16"/>
          </w:rPr>
          <w:t>State ex rel. Dunlap v. Violet Twp. Bd. of Trustees</w:t>
        </w:r>
      </w:hyperlink>
      <w:r w:rsidRPr="00707B4A">
        <w:rPr>
          <w:sz w:val="16"/>
          <w:szCs w:val="16"/>
        </w:rPr>
        <w:t>, 5th Dist. Fairfield No. 12-CA-8, 2013-Ohio-2295, ¶ 32 (2013) (declining to award civil forfeiture damages and attorney fees when case was filed as mandamus action in the court of appeals instead of a request for an injunction in the court of common pleas).</w:t>
      </w:r>
    </w:p>
  </w:endnote>
  <w:endnote w:id="1189">
    <w:p w14:paraId="6C2B4A86" w14:textId="16B6CD7D"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68" w:history="1">
        <w:r w:rsidRPr="00707B4A">
          <w:rPr>
            <w:rStyle w:val="Hyperlink"/>
            <w:sz w:val="16"/>
            <w:szCs w:val="16"/>
          </w:rPr>
          <w:t>R.C. 121.22(I)(2)(a)(i), (ii)</w:t>
        </w:r>
      </w:hyperlink>
      <w:r w:rsidRPr="00707B4A">
        <w:rPr>
          <w:sz w:val="16"/>
          <w:szCs w:val="16"/>
        </w:rPr>
        <w:t xml:space="preserve">; </w:t>
      </w:r>
      <w:hyperlink r:id="rId1569" w:history="1">
        <w:r w:rsidRPr="00707B4A">
          <w:rPr>
            <w:rStyle w:val="Hyperlink"/>
            <w:i/>
            <w:sz w:val="16"/>
            <w:szCs w:val="16"/>
          </w:rPr>
          <w:t>Maddox v. Greene Cty. Children Servs. Bd. of Dirs.</w:t>
        </w:r>
      </w:hyperlink>
      <w:r w:rsidRPr="00707B4A">
        <w:rPr>
          <w:sz w:val="16"/>
          <w:szCs w:val="16"/>
        </w:rPr>
        <w:t>,</w:t>
      </w:r>
      <w:r w:rsidRPr="00707B4A">
        <w:rPr>
          <w:i/>
          <w:sz w:val="16"/>
          <w:szCs w:val="16"/>
        </w:rPr>
        <w:t xml:space="preserve"> </w:t>
      </w:r>
      <w:r w:rsidRPr="00707B4A">
        <w:rPr>
          <w:sz w:val="16"/>
          <w:szCs w:val="16"/>
        </w:rPr>
        <w:t>2d Dist. Greene No. 2013-CA-38, 2014-Ohio-2312</w:t>
      </w:r>
      <w:r w:rsidRPr="00707B4A">
        <w:rPr>
          <w:i/>
          <w:sz w:val="16"/>
          <w:szCs w:val="16"/>
        </w:rPr>
        <w:t xml:space="preserve">, </w:t>
      </w:r>
      <w:r w:rsidRPr="00707B4A">
        <w:rPr>
          <w:sz w:val="16"/>
          <w:szCs w:val="16"/>
        </w:rPr>
        <w:t>¶ 61-62 (trial court could reasonably conclude that a well-informed public body would know that it must be specific when giving a reason for executive session, and that it cannot vote in executive session);</w:t>
      </w:r>
      <w:r w:rsidRPr="00707B4A">
        <w:rPr>
          <w:i/>
          <w:sz w:val="16"/>
          <w:szCs w:val="16"/>
        </w:rPr>
        <w:t xml:space="preserve"> Mathews v. E. Local School Dist.,</w:t>
      </w:r>
      <w:r w:rsidRPr="00707B4A">
        <w:rPr>
          <w:sz w:val="16"/>
          <w:szCs w:val="16"/>
        </w:rPr>
        <w:t xml:space="preserve"> 4th Dist. Pike No. 00CA647, 2001 Ohio App. LEXIS 1677 (Jan. 4, 2001) (</w:t>
      </w:r>
      <w:r w:rsidR="00FF6767" w:rsidRPr="00707B4A">
        <w:rPr>
          <w:sz w:val="16"/>
          <w:szCs w:val="16"/>
        </w:rPr>
        <w:t>the board was not entitled to reduction when two b</w:t>
      </w:r>
      <w:r w:rsidRPr="00707B4A">
        <w:rPr>
          <w:sz w:val="16"/>
          <w:szCs w:val="16"/>
        </w:rPr>
        <w:t xml:space="preserve">oard members knew not to take formal action during executive session); </w:t>
      </w:r>
      <w:hyperlink r:id="rId1570" w:history="1">
        <w:r w:rsidRPr="00934954">
          <w:rPr>
            <w:rStyle w:val="Hyperlink"/>
            <w:i/>
            <w:sz w:val="16"/>
            <w:szCs w:val="16"/>
          </w:rPr>
          <w:t xml:space="preserve">State ex rel. Jones v. Bd. </w:t>
        </w:r>
        <w:r w:rsidR="001D5D57" w:rsidRPr="00934954">
          <w:rPr>
            <w:rStyle w:val="Hyperlink"/>
            <w:i/>
            <w:sz w:val="16"/>
            <w:szCs w:val="16"/>
          </w:rPr>
          <w:t>o</w:t>
        </w:r>
        <w:r w:rsidRPr="00934954">
          <w:rPr>
            <w:rStyle w:val="Hyperlink"/>
            <w:i/>
            <w:sz w:val="16"/>
            <w:szCs w:val="16"/>
          </w:rPr>
          <w:t>f Edn.</w:t>
        </w:r>
        <w:r w:rsidR="00561EB5">
          <w:rPr>
            <w:rStyle w:val="Hyperlink"/>
            <w:i/>
            <w:sz w:val="16"/>
            <w:szCs w:val="16"/>
          </w:rPr>
          <w:t xml:space="preserve"> </w:t>
        </w:r>
        <w:r w:rsidRPr="00934954">
          <w:rPr>
            <w:rStyle w:val="Hyperlink"/>
            <w:i/>
            <w:sz w:val="16"/>
            <w:szCs w:val="16"/>
          </w:rPr>
          <w:t>of Dayton Pub. Schs</w:t>
        </w:r>
      </w:hyperlink>
      <w:r w:rsidRPr="00707B4A">
        <w:rPr>
          <w:i/>
          <w:sz w:val="16"/>
          <w:szCs w:val="16"/>
        </w:rPr>
        <w:t>.,</w:t>
      </w:r>
      <w:r w:rsidRPr="00707B4A">
        <w:rPr>
          <w:sz w:val="16"/>
          <w:szCs w:val="16"/>
        </w:rPr>
        <w:t xml:space="preserve"> 2d Dist. Montgomery No. 28637, 2020-Ohio-4931, ¶ 61-62, 71 (</w:t>
      </w:r>
      <w:r w:rsidR="00FF6767" w:rsidRPr="00707B4A">
        <w:rPr>
          <w:sz w:val="16"/>
          <w:szCs w:val="16"/>
        </w:rPr>
        <w:t>awarding attorney fees because</w:t>
      </w:r>
      <w:r w:rsidRPr="00707B4A">
        <w:rPr>
          <w:sz w:val="16"/>
          <w:szCs w:val="16"/>
        </w:rPr>
        <w:t xml:space="preserve"> no well-informed board would believe it could publish a misleading notice of a special meeting or alter a published agenda after meeting; whether public body’s actions were “egregious” or benefited the public is irrelevant)</w:t>
      </w:r>
      <w:r w:rsidRPr="00707B4A">
        <w:rPr>
          <w:rFonts w:cs="Aharoni"/>
          <w:sz w:val="16"/>
          <w:szCs w:val="16"/>
        </w:rPr>
        <w:t>.</w:t>
      </w:r>
    </w:p>
  </w:endnote>
  <w:endnote w:id="1190">
    <w:p w14:paraId="53D6F6E2" w14:textId="0218C75E" w:rsidR="002F23BE" w:rsidRPr="00707B4A" w:rsidRDefault="002F23BE" w:rsidP="00707B4A">
      <w:pPr>
        <w:pStyle w:val="EndnoteText"/>
        <w:spacing w:line="160" w:lineRule="exact"/>
        <w:jc w:val="both"/>
        <w:rPr>
          <w:sz w:val="16"/>
          <w:szCs w:val="16"/>
        </w:rPr>
      </w:pPr>
      <w:r w:rsidRPr="00707B4A">
        <w:rPr>
          <w:rStyle w:val="EndnoteReference"/>
          <w:sz w:val="16"/>
          <w:szCs w:val="16"/>
        </w:rPr>
        <w:endnoteRef/>
      </w:r>
      <w:hyperlink r:id="rId1571" w:history="1">
        <w:r w:rsidRPr="00707B4A">
          <w:rPr>
            <w:rStyle w:val="Hyperlink"/>
            <w:sz w:val="16"/>
            <w:szCs w:val="16"/>
          </w:rPr>
          <w:t xml:space="preserve"> R.C. 121.22(I)(2)(b)</w:t>
        </w:r>
      </w:hyperlink>
      <w:r w:rsidRPr="00707B4A">
        <w:rPr>
          <w:sz w:val="16"/>
          <w:szCs w:val="16"/>
        </w:rPr>
        <w:t xml:space="preserve">; </w:t>
      </w:r>
      <w:r w:rsidRPr="00707B4A">
        <w:rPr>
          <w:i/>
          <w:sz w:val="16"/>
          <w:szCs w:val="16"/>
        </w:rPr>
        <w:t>McIntyre v. Westerville City School Dist. Bd. of Edn.</w:t>
      </w:r>
      <w:r w:rsidRPr="00707B4A">
        <w:rPr>
          <w:sz w:val="16"/>
          <w:szCs w:val="16"/>
        </w:rPr>
        <w:t>, 10th Dist. Franklin Nos. 90AP-1024, 90AP-1063, 1991 Ohio App. LEXIS 2658,</w:t>
      </w:r>
      <w:r w:rsidR="00FF6767" w:rsidRPr="00707B4A">
        <w:rPr>
          <w:sz w:val="16"/>
          <w:szCs w:val="16"/>
        </w:rPr>
        <w:t xml:space="preserve"> at</w:t>
      </w:r>
      <w:r w:rsidRPr="00707B4A">
        <w:rPr>
          <w:sz w:val="16"/>
          <w:szCs w:val="16"/>
        </w:rPr>
        <w:t xml:space="preserve"> *9 (June 6, 1991) (finding a plaintiff engaged in frivolous conduct because her actions subjected the board to a baseless suit and the incurring of needless expense); </w:t>
      </w:r>
      <w:hyperlink r:id="rId1572" w:history="1">
        <w:r w:rsidRPr="00707B4A">
          <w:rPr>
            <w:rStyle w:val="Hyperlink"/>
            <w:i/>
            <w:sz w:val="16"/>
            <w:szCs w:val="16"/>
          </w:rPr>
          <w:t>State ex rel. Chrisman v. Clearcreek Twp.</w:t>
        </w:r>
      </w:hyperlink>
      <w:r w:rsidRPr="00707B4A">
        <w:rPr>
          <w:sz w:val="16"/>
          <w:szCs w:val="16"/>
        </w:rPr>
        <w:t xml:space="preserve">, 12th Dist. Warren No. CA2013-03-025, 2014-Ohio-252, </w:t>
      </w:r>
      <w:r w:rsidRPr="00707B4A">
        <w:rPr>
          <w:rFonts w:cs="Aharoni"/>
          <w:sz w:val="16"/>
          <w:szCs w:val="16"/>
        </w:rPr>
        <w:t>¶</w:t>
      </w:r>
      <w:r w:rsidRPr="00707B4A">
        <w:rPr>
          <w:sz w:val="16"/>
          <w:szCs w:val="16"/>
        </w:rPr>
        <w:t xml:space="preserve"> 19 (upholding award of attorney fees when “there was no possible violation of the OMA as alleged in Relator’s first four allegations”).</w:t>
      </w:r>
    </w:p>
  </w:endnote>
  <w:endnote w:id="1191">
    <w:p w14:paraId="78CA0DD8" w14:textId="4759669A" w:rsidR="002F23BE" w:rsidRDefault="002F23BE" w:rsidP="00707B4A">
      <w:pPr>
        <w:pStyle w:val="EndnoteText"/>
        <w:spacing w:line="160" w:lineRule="exact"/>
        <w:jc w:val="both"/>
        <w:rPr>
          <w:sz w:val="16"/>
          <w:szCs w:val="16"/>
        </w:rPr>
      </w:pPr>
      <w:r w:rsidRPr="00707B4A">
        <w:rPr>
          <w:rStyle w:val="EndnoteReference"/>
          <w:sz w:val="16"/>
          <w:szCs w:val="16"/>
        </w:rPr>
        <w:endnoteRef/>
      </w:r>
      <w:r w:rsidRPr="00707B4A">
        <w:rPr>
          <w:sz w:val="16"/>
          <w:szCs w:val="16"/>
        </w:rPr>
        <w:t xml:space="preserve"> </w:t>
      </w:r>
      <w:hyperlink r:id="rId1573" w:history="1">
        <w:r w:rsidRPr="00707B4A">
          <w:rPr>
            <w:rStyle w:val="Hyperlink"/>
            <w:i/>
            <w:sz w:val="16"/>
            <w:szCs w:val="16"/>
          </w:rPr>
          <w:t>State ex rel. Chrisman v. Clearcreek Twp.</w:t>
        </w:r>
      </w:hyperlink>
      <w:r w:rsidRPr="00707B4A">
        <w:rPr>
          <w:sz w:val="16"/>
          <w:szCs w:val="16"/>
        </w:rPr>
        <w:t xml:space="preserve">, 12th Dist. Warren No. CA2013-03-025, 2014-Ohio-252, </w:t>
      </w:r>
      <w:r w:rsidRPr="00707B4A">
        <w:rPr>
          <w:rFonts w:cs="Aharoni"/>
          <w:sz w:val="16"/>
          <w:szCs w:val="16"/>
        </w:rPr>
        <w:t>¶</w:t>
      </w:r>
      <w:r w:rsidRPr="00707B4A">
        <w:rPr>
          <w:sz w:val="16"/>
          <w:szCs w:val="16"/>
        </w:rPr>
        <w:t xml:space="preserve"> 23.</w:t>
      </w:r>
    </w:p>
    <w:p w14:paraId="6FC756FA" w14:textId="77777777" w:rsidR="004F0297" w:rsidRPr="00681BA7" w:rsidRDefault="004F0297" w:rsidP="00707B4A">
      <w:pPr>
        <w:pStyle w:val="EndnoteText"/>
        <w:spacing w:line="160" w:lineRule="exact"/>
        <w:jc w:val="both"/>
        <w:rPr>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4D"/>
    <w:family w:val="decorative"/>
    <w:pitch w:val="variable"/>
    <w:sig w:usb0="00000003" w:usb1="00000000" w:usb2="00000000" w:usb3="00000000" w:csb0="80000001" w:csb1="00000000"/>
  </w:font>
  <w:font w:name="Pristina">
    <w:panose1 w:val="03060402040406080204"/>
    <w:charset w:val="4D"/>
    <w:family w:val="script"/>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B702" w14:textId="2004E391" w:rsidR="002F23BE" w:rsidRPr="00F36D95" w:rsidRDefault="002F23BE" w:rsidP="00D6482D">
    <w:pPr>
      <w:pStyle w:val="Footer"/>
      <w:tabs>
        <w:tab w:val="clear" w:pos="9360"/>
        <w:tab w:val="right" w:pos="10080"/>
      </w:tabs>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w:t>
    </w:r>
    <w:r>
      <w:rPr>
        <w:i/>
        <w:sz w:val="18"/>
      </w:rPr>
      <w:t>2</w:t>
    </w:r>
    <w:r w:rsidR="00660C80">
      <w:rPr>
        <w:i/>
        <w:sz w:val="18"/>
      </w:rPr>
      <w:t>4</w:t>
    </w:r>
    <w:r w:rsidRPr="00694D37">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roman  \* MERGEFORMAT </w:instrText>
    </w:r>
    <w:r w:rsidRPr="00385E3C">
      <w:rPr>
        <w:i/>
        <w:sz w:val="20"/>
        <w:szCs w:val="20"/>
      </w:rPr>
      <w:fldChar w:fldCharType="separate"/>
    </w:r>
    <w:r w:rsidRPr="00385E3C">
      <w:rPr>
        <w:i/>
        <w:noProof/>
        <w:sz w:val="20"/>
        <w:szCs w:val="20"/>
      </w:rPr>
      <w:t>ii</w:t>
    </w:r>
    <w:r w:rsidRPr="00385E3C">
      <w:rPr>
        <w:i/>
        <w:sz w:val="20"/>
        <w:szCs w:val="20"/>
      </w:rPr>
      <w:fldChar w:fldCharType="end"/>
    </w:r>
  </w:p>
  <w:p w14:paraId="1302B98C" w14:textId="77777777" w:rsidR="002F23BE" w:rsidRDefault="002F23BE">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1A1D" w14:textId="6CE92AD8" w:rsidR="002F23BE" w:rsidRPr="00385E3C" w:rsidRDefault="002F23BE" w:rsidP="00A128F8">
    <w:pPr>
      <w:pStyle w:val="Footer"/>
      <w:tabs>
        <w:tab w:val="clear" w:pos="9360"/>
        <w:tab w:val="right" w:pos="10080"/>
      </w:tabs>
      <w:ind w:right="-720"/>
      <w:rPr>
        <w:i/>
        <w:sz w:val="20"/>
        <w:szCs w:val="20"/>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Pr>
        <w:i/>
        <w:sz w:val="18"/>
      </w:rPr>
      <w:t>2</w:t>
    </w:r>
    <w:r w:rsidR="00250913">
      <w:rPr>
        <w:i/>
        <w:sz w:val="18"/>
      </w:rPr>
      <w:t>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116</w:t>
    </w:r>
    <w:r w:rsidRPr="00385E3C">
      <w:rPr>
        <w:i/>
        <w:noProof/>
        <w:sz w:val="20"/>
        <w:szCs w:val="20"/>
      </w:rPr>
      <w:fldChar w:fldCharType="end"/>
    </w:r>
  </w:p>
  <w:p w14:paraId="0BB7A102" w14:textId="77777777" w:rsidR="002F23BE" w:rsidRDefault="002F23BE">
    <w:pP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DF3D" w14:textId="201EB19C" w:rsidR="002F23BE" w:rsidRPr="001A7715" w:rsidRDefault="002F23BE" w:rsidP="00A128F8">
    <w:pPr>
      <w:pStyle w:val="Footer"/>
      <w:tabs>
        <w:tab w:val="clear" w:pos="9360"/>
        <w:tab w:val="right" w:pos="10080"/>
      </w:tabs>
      <w:ind w:right="-720"/>
      <w:rPr>
        <w:i/>
        <w:sz w:val="18"/>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sidR="00250913">
      <w:rPr>
        <w:i/>
        <w:sz w:val="18"/>
      </w:rPr>
      <w:t>24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121</w:t>
    </w:r>
    <w:r w:rsidRPr="00385E3C">
      <w:rPr>
        <w:i/>
        <w:noProof/>
        <w:sz w:val="20"/>
        <w:szCs w:val="20"/>
      </w:rPr>
      <w:fldChar w:fldCharType="end"/>
    </w:r>
  </w:p>
  <w:p w14:paraId="49900E69" w14:textId="77777777" w:rsidR="002F23BE" w:rsidRDefault="002F23BE">
    <w:pPr>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5D12" w14:textId="77777777" w:rsidR="004F0297" w:rsidRDefault="004F0297">
    <w:pP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CF61" w14:textId="77777777" w:rsidR="009C055D" w:rsidRDefault="009C055D">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509C" w14:textId="77777777" w:rsidR="004F0297" w:rsidRPr="00F36D95" w:rsidRDefault="004F0297" w:rsidP="00D6482D">
    <w:pPr>
      <w:pStyle w:val="Footer"/>
      <w:tabs>
        <w:tab w:val="clear" w:pos="9360"/>
        <w:tab w:val="right" w:pos="10080"/>
      </w:tabs>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w:t>
    </w:r>
    <w:r>
      <w:rPr>
        <w:i/>
        <w:sz w:val="18"/>
      </w:rPr>
      <w:t>24</w:t>
    </w:r>
    <w:r w:rsidRPr="00694D37">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roman  \* MERGEFORMAT </w:instrText>
    </w:r>
    <w:r w:rsidRPr="00385E3C">
      <w:rPr>
        <w:i/>
        <w:sz w:val="20"/>
        <w:szCs w:val="20"/>
      </w:rPr>
      <w:fldChar w:fldCharType="separate"/>
    </w:r>
    <w:r w:rsidRPr="00385E3C">
      <w:rPr>
        <w:i/>
        <w:noProof/>
        <w:sz w:val="20"/>
        <w:szCs w:val="20"/>
      </w:rPr>
      <w:t>ii</w:t>
    </w:r>
    <w:r w:rsidRPr="00385E3C">
      <w:rPr>
        <w:i/>
        <w:sz w:val="20"/>
        <w:szCs w:val="20"/>
      </w:rPr>
      <w:fldChar w:fldCharType="end"/>
    </w:r>
  </w:p>
  <w:p w14:paraId="3BA039A7" w14:textId="77777777" w:rsidR="004F0297" w:rsidRDefault="004F0297">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1B55" w14:textId="41E06D88" w:rsidR="002F23BE" w:rsidRPr="00F36D95" w:rsidRDefault="002F23BE" w:rsidP="00D6482D">
    <w:pPr>
      <w:pStyle w:val="Footer"/>
      <w:tabs>
        <w:tab w:val="clear" w:pos="9360"/>
        <w:tab w:val="right" w:pos="10080"/>
      </w:tabs>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w:t>
    </w:r>
    <w:r>
      <w:rPr>
        <w:i/>
        <w:sz w:val="18"/>
      </w:rPr>
      <w:t>2</w:t>
    </w:r>
    <w:r w:rsidR="00660C80">
      <w:rPr>
        <w:i/>
        <w:sz w:val="18"/>
      </w:rPr>
      <w:t>4</w:t>
    </w:r>
    <w:r w:rsidRPr="00694D37">
      <w:rPr>
        <w:i/>
        <w:sz w:val="18"/>
      </w:rPr>
      <w:t>:  An Open Government Resource Manual</w:t>
    </w:r>
    <w:r>
      <w:rPr>
        <w:i/>
        <w:sz w:val="14"/>
      </w:rPr>
      <w:tab/>
    </w:r>
    <w:r w:rsidRPr="00760E6F">
      <w:rPr>
        <w:i/>
        <w:sz w:val="20"/>
        <w:szCs w:val="20"/>
      </w:rPr>
      <w:fldChar w:fldCharType="begin"/>
    </w:r>
    <w:r w:rsidRPr="00760E6F">
      <w:rPr>
        <w:i/>
        <w:sz w:val="20"/>
        <w:szCs w:val="20"/>
      </w:rPr>
      <w:instrText xml:space="preserve"> PAGE   \* MERGEFORMAT </w:instrText>
    </w:r>
    <w:r w:rsidRPr="00760E6F">
      <w:rPr>
        <w:i/>
        <w:sz w:val="20"/>
        <w:szCs w:val="20"/>
      </w:rPr>
      <w:fldChar w:fldCharType="separate"/>
    </w:r>
    <w:r w:rsidRPr="00760E6F">
      <w:rPr>
        <w:i/>
        <w:noProof/>
        <w:sz w:val="20"/>
        <w:szCs w:val="20"/>
      </w:rPr>
      <w:t>1</w:t>
    </w:r>
    <w:r w:rsidRPr="00760E6F">
      <w:rPr>
        <w:i/>
        <w:noProof/>
        <w:sz w:val="20"/>
        <w:szCs w:val="20"/>
      </w:rPr>
      <w:fldChar w:fldCharType="end"/>
    </w:r>
  </w:p>
  <w:p w14:paraId="5A7257DB" w14:textId="77777777" w:rsidR="002F23BE" w:rsidRDefault="002F23BE">
    <w:pPr>
      <w:pStyle w:val="Foo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18050" w14:textId="20F577D5" w:rsidR="002F23BE" w:rsidRPr="003B7B3D" w:rsidRDefault="002F23BE" w:rsidP="00D6482D">
    <w:pPr>
      <w:pStyle w:val="Footer"/>
      <w:tabs>
        <w:tab w:val="clear" w:pos="9360"/>
        <w:tab w:val="right" w:pos="10080"/>
      </w:tabs>
      <w:rPr>
        <w:i/>
      </w:rPr>
    </w:pPr>
    <w:r w:rsidRPr="00694D37">
      <w:rPr>
        <w:i/>
        <w:sz w:val="18"/>
      </w:rPr>
      <w:t xml:space="preserve">Ohio Attorney General Dave Yost </w:t>
    </w:r>
    <w:r w:rsidRPr="00694D37">
      <w:rPr>
        <w:i/>
        <w:sz w:val="18"/>
      </w:rPr>
      <w:sym w:font="Wingdings 2" w:char="F096"/>
    </w:r>
    <w:r w:rsidRPr="00694D37">
      <w:rPr>
        <w:i/>
        <w:sz w:val="18"/>
      </w:rPr>
      <w:t xml:space="preserve"> Ohio Sunshine Laws 2</w:t>
    </w:r>
    <w:r w:rsidR="00660C80">
      <w:rPr>
        <w:i/>
        <w:sz w:val="18"/>
      </w:rPr>
      <w:t>024</w:t>
    </w:r>
    <w:r w:rsidRPr="00694D37">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52</w:t>
    </w:r>
    <w:r w:rsidRPr="00385E3C">
      <w:rPr>
        <w:i/>
        <w:sz w:val="20"/>
        <w:szCs w:val="20"/>
      </w:rPr>
      <w:fldChar w:fldCharType="end"/>
    </w:r>
  </w:p>
  <w:p w14:paraId="60346390" w14:textId="77777777" w:rsidR="002F23BE" w:rsidRDefault="002F23BE">
    <w:pP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380C" w14:textId="2B88BF6C" w:rsidR="002F23BE" w:rsidRPr="003B7B3D" w:rsidRDefault="002F23BE" w:rsidP="00D6482D">
    <w:pPr>
      <w:pStyle w:val="Footer"/>
      <w:tabs>
        <w:tab w:val="clear" w:pos="9360"/>
        <w:tab w:val="right" w:pos="10080"/>
      </w:tabs>
      <w:rPr>
        <w:i/>
      </w:rPr>
    </w:pPr>
    <w:r w:rsidRPr="002C480C">
      <w:rPr>
        <w:i/>
        <w:sz w:val="18"/>
      </w:rPr>
      <w:t xml:space="preserve">Ohio Attorney General Dave Yost </w:t>
    </w:r>
    <w:r w:rsidRPr="002C480C">
      <w:rPr>
        <w:i/>
        <w:sz w:val="18"/>
      </w:rPr>
      <w:sym w:font="Wingdings 2" w:char="F096"/>
    </w:r>
    <w:r w:rsidRPr="002C480C">
      <w:rPr>
        <w:i/>
        <w:sz w:val="18"/>
      </w:rPr>
      <w:t xml:space="preserve"> Ohio Sunshine Laws 20</w:t>
    </w:r>
    <w:r>
      <w:rPr>
        <w:i/>
        <w:sz w:val="18"/>
      </w:rPr>
      <w:t>2</w:t>
    </w:r>
    <w:r w:rsidR="004C3EA4">
      <w:rPr>
        <w:i/>
        <w:sz w:val="18"/>
      </w:rPr>
      <w:t>4</w:t>
    </w:r>
    <w:r w:rsidRPr="002C480C">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61</w:t>
    </w:r>
    <w:r w:rsidRPr="00385E3C">
      <w:rPr>
        <w:i/>
        <w:noProof/>
        <w:sz w:val="20"/>
        <w:szCs w:val="20"/>
      </w:rPr>
      <w:fldChar w:fldCharType="end"/>
    </w:r>
  </w:p>
  <w:p w14:paraId="12410EE9" w14:textId="77777777" w:rsidR="002F23BE" w:rsidRDefault="002F23BE">
    <w:pP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065B" w14:textId="5983A633" w:rsidR="002F23BE" w:rsidRPr="00F36D95" w:rsidRDefault="002F23BE" w:rsidP="00D6482D">
    <w:pPr>
      <w:pStyle w:val="Footer"/>
      <w:tabs>
        <w:tab w:val="clear" w:pos="9360"/>
        <w:tab w:val="right" w:pos="10080"/>
      </w:tabs>
      <w:rPr>
        <w:i/>
        <w:sz w:val="14"/>
      </w:rPr>
    </w:pPr>
    <w:r w:rsidRPr="002C480C">
      <w:rPr>
        <w:i/>
        <w:sz w:val="18"/>
      </w:rPr>
      <w:t xml:space="preserve">Ohio Attorney General Dave Yost </w:t>
    </w:r>
    <w:r w:rsidRPr="002C480C">
      <w:rPr>
        <w:i/>
        <w:sz w:val="18"/>
      </w:rPr>
      <w:sym w:font="Wingdings 2" w:char="F096"/>
    </w:r>
    <w:r w:rsidRPr="002C480C">
      <w:rPr>
        <w:i/>
        <w:sz w:val="18"/>
      </w:rPr>
      <w:t xml:space="preserve"> Ohio Sunshine Laws 20</w:t>
    </w:r>
    <w:r>
      <w:rPr>
        <w:i/>
        <w:sz w:val="18"/>
      </w:rPr>
      <w:t>2</w:t>
    </w:r>
    <w:r w:rsidR="004C3EA4">
      <w:rPr>
        <w:i/>
        <w:sz w:val="18"/>
      </w:rPr>
      <w:t>4</w:t>
    </w:r>
    <w:r w:rsidRPr="002C480C">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71</w:t>
    </w:r>
    <w:r w:rsidRPr="00385E3C">
      <w:rPr>
        <w:i/>
        <w:noProof/>
        <w:sz w:val="20"/>
        <w:szCs w:val="20"/>
      </w:rPr>
      <w:fldChar w:fldCharType="end"/>
    </w:r>
  </w:p>
  <w:p w14:paraId="2E47ADAC" w14:textId="77777777" w:rsidR="002F23BE" w:rsidRDefault="002F23BE">
    <w:pP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3B0D" w14:textId="7E624086" w:rsidR="002F23BE" w:rsidRPr="00F36D95" w:rsidRDefault="002F23BE" w:rsidP="00D6482D">
    <w:pPr>
      <w:pStyle w:val="Footer"/>
      <w:tabs>
        <w:tab w:val="clear" w:pos="9360"/>
        <w:tab w:val="right" w:pos="10080"/>
      </w:tabs>
      <w:ind w:right="-720"/>
      <w:rPr>
        <w:i/>
        <w:sz w:val="16"/>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Pr>
        <w:i/>
        <w:sz w:val="18"/>
      </w:rPr>
      <w:t>2</w:t>
    </w:r>
    <w:r w:rsidR="00250913">
      <w:rPr>
        <w:i/>
        <w:sz w:val="18"/>
      </w:rPr>
      <w:t>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103</w:t>
    </w:r>
    <w:r w:rsidRPr="00385E3C">
      <w:rPr>
        <w:i/>
        <w:noProof/>
        <w:sz w:val="20"/>
        <w:szCs w:val="20"/>
      </w:rPr>
      <w:fldChar w:fldCharType="end"/>
    </w:r>
  </w:p>
  <w:p w14:paraId="7B672E85" w14:textId="77777777" w:rsidR="002F23BE" w:rsidRDefault="002F23BE">
    <w:pP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5FAC" w14:textId="342272CD" w:rsidR="002F23BE" w:rsidRPr="00F36D95" w:rsidRDefault="002F23BE" w:rsidP="006B2C36">
    <w:pPr>
      <w:pStyle w:val="Footer"/>
      <w:tabs>
        <w:tab w:val="clear" w:pos="9360"/>
        <w:tab w:val="right" w:pos="10080"/>
      </w:tabs>
      <w:ind w:left="-720" w:right="-720"/>
      <w:rPr>
        <w:i/>
        <w:sz w:val="20"/>
      </w:rPr>
    </w:pPr>
    <w:r w:rsidRPr="006B2C36">
      <w:rPr>
        <w:i/>
        <w:sz w:val="18"/>
      </w:rPr>
      <w:t xml:space="preserve">Ohio Attorney General Dave Yost </w:t>
    </w:r>
    <w:r w:rsidRPr="006B2C36">
      <w:rPr>
        <w:i/>
        <w:sz w:val="18"/>
      </w:rPr>
      <w:sym w:font="Wingdings 2" w:char="F096"/>
    </w:r>
    <w:r w:rsidRPr="006B2C36">
      <w:rPr>
        <w:i/>
        <w:sz w:val="18"/>
      </w:rPr>
      <w:t xml:space="preserve"> Ohio Sunshine Laws 20</w:t>
    </w:r>
    <w:r>
      <w:rPr>
        <w:i/>
        <w:sz w:val="18"/>
      </w:rPr>
      <w:t>2</w:t>
    </w:r>
    <w:r w:rsidR="00250913">
      <w:rPr>
        <w:i/>
        <w:sz w:val="18"/>
      </w:rPr>
      <w:t>4</w:t>
    </w:r>
    <w:r w:rsidRPr="006B2C36">
      <w:rPr>
        <w:i/>
        <w:sz w:val="18"/>
      </w:rPr>
      <w:t>:  An Open Government Resource Manual</w:t>
    </w:r>
    <w:r>
      <w:rPr>
        <w:i/>
        <w:sz w:val="14"/>
      </w:rPr>
      <w:tab/>
    </w:r>
    <w:r w:rsidRPr="00385E3C">
      <w:rPr>
        <w:i/>
        <w:sz w:val="20"/>
        <w:szCs w:val="20"/>
      </w:rPr>
      <w:fldChar w:fldCharType="begin"/>
    </w:r>
    <w:r w:rsidRPr="00385E3C">
      <w:rPr>
        <w:i/>
        <w:sz w:val="20"/>
        <w:szCs w:val="20"/>
      </w:rPr>
      <w:instrText xml:space="preserve"> PAGE   \* MERGEFORMAT </w:instrText>
    </w:r>
    <w:r w:rsidRPr="00385E3C">
      <w:rPr>
        <w:i/>
        <w:sz w:val="20"/>
        <w:szCs w:val="20"/>
      </w:rPr>
      <w:fldChar w:fldCharType="separate"/>
    </w:r>
    <w:r w:rsidRPr="00385E3C">
      <w:rPr>
        <w:i/>
        <w:noProof/>
        <w:sz w:val="20"/>
        <w:szCs w:val="20"/>
      </w:rPr>
      <w:t>110</w:t>
    </w:r>
    <w:r w:rsidRPr="00385E3C">
      <w:rPr>
        <w:i/>
        <w:noProof/>
        <w:sz w:val="20"/>
        <w:szCs w:val="20"/>
      </w:rPr>
      <w:fldChar w:fldCharType="end"/>
    </w:r>
  </w:p>
  <w:p w14:paraId="23051E4E" w14:textId="77777777" w:rsidR="002F23BE" w:rsidRDefault="002F23BE">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2B74" w14:textId="77777777" w:rsidR="00AF6868" w:rsidRDefault="00AF6868">
      <w:r>
        <w:separator/>
      </w:r>
    </w:p>
  </w:footnote>
  <w:footnote w:type="continuationSeparator" w:id="0">
    <w:p w14:paraId="074A9BA1" w14:textId="77777777" w:rsidR="00AF6868" w:rsidRDefault="00AF6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3CAE" w14:textId="77777777" w:rsidR="004F0297" w:rsidRDefault="004F0297" w:rsidP="00D6482D">
    <w:pPr>
      <w:pStyle w:val="Header"/>
      <w:pBdr>
        <w:bottom w:val="single" w:sz="12" w:space="1" w:color="auto"/>
      </w:pBdr>
      <w:spacing w:after="240"/>
      <w:rPr>
        <w:i/>
        <w:sz w:val="56"/>
      </w:rPr>
    </w:pPr>
    <w:r>
      <w:rPr>
        <w:i/>
        <w:sz w:val="56"/>
      </w:rPr>
      <w:t>Ohio Sunshine Laws 2024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4F7E" w14:textId="2FD91695" w:rsidR="002F23BE" w:rsidRPr="00AB3C27" w:rsidRDefault="002F23BE" w:rsidP="00AB3C27">
    <w:pPr>
      <w:pStyle w:val="Header"/>
      <w:pBdr>
        <w:bottom w:val="single" w:sz="12" w:space="1" w:color="auto"/>
      </w:pBdr>
      <w:rPr>
        <w:i/>
        <w:sz w:val="56"/>
      </w:rPr>
    </w:pPr>
    <w:r>
      <w:rPr>
        <w:i/>
        <w:sz w:val="56"/>
      </w:rPr>
      <w:t>The Ohio Open Meetings Act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40C2" w14:textId="77777777" w:rsidR="002F23BE" w:rsidRDefault="002F23BE" w:rsidP="00D6482D">
    <w:pPr>
      <w:pStyle w:val="Header"/>
      <w:pBdr>
        <w:bottom w:val="single" w:sz="12" w:space="1" w:color="auto"/>
      </w:pBdr>
      <w:jc w:val="right"/>
      <w:rPr>
        <w:i/>
        <w:sz w:val="56"/>
      </w:rPr>
    </w:pPr>
    <w:r>
      <w:rPr>
        <w:i/>
        <w:sz w:val="56"/>
      </w:rPr>
      <w:t>The Ohio Open Meetings Act</w:t>
    </w:r>
  </w:p>
  <w:p w14:paraId="52B5134A" w14:textId="4B163C2F" w:rsidR="002F23BE" w:rsidRDefault="002F23BE" w:rsidP="00D6482D">
    <w:pPr>
      <w:pStyle w:val="Header"/>
      <w:pBdr>
        <w:bottom w:val="single" w:sz="12" w:space="1" w:color="auto"/>
      </w:pBdr>
      <w:spacing w:after="240"/>
      <w:jc w:val="right"/>
      <w:rPr>
        <w:i/>
        <w:sz w:val="32"/>
      </w:rPr>
    </w:pPr>
    <w:r>
      <w:rPr>
        <w:i/>
        <w:sz w:val="32"/>
      </w:rPr>
      <w:t xml:space="preserve">Chapter </w:t>
    </w:r>
    <w:r w:rsidR="004B7E2A">
      <w:rPr>
        <w:i/>
        <w:sz w:val="32"/>
      </w:rPr>
      <w:t>Eight</w:t>
    </w:r>
    <w:r>
      <w:rPr>
        <w:i/>
        <w:sz w:val="32"/>
      </w:rPr>
      <w:t>: “Public Body” and “Meeting” Defined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A7F6" w14:textId="77777777" w:rsidR="002F23BE" w:rsidRDefault="002F23BE" w:rsidP="00A128F8">
    <w:pPr>
      <w:pStyle w:val="Header"/>
      <w:pBdr>
        <w:bottom w:val="single" w:sz="12" w:space="1" w:color="auto"/>
      </w:pBdr>
      <w:jc w:val="right"/>
      <w:rPr>
        <w:i/>
        <w:sz w:val="56"/>
      </w:rPr>
    </w:pPr>
    <w:r>
      <w:rPr>
        <w:i/>
        <w:sz w:val="56"/>
      </w:rPr>
      <w:t>The Ohio Open Meetings Act</w:t>
    </w:r>
  </w:p>
  <w:p w14:paraId="7F8B6221" w14:textId="747B2DA5" w:rsidR="002F23BE" w:rsidRDefault="002F23BE" w:rsidP="00A128F8">
    <w:pPr>
      <w:pStyle w:val="Header"/>
      <w:pBdr>
        <w:bottom w:val="single" w:sz="12" w:space="1" w:color="auto"/>
      </w:pBdr>
      <w:spacing w:after="240"/>
      <w:jc w:val="right"/>
      <w:rPr>
        <w:i/>
        <w:sz w:val="32"/>
      </w:rPr>
    </w:pPr>
    <w:r>
      <w:rPr>
        <w:i/>
        <w:sz w:val="32"/>
      </w:rPr>
      <w:t xml:space="preserve">Chapter </w:t>
    </w:r>
    <w:r w:rsidR="004B7E2A">
      <w:rPr>
        <w:i/>
        <w:sz w:val="32"/>
      </w:rPr>
      <w:t>Nine</w:t>
    </w:r>
    <w:r>
      <w:rPr>
        <w:i/>
        <w:sz w:val="32"/>
      </w:rPr>
      <w:t>:  Duties of a Public Body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D95E" w14:textId="77777777" w:rsidR="002F23BE" w:rsidRDefault="002F23BE" w:rsidP="00A128F8">
    <w:pPr>
      <w:pStyle w:val="Header"/>
      <w:pBdr>
        <w:bottom w:val="single" w:sz="12" w:space="1" w:color="auto"/>
      </w:pBdr>
      <w:jc w:val="right"/>
      <w:rPr>
        <w:i/>
        <w:sz w:val="56"/>
      </w:rPr>
    </w:pPr>
    <w:r>
      <w:rPr>
        <w:i/>
        <w:sz w:val="56"/>
      </w:rPr>
      <w:t>The Ohio Open Meetings Act</w:t>
    </w:r>
  </w:p>
  <w:p w14:paraId="2D4FC6A3" w14:textId="4EF7558E" w:rsidR="002F23BE" w:rsidRDefault="002F23BE" w:rsidP="00A128F8">
    <w:pPr>
      <w:pStyle w:val="Header"/>
      <w:pBdr>
        <w:bottom w:val="single" w:sz="12" w:space="1" w:color="auto"/>
      </w:pBdr>
      <w:spacing w:after="240"/>
      <w:jc w:val="right"/>
      <w:rPr>
        <w:i/>
        <w:sz w:val="32"/>
      </w:rPr>
    </w:pPr>
    <w:r>
      <w:rPr>
        <w:i/>
        <w:sz w:val="32"/>
      </w:rPr>
      <w:t xml:space="preserve">Chapter </w:t>
    </w:r>
    <w:r w:rsidR="004B7E2A">
      <w:rPr>
        <w:i/>
        <w:sz w:val="32"/>
      </w:rPr>
      <w:t>Ten</w:t>
    </w:r>
    <w:r>
      <w:rPr>
        <w:i/>
        <w:sz w:val="32"/>
      </w:rPr>
      <w:t>:  Executive Session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DF2B" w14:textId="2970A668" w:rsidR="002F23BE" w:rsidRDefault="004F0297" w:rsidP="004F0297">
    <w:pPr>
      <w:pStyle w:val="Header"/>
      <w:pBdr>
        <w:bottom w:val="single" w:sz="12" w:space="1" w:color="auto"/>
      </w:pBdr>
      <w:tabs>
        <w:tab w:val="left" w:pos="2253"/>
      </w:tabs>
      <w:rPr>
        <w:i/>
        <w:sz w:val="56"/>
      </w:rPr>
    </w:pPr>
    <w:r>
      <w:rPr>
        <w:i/>
        <w:sz w:val="56"/>
      </w:rPr>
      <w:tab/>
    </w:r>
    <w:r>
      <w:rPr>
        <w:i/>
        <w:sz w:val="56"/>
      </w:rPr>
      <w:tab/>
    </w:r>
    <w:r w:rsidR="002F23BE">
      <w:rPr>
        <w:i/>
        <w:sz w:val="56"/>
      </w:rPr>
      <w:t>The Ohio Open Meetings Act</w:t>
    </w:r>
  </w:p>
  <w:p w14:paraId="6FE45859" w14:textId="2A078FC0" w:rsidR="002F23BE" w:rsidRDefault="002F23BE" w:rsidP="00322085">
    <w:pPr>
      <w:pStyle w:val="Header"/>
      <w:pBdr>
        <w:bottom w:val="single" w:sz="12" w:space="1" w:color="auto"/>
      </w:pBdr>
      <w:spacing w:after="240"/>
      <w:jc w:val="right"/>
      <w:rPr>
        <w:i/>
        <w:sz w:val="32"/>
      </w:rPr>
    </w:pPr>
    <w:r>
      <w:rPr>
        <w:i/>
        <w:sz w:val="32"/>
      </w:rPr>
      <w:t xml:space="preserve">Chapter </w:t>
    </w:r>
    <w:r w:rsidR="00322085">
      <w:rPr>
        <w:i/>
        <w:sz w:val="32"/>
      </w:rPr>
      <w:t>Eleven</w:t>
    </w:r>
    <w:r>
      <w:rPr>
        <w:i/>
        <w:sz w:val="32"/>
      </w:rPr>
      <w:t>:  Enforcement &amp; Remedies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7B78" w14:textId="26B0742D" w:rsidR="004F0297" w:rsidRPr="004F0297" w:rsidRDefault="004F0297" w:rsidP="004F0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D1BB" w14:textId="77777777" w:rsidR="002F23BE" w:rsidRDefault="002F23BE">
    <w:pPr>
      <w:pStyle w:val="Header"/>
      <w:pBdr>
        <w:bottom w:val="single" w:sz="12" w:space="1" w:color="auto"/>
      </w:pBdr>
      <w:spacing w:after="240"/>
      <w:rPr>
        <w:i/>
        <w:sz w:val="56"/>
      </w:rPr>
    </w:pPr>
    <w:r>
      <w:rPr>
        <w:i/>
        <w:sz w:val="56"/>
      </w:rPr>
      <w:t>Ohio Sunshine Laws 2013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C329" w14:textId="77777777" w:rsidR="002F23BE" w:rsidRDefault="002F23BE" w:rsidP="00D6482D">
    <w:pPr>
      <w:pStyle w:val="Header"/>
      <w:pBdr>
        <w:bottom w:val="single" w:sz="12" w:space="1" w:color="auto"/>
      </w:pBdr>
      <w:jc w:val="right"/>
      <w:rPr>
        <w:i/>
        <w:sz w:val="56"/>
      </w:rPr>
    </w:pPr>
    <w:r>
      <w:rPr>
        <w:i/>
        <w:sz w:val="56"/>
      </w:rPr>
      <w:t>The Ohio Public Records Act</w:t>
    </w:r>
  </w:p>
  <w:p w14:paraId="06D3A64F" w14:textId="77777777" w:rsidR="002F23BE" w:rsidRDefault="002F23BE" w:rsidP="00D6482D">
    <w:pPr>
      <w:pStyle w:val="Header"/>
      <w:pBdr>
        <w:bottom w:val="single" w:sz="12" w:space="1" w:color="auto"/>
      </w:pBdr>
      <w:spacing w:after="240"/>
      <w:jc w:val="right"/>
      <w:rPr>
        <w:i/>
        <w:sz w:val="32"/>
      </w:rPr>
    </w:pPr>
    <w:r>
      <w:rPr>
        <w:i/>
        <w:sz w:val="32"/>
      </w:rPr>
      <w:t>Chapter One: Public Records Defined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54B2" w14:textId="77777777" w:rsidR="002F23BE" w:rsidRDefault="002F23BE" w:rsidP="00D6482D">
    <w:pPr>
      <w:pStyle w:val="Header"/>
      <w:pBdr>
        <w:bottom w:val="single" w:sz="12" w:space="1" w:color="auto"/>
      </w:pBdr>
      <w:jc w:val="right"/>
      <w:rPr>
        <w:i/>
        <w:sz w:val="56"/>
      </w:rPr>
    </w:pPr>
    <w:r>
      <w:rPr>
        <w:i/>
        <w:sz w:val="56"/>
      </w:rPr>
      <w:t>The Ohio Public Records Act</w:t>
    </w:r>
  </w:p>
  <w:p w14:paraId="498CF7EC" w14:textId="77777777" w:rsidR="002F23BE" w:rsidRDefault="002F23BE" w:rsidP="00D6482D">
    <w:pPr>
      <w:pStyle w:val="Header"/>
      <w:pBdr>
        <w:bottom w:val="single" w:sz="12" w:space="1" w:color="auto"/>
      </w:pBdr>
      <w:spacing w:after="240"/>
      <w:jc w:val="right"/>
      <w:rPr>
        <w:i/>
        <w:sz w:val="32"/>
      </w:rPr>
    </w:pPr>
    <w:r>
      <w:rPr>
        <w:i/>
        <w:sz w:val="32"/>
      </w:rPr>
      <w:t>Chapter Two: Requesting Public Records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94AD" w14:textId="77777777" w:rsidR="002F23BE" w:rsidRDefault="002F23BE" w:rsidP="00D6482D">
    <w:pPr>
      <w:pStyle w:val="Header"/>
      <w:pBdr>
        <w:bottom w:val="single" w:sz="12" w:space="1" w:color="auto"/>
      </w:pBdr>
      <w:jc w:val="right"/>
      <w:rPr>
        <w:i/>
        <w:sz w:val="56"/>
      </w:rPr>
    </w:pPr>
    <w:r>
      <w:rPr>
        <w:i/>
        <w:sz w:val="56"/>
      </w:rPr>
      <w:t>The Ohio Public Records Act</w:t>
    </w:r>
  </w:p>
  <w:p w14:paraId="5E0D6AFE" w14:textId="77777777" w:rsidR="002F23BE" w:rsidRDefault="002F23BE" w:rsidP="00D6482D">
    <w:pPr>
      <w:pStyle w:val="Header"/>
      <w:pBdr>
        <w:bottom w:val="single" w:sz="12" w:space="1" w:color="auto"/>
      </w:pBdr>
      <w:spacing w:after="240"/>
      <w:jc w:val="right"/>
      <w:rPr>
        <w:i/>
        <w:sz w:val="32"/>
      </w:rPr>
    </w:pPr>
    <w:r>
      <w:rPr>
        <w:i/>
        <w:sz w:val="32"/>
      </w:rPr>
      <w:t>Chapter Three: Exemptions to the Required Release of Public Records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3AC5" w14:textId="0076A88E" w:rsidR="002F23BE" w:rsidRDefault="002F23BE" w:rsidP="00D6482D">
    <w:pPr>
      <w:pStyle w:val="Header"/>
      <w:pBdr>
        <w:bottom w:val="single" w:sz="12" w:space="1" w:color="auto"/>
      </w:pBdr>
      <w:jc w:val="right"/>
      <w:rPr>
        <w:i/>
        <w:sz w:val="56"/>
      </w:rPr>
    </w:pPr>
    <w:r>
      <w:rPr>
        <w:i/>
        <w:sz w:val="56"/>
      </w:rPr>
      <w:t>The Ohio Public Records Act</w:t>
    </w:r>
  </w:p>
  <w:p w14:paraId="3CDD5861" w14:textId="45966816" w:rsidR="002F23BE" w:rsidRDefault="002F23BE" w:rsidP="00D6482D">
    <w:pPr>
      <w:pStyle w:val="Header"/>
      <w:pBdr>
        <w:bottom w:val="single" w:sz="12" w:space="1" w:color="auto"/>
      </w:pBdr>
      <w:spacing w:after="240"/>
      <w:jc w:val="right"/>
      <w:rPr>
        <w:i/>
        <w:sz w:val="32"/>
      </w:rPr>
    </w:pPr>
    <w:r>
      <w:rPr>
        <w:i/>
        <w:sz w:val="32"/>
      </w:rPr>
      <w:t xml:space="preserve">Chapter </w:t>
    </w:r>
    <w:r w:rsidR="004B7E2A">
      <w:rPr>
        <w:i/>
        <w:sz w:val="32"/>
      </w:rPr>
      <w:t>Four: Law Enforcement Records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F612" w14:textId="77777777" w:rsidR="004B7E2A" w:rsidRDefault="004B7E2A" w:rsidP="00D6482D">
    <w:pPr>
      <w:pStyle w:val="Header"/>
      <w:pBdr>
        <w:bottom w:val="single" w:sz="12" w:space="1" w:color="auto"/>
      </w:pBdr>
      <w:jc w:val="right"/>
      <w:rPr>
        <w:i/>
        <w:sz w:val="56"/>
      </w:rPr>
    </w:pPr>
    <w:r>
      <w:rPr>
        <w:i/>
        <w:sz w:val="56"/>
      </w:rPr>
      <w:t>The Ohio Public Records Act</w:t>
    </w:r>
  </w:p>
  <w:p w14:paraId="6C67DA57" w14:textId="61FA9D7F" w:rsidR="004B7E2A" w:rsidRDefault="004B7E2A" w:rsidP="00D6482D">
    <w:pPr>
      <w:pStyle w:val="Header"/>
      <w:pBdr>
        <w:bottom w:val="single" w:sz="12" w:space="1" w:color="auto"/>
      </w:pBdr>
      <w:spacing w:after="240"/>
      <w:jc w:val="right"/>
      <w:rPr>
        <w:i/>
        <w:sz w:val="32"/>
      </w:rPr>
    </w:pPr>
    <w:r>
      <w:rPr>
        <w:i/>
        <w:sz w:val="32"/>
      </w:rPr>
      <w:t>Chapter Five: Other Categories of Records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A8D1" w14:textId="77777777" w:rsidR="004B7E2A" w:rsidRDefault="004B7E2A" w:rsidP="00D6482D">
    <w:pPr>
      <w:pStyle w:val="Header"/>
      <w:pBdr>
        <w:bottom w:val="single" w:sz="12" w:space="1" w:color="auto"/>
      </w:pBdr>
      <w:jc w:val="right"/>
      <w:rPr>
        <w:i/>
        <w:sz w:val="56"/>
      </w:rPr>
    </w:pPr>
    <w:r>
      <w:rPr>
        <w:i/>
        <w:sz w:val="56"/>
      </w:rPr>
      <w:t>The Ohio Public Records Act</w:t>
    </w:r>
  </w:p>
  <w:p w14:paraId="53F67BE8" w14:textId="31FC67F2" w:rsidR="004B7E2A" w:rsidRDefault="004B7E2A" w:rsidP="004B7E2A">
    <w:pPr>
      <w:pStyle w:val="Header"/>
      <w:pBdr>
        <w:bottom w:val="single" w:sz="12" w:space="1" w:color="auto"/>
      </w:pBdr>
      <w:spacing w:after="240"/>
      <w:jc w:val="right"/>
      <w:rPr>
        <w:i/>
        <w:sz w:val="32"/>
      </w:rPr>
    </w:pPr>
    <w:r>
      <w:rPr>
        <w:i/>
        <w:sz w:val="32"/>
      </w:rPr>
      <w:t>Chapter Six: Enforcement and Liabilities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0789" w14:textId="77777777" w:rsidR="002F23BE" w:rsidRDefault="002F23BE" w:rsidP="00D6482D">
    <w:pPr>
      <w:pStyle w:val="Header"/>
      <w:pBdr>
        <w:bottom w:val="single" w:sz="12" w:space="1" w:color="auto"/>
      </w:pBdr>
      <w:jc w:val="right"/>
      <w:rPr>
        <w:i/>
        <w:sz w:val="56"/>
      </w:rPr>
    </w:pPr>
    <w:r>
      <w:rPr>
        <w:i/>
        <w:sz w:val="56"/>
      </w:rPr>
      <w:t>The Ohio Public Records Act</w:t>
    </w:r>
  </w:p>
  <w:p w14:paraId="0594D18B" w14:textId="39377559" w:rsidR="004B7E2A" w:rsidRDefault="002F23BE" w:rsidP="004B7E2A">
    <w:pPr>
      <w:pStyle w:val="Header"/>
      <w:pBdr>
        <w:bottom w:val="single" w:sz="12" w:space="1" w:color="auto"/>
      </w:pBdr>
      <w:spacing w:after="240"/>
      <w:jc w:val="right"/>
      <w:rPr>
        <w:i/>
        <w:sz w:val="32"/>
      </w:rPr>
    </w:pPr>
    <w:r>
      <w:rPr>
        <w:i/>
        <w:sz w:val="32"/>
      </w:rPr>
      <w:t xml:space="preserve">Chapter </w:t>
    </w:r>
    <w:r w:rsidR="004B7E2A">
      <w:rPr>
        <w:i/>
        <w:sz w:val="32"/>
      </w:rPr>
      <w:t>Seven: Other Obligations of a Public Office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7" style="width:0;height:1.5pt" o:hralign="center" o:bullet="t" o:hrstd="t" o:hr="t" fillcolor="#a0a0a0" stroked="f"/>
    </w:pict>
  </w:numPicBullet>
  <w:abstractNum w:abstractNumId="0" w15:restartNumberingAfterBreak="0">
    <w:nsid w:val="00C76D9A"/>
    <w:multiLevelType w:val="hybridMultilevel"/>
    <w:tmpl w:val="EFB8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7167"/>
    <w:multiLevelType w:val="hybridMultilevel"/>
    <w:tmpl w:val="51E679FC"/>
    <w:lvl w:ilvl="0" w:tplc="04090015">
      <w:start w:val="1"/>
      <w:numFmt w:val="upp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6C329D4"/>
    <w:multiLevelType w:val="hybridMultilevel"/>
    <w:tmpl w:val="DF4039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58162F"/>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lvlText w:val="(%9)"/>
      <w:lvlJc w:val="left"/>
      <w:pPr>
        <w:ind w:left="5760" w:firstLine="0"/>
      </w:pPr>
    </w:lvl>
  </w:abstractNum>
  <w:abstractNum w:abstractNumId="4" w15:restartNumberingAfterBreak="0">
    <w:nsid w:val="09941BED"/>
    <w:multiLevelType w:val="hybridMultilevel"/>
    <w:tmpl w:val="244003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722DF2"/>
    <w:multiLevelType w:val="hybridMultilevel"/>
    <w:tmpl w:val="8FCE7E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694FF8"/>
    <w:multiLevelType w:val="hybridMultilevel"/>
    <w:tmpl w:val="5B4020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E486E"/>
    <w:multiLevelType w:val="hybridMultilevel"/>
    <w:tmpl w:val="B6A0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625FF"/>
    <w:multiLevelType w:val="hybridMultilevel"/>
    <w:tmpl w:val="BC80FC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7D9284C"/>
    <w:multiLevelType w:val="hybridMultilevel"/>
    <w:tmpl w:val="3C76FCF6"/>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0242D5"/>
    <w:multiLevelType w:val="hybridMultilevel"/>
    <w:tmpl w:val="4998C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082E71"/>
    <w:multiLevelType w:val="hybridMultilevel"/>
    <w:tmpl w:val="A72CD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52432C"/>
    <w:multiLevelType w:val="hybridMultilevel"/>
    <w:tmpl w:val="55CE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B11CD"/>
    <w:multiLevelType w:val="hybridMultilevel"/>
    <w:tmpl w:val="C4E89F02"/>
    <w:lvl w:ilvl="0" w:tplc="ABDEE34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1C0C"/>
    <w:multiLevelType w:val="hybridMultilevel"/>
    <w:tmpl w:val="8428793A"/>
    <w:lvl w:ilvl="0" w:tplc="27623BC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6B6470"/>
    <w:multiLevelType w:val="hybridMultilevel"/>
    <w:tmpl w:val="A670A558"/>
    <w:lvl w:ilvl="0" w:tplc="A86262AA">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6" w15:restartNumberingAfterBreak="0">
    <w:nsid w:val="209D71BD"/>
    <w:multiLevelType w:val="hybridMultilevel"/>
    <w:tmpl w:val="7ABE6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150E1D"/>
    <w:multiLevelType w:val="hybridMultilevel"/>
    <w:tmpl w:val="A754C9D2"/>
    <w:lvl w:ilvl="0" w:tplc="5024CD62">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8" w15:restartNumberingAfterBreak="0">
    <w:nsid w:val="26582BFF"/>
    <w:multiLevelType w:val="hybridMultilevel"/>
    <w:tmpl w:val="3934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3321D"/>
    <w:multiLevelType w:val="hybridMultilevel"/>
    <w:tmpl w:val="A914CF08"/>
    <w:lvl w:ilvl="0" w:tplc="9EB88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737471"/>
    <w:multiLevelType w:val="hybridMultilevel"/>
    <w:tmpl w:val="B89A8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77BA3"/>
    <w:multiLevelType w:val="hybridMultilevel"/>
    <w:tmpl w:val="051A1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BA4017"/>
    <w:multiLevelType w:val="hybridMultilevel"/>
    <w:tmpl w:val="0AF22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9861581"/>
    <w:multiLevelType w:val="hybridMultilevel"/>
    <w:tmpl w:val="4A04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6121A"/>
    <w:multiLevelType w:val="hybridMultilevel"/>
    <w:tmpl w:val="95DEF066"/>
    <w:lvl w:ilvl="0" w:tplc="0ED66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8C555F"/>
    <w:multiLevelType w:val="hybridMultilevel"/>
    <w:tmpl w:val="A96AB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B0F3A"/>
    <w:multiLevelType w:val="hybridMultilevel"/>
    <w:tmpl w:val="8FB223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C80CC9"/>
    <w:multiLevelType w:val="hybridMultilevel"/>
    <w:tmpl w:val="D8CCB0E4"/>
    <w:lvl w:ilvl="0" w:tplc="9ECC98D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8" w15:restartNumberingAfterBreak="0">
    <w:nsid w:val="41517F01"/>
    <w:multiLevelType w:val="hybridMultilevel"/>
    <w:tmpl w:val="5A1A0506"/>
    <w:lvl w:ilvl="0" w:tplc="654A60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702CEE"/>
    <w:multiLevelType w:val="hybridMultilevel"/>
    <w:tmpl w:val="ABE2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124789"/>
    <w:multiLevelType w:val="hybridMultilevel"/>
    <w:tmpl w:val="14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B4B90"/>
    <w:multiLevelType w:val="hybridMultilevel"/>
    <w:tmpl w:val="823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6E6D5F"/>
    <w:multiLevelType w:val="hybridMultilevel"/>
    <w:tmpl w:val="3F8897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8629D"/>
    <w:multiLevelType w:val="hybridMultilevel"/>
    <w:tmpl w:val="D86A1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6C7D4E"/>
    <w:multiLevelType w:val="hybridMultilevel"/>
    <w:tmpl w:val="B1CA31C0"/>
    <w:lvl w:ilvl="0" w:tplc="3058054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5" w15:restartNumberingAfterBreak="0">
    <w:nsid w:val="46044230"/>
    <w:multiLevelType w:val="hybridMultilevel"/>
    <w:tmpl w:val="EE9EA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6403A5D"/>
    <w:multiLevelType w:val="hybridMultilevel"/>
    <w:tmpl w:val="6142AD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6AC64BB"/>
    <w:multiLevelType w:val="hybridMultilevel"/>
    <w:tmpl w:val="FA2E3D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CA0099"/>
    <w:multiLevelType w:val="hybridMultilevel"/>
    <w:tmpl w:val="12F21A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A222D41"/>
    <w:multiLevelType w:val="hybridMultilevel"/>
    <w:tmpl w:val="90429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DB0603"/>
    <w:multiLevelType w:val="hybridMultilevel"/>
    <w:tmpl w:val="8ECCA6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C7858BD"/>
    <w:multiLevelType w:val="hybridMultilevel"/>
    <w:tmpl w:val="12B6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4F44CB"/>
    <w:multiLevelType w:val="hybridMultilevel"/>
    <w:tmpl w:val="C57014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2235EA3"/>
    <w:multiLevelType w:val="hybridMultilevel"/>
    <w:tmpl w:val="B658F6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50E40BB"/>
    <w:multiLevelType w:val="hybridMultilevel"/>
    <w:tmpl w:val="EC0ACC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53C2AC1"/>
    <w:multiLevelType w:val="hybridMultilevel"/>
    <w:tmpl w:val="1BB07D04"/>
    <w:lvl w:ilvl="0" w:tplc="2B5CC1A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55853DD"/>
    <w:multiLevelType w:val="hybridMultilevel"/>
    <w:tmpl w:val="2E68B436"/>
    <w:lvl w:ilvl="0" w:tplc="B0403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5A3166A"/>
    <w:multiLevelType w:val="hybridMultilevel"/>
    <w:tmpl w:val="3FEA50E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6FA7CC1"/>
    <w:multiLevelType w:val="hybridMultilevel"/>
    <w:tmpl w:val="682AAE2C"/>
    <w:lvl w:ilvl="0" w:tplc="00DE92F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49" w15:restartNumberingAfterBreak="0">
    <w:nsid w:val="57DF5939"/>
    <w:multiLevelType w:val="hybridMultilevel"/>
    <w:tmpl w:val="11BA5EAC"/>
    <w:lvl w:ilvl="0" w:tplc="FFFFFFFF">
      <w:start w:val="1"/>
      <w:numFmt w:val="upperLetter"/>
      <w:lvlText w:val="%1."/>
      <w:lvlJc w:val="left"/>
      <w:pPr>
        <w:ind w:left="1080" w:hanging="72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B661A89"/>
    <w:multiLevelType w:val="hybridMultilevel"/>
    <w:tmpl w:val="8546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2965D8"/>
    <w:multiLevelType w:val="hybridMultilevel"/>
    <w:tmpl w:val="A22E3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C06F12"/>
    <w:multiLevelType w:val="hybridMultilevel"/>
    <w:tmpl w:val="C114C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D513449"/>
    <w:multiLevelType w:val="hybridMultilevel"/>
    <w:tmpl w:val="1BD085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137681"/>
    <w:multiLevelType w:val="hybridMultilevel"/>
    <w:tmpl w:val="F2C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680422"/>
    <w:multiLevelType w:val="hybridMultilevel"/>
    <w:tmpl w:val="69649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4B135C2"/>
    <w:multiLevelType w:val="hybridMultilevel"/>
    <w:tmpl w:val="FF34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55283B"/>
    <w:multiLevelType w:val="hybridMultilevel"/>
    <w:tmpl w:val="0EBE0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712727B"/>
    <w:multiLevelType w:val="hybridMultilevel"/>
    <w:tmpl w:val="71622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3220C6"/>
    <w:multiLevelType w:val="hybridMultilevel"/>
    <w:tmpl w:val="12768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699E25E7"/>
    <w:multiLevelType w:val="hybridMultilevel"/>
    <w:tmpl w:val="A5BA6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9D671EC"/>
    <w:multiLevelType w:val="hybridMultilevel"/>
    <w:tmpl w:val="8A44D9EA"/>
    <w:lvl w:ilvl="0" w:tplc="5A4A366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6BA84F71"/>
    <w:multiLevelType w:val="hybridMultilevel"/>
    <w:tmpl w:val="AA68E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D941ADB"/>
    <w:multiLevelType w:val="hybridMultilevel"/>
    <w:tmpl w:val="E736A6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FAC7451"/>
    <w:multiLevelType w:val="hybridMultilevel"/>
    <w:tmpl w:val="3EDA7F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72002E98"/>
    <w:multiLevelType w:val="hybridMultilevel"/>
    <w:tmpl w:val="8B9EA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3B11B1D"/>
    <w:multiLevelType w:val="hybridMultilevel"/>
    <w:tmpl w:val="A2F8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0D4BF3"/>
    <w:multiLevelType w:val="hybridMultilevel"/>
    <w:tmpl w:val="CB9A8918"/>
    <w:lvl w:ilvl="0" w:tplc="E572FE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E03664"/>
    <w:multiLevelType w:val="hybridMultilevel"/>
    <w:tmpl w:val="AC9C6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74905AC"/>
    <w:multiLevelType w:val="hybridMultilevel"/>
    <w:tmpl w:val="7E18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592E2E"/>
    <w:multiLevelType w:val="hybridMultilevel"/>
    <w:tmpl w:val="11BA5EAC"/>
    <w:lvl w:ilvl="0" w:tplc="FFFFFFFF">
      <w:start w:val="1"/>
      <w:numFmt w:val="upperLetter"/>
      <w:lvlText w:val="%1."/>
      <w:lvlJc w:val="left"/>
      <w:pPr>
        <w:ind w:left="1080" w:hanging="72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A1B31F8"/>
    <w:multiLevelType w:val="hybridMultilevel"/>
    <w:tmpl w:val="73E8FC7E"/>
    <w:lvl w:ilvl="0" w:tplc="27623B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A903F38"/>
    <w:multiLevelType w:val="hybridMultilevel"/>
    <w:tmpl w:val="FB4890C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7B73324D"/>
    <w:multiLevelType w:val="hybridMultilevel"/>
    <w:tmpl w:val="FB7418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7C76110F"/>
    <w:multiLevelType w:val="hybridMultilevel"/>
    <w:tmpl w:val="85E2CFA4"/>
    <w:lvl w:ilvl="0" w:tplc="393AE9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CC56A72"/>
    <w:multiLevelType w:val="hybridMultilevel"/>
    <w:tmpl w:val="F02ED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DE33000"/>
    <w:multiLevelType w:val="hybridMultilevel"/>
    <w:tmpl w:val="151052AE"/>
    <w:lvl w:ilvl="0" w:tplc="4C048C7A">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7E5557EB"/>
    <w:multiLevelType w:val="hybridMultilevel"/>
    <w:tmpl w:val="21A89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F7C1CFE"/>
    <w:multiLevelType w:val="hybridMultilevel"/>
    <w:tmpl w:val="525E4EB6"/>
    <w:lvl w:ilvl="0" w:tplc="64C09B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FD55ECE"/>
    <w:multiLevelType w:val="hybridMultilevel"/>
    <w:tmpl w:val="11BA5EAC"/>
    <w:lvl w:ilvl="0" w:tplc="FFFFFFFF">
      <w:start w:val="1"/>
      <w:numFmt w:val="upperLetter"/>
      <w:lvlText w:val="%1."/>
      <w:lvlJc w:val="left"/>
      <w:pPr>
        <w:ind w:left="1080" w:hanging="72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2680795">
    <w:abstractNumId w:val="3"/>
  </w:num>
  <w:num w:numId="2" w16cid:durableId="814251281">
    <w:abstractNumId w:val="65"/>
  </w:num>
  <w:num w:numId="3" w16cid:durableId="1046952908">
    <w:abstractNumId w:val="75"/>
  </w:num>
  <w:num w:numId="4" w16cid:durableId="1316687687">
    <w:abstractNumId w:val="35"/>
  </w:num>
  <w:num w:numId="5" w16cid:durableId="1868760084">
    <w:abstractNumId w:val="44"/>
  </w:num>
  <w:num w:numId="6" w16cid:durableId="1383559885">
    <w:abstractNumId w:val="60"/>
  </w:num>
  <w:num w:numId="7" w16cid:durableId="1905484499">
    <w:abstractNumId w:val="59"/>
  </w:num>
  <w:num w:numId="8" w16cid:durableId="1359771271">
    <w:abstractNumId w:val="63"/>
  </w:num>
  <w:num w:numId="9" w16cid:durableId="13655982">
    <w:abstractNumId w:val="57"/>
  </w:num>
  <w:num w:numId="10" w16cid:durableId="67506135">
    <w:abstractNumId w:val="36"/>
  </w:num>
  <w:num w:numId="11" w16cid:durableId="451092640">
    <w:abstractNumId w:val="42"/>
  </w:num>
  <w:num w:numId="12" w16cid:durableId="880090167">
    <w:abstractNumId w:val="21"/>
  </w:num>
  <w:num w:numId="13" w16cid:durableId="1384257731">
    <w:abstractNumId w:val="73"/>
  </w:num>
  <w:num w:numId="14" w16cid:durableId="1292245945">
    <w:abstractNumId w:val="77"/>
  </w:num>
  <w:num w:numId="15" w16cid:durableId="370882832">
    <w:abstractNumId w:val="43"/>
  </w:num>
  <w:num w:numId="16" w16cid:durableId="398408970">
    <w:abstractNumId w:val="40"/>
  </w:num>
  <w:num w:numId="17" w16cid:durableId="865873632">
    <w:abstractNumId w:val="4"/>
  </w:num>
  <w:num w:numId="18" w16cid:durableId="790637222">
    <w:abstractNumId w:val="39"/>
  </w:num>
  <w:num w:numId="19" w16cid:durableId="2057242996">
    <w:abstractNumId w:val="52"/>
  </w:num>
  <w:num w:numId="20" w16cid:durableId="668142981">
    <w:abstractNumId w:val="5"/>
  </w:num>
  <w:num w:numId="21" w16cid:durableId="30738211">
    <w:abstractNumId w:val="38"/>
  </w:num>
  <w:num w:numId="22" w16cid:durableId="122625002">
    <w:abstractNumId w:val="8"/>
  </w:num>
  <w:num w:numId="23" w16cid:durableId="1130436143">
    <w:abstractNumId w:val="2"/>
  </w:num>
  <w:num w:numId="24" w16cid:durableId="263466661">
    <w:abstractNumId w:val="55"/>
  </w:num>
  <w:num w:numId="25" w16cid:durableId="904535790">
    <w:abstractNumId w:val="10"/>
  </w:num>
  <w:num w:numId="26" w16cid:durableId="1166245109">
    <w:abstractNumId w:val="31"/>
  </w:num>
  <w:num w:numId="27" w16cid:durableId="680015232">
    <w:abstractNumId w:val="50"/>
  </w:num>
  <w:num w:numId="28" w16cid:durableId="2068870706">
    <w:abstractNumId w:val="41"/>
  </w:num>
  <w:num w:numId="29" w16cid:durableId="741367478">
    <w:abstractNumId w:val="68"/>
  </w:num>
  <w:num w:numId="30" w16cid:durableId="1156414519">
    <w:abstractNumId w:val="16"/>
  </w:num>
  <w:num w:numId="31" w16cid:durableId="1517304718">
    <w:abstractNumId w:val="66"/>
  </w:num>
  <w:num w:numId="32" w16cid:durableId="8144145">
    <w:abstractNumId w:val="7"/>
  </w:num>
  <w:num w:numId="33" w16cid:durableId="2079131941">
    <w:abstractNumId w:val="69"/>
  </w:num>
  <w:num w:numId="34" w16cid:durableId="1702364930">
    <w:abstractNumId w:val="51"/>
  </w:num>
  <w:num w:numId="35" w16cid:durableId="1899055048">
    <w:abstractNumId w:val="56"/>
  </w:num>
  <w:num w:numId="36" w16cid:durableId="284044379">
    <w:abstractNumId w:val="37"/>
  </w:num>
  <w:num w:numId="37" w16cid:durableId="952247518">
    <w:abstractNumId w:val="19"/>
  </w:num>
  <w:num w:numId="38" w16cid:durableId="698436034">
    <w:abstractNumId w:val="58"/>
  </w:num>
  <w:num w:numId="39" w16cid:durableId="767699760">
    <w:abstractNumId w:val="26"/>
  </w:num>
  <w:num w:numId="40" w16cid:durableId="519703046">
    <w:abstractNumId w:val="53"/>
  </w:num>
  <w:num w:numId="41" w16cid:durableId="1695500768">
    <w:abstractNumId w:val="32"/>
  </w:num>
  <w:num w:numId="42" w16cid:durableId="1683705536">
    <w:abstractNumId w:val="6"/>
  </w:num>
  <w:num w:numId="43" w16cid:durableId="2037659571">
    <w:abstractNumId w:val="33"/>
  </w:num>
  <w:num w:numId="44" w16cid:durableId="934677030">
    <w:abstractNumId w:val="20"/>
  </w:num>
  <w:num w:numId="45" w16cid:durableId="1220357331">
    <w:abstractNumId w:val="25"/>
  </w:num>
  <w:num w:numId="46" w16cid:durableId="1685591629">
    <w:abstractNumId w:val="0"/>
  </w:num>
  <w:num w:numId="47" w16cid:durableId="448856389">
    <w:abstractNumId w:val="54"/>
  </w:num>
  <w:num w:numId="48" w16cid:durableId="170686994">
    <w:abstractNumId w:val="30"/>
  </w:num>
  <w:num w:numId="49" w16cid:durableId="1553811794">
    <w:abstractNumId w:val="12"/>
  </w:num>
  <w:num w:numId="50" w16cid:durableId="306251477">
    <w:abstractNumId w:val="18"/>
  </w:num>
  <w:num w:numId="51" w16cid:durableId="1348098202">
    <w:abstractNumId w:val="23"/>
  </w:num>
  <w:num w:numId="52" w16cid:durableId="757216409">
    <w:abstractNumId w:val="14"/>
  </w:num>
  <w:num w:numId="53" w16cid:durableId="111412443">
    <w:abstractNumId w:val="13"/>
  </w:num>
  <w:num w:numId="54" w16cid:durableId="1778669862">
    <w:abstractNumId w:val="67"/>
  </w:num>
  <w:num w:numId="55" w16cid:durableId="1166434448">
    <w:abstractNumId w:val="28"/>
  </w:num>
  <w:num w:numId="56" w16cid:durableId="1322851017">
    <w:abstractNumId w:val="24"/>
  </w:num>
  <w:num w:numId="57" w16cid:durableId="1127361101">
    <w:abstractNumId w:val="29"/>
  </w:num>
  <w:num w:numId="58" w16cid:durableId="796681989">
    <w:abstractNumId w:val="62"/>
  </w:num>
  <w:num w:numId="59" w16cid:durableId="379794170">
    <w:abstractNumId w:val="64"/>
  </w:num>
  <w:num w:numId="60" w16cid:durableId="1339499970">
    <w:abstractNumId w:val="46"/>
  </w:num>
  <w:num w:numId="61" w16cid:durableId="197621906">
    <w:abstractNumId w:val="22"/>
  </w:num>
  <w:num w:numId="62" w16cid:durableId="166093588">
    <w:abstractNumId w:val="78"/>
  </w:num>
  <w:num w:numId="63" w16cid:durableId="1230919284">
    <w:abstractNumId w:val="71"/>
  </w:num>
  <w:num w:numId="64" w16cid:durableId="345837281">
    <w:abstractNumId w:val="9"/>
  </w:num>
  <w:num w:numId="65" w16cid:durableId="1959287910">
    <w:abstractNumId w:val="76"/>
  </w:num>
  <w:num w:numId="66" w16cid:durableId="730278014">
    <w:abstractNumId w:val="45"/>
  </w:num>
  <w:num w:numId="67" w16cid:durableId="1240209848">
    <w:abstractNumId w:val="47"/>
  </w:num>
  <w:num w:numId="68" w16cid:durableId="1847358538">
    <w:abstractNumId w:val="72"/>
  </w:num>
  <w:num w:numId="69" w16cid:durableId="1279144235">
    <w:abstractNumId w:val="1"/>
  </w:num>
  <w:num w:numId="70" w16cid:durableId="1413815480">
    <w:abstractNumId w:val="79"/>
  </w:num>
  <w:num w:numId="71" w16cid:durableId="1348827324">
    <w:abstractNumId w:val="70"/>
  </w:num>
  <w:num w:numId="72" w16cid:durableId="890189697">
    <w:abstractNumId w:val="49"/>
  </w:num>
  <w:num w:numId="73" w16cid:durableId="52705291">
    <w:abstractNumId w:val="61"/>
  </w:num>
  <w:num w:numId="74" w16cid:durableId="1024017386">
    <w:abstractNumId w:val="74"/>
  </w:num>
  <w:num w:numId="75" w16cid:durableId="1443842430">
    <w:abstractNumId w:val="11"/>
  </w:num>
  <w:num w:numId="76" w16cid:durableId="887304939">
    <w:abstractNumId w:val="17"/>
  </w:num>
  <w:num w:numId="77" w16cid:durableId="70662269">
    <w:abstractNumId w:val="27"/>
  </w:num>
  <w:num w:numId="78" w16cid:durableId="1447696006">
    <w:abstractNumId w:val="15"/>
  </w:num>
  <w:num w:numId="79" w16cid:durableId="1231620796">
    <w:abstractNumId w:val="48"/>
  </w:num>
  <w:num w:numId="80" w16cid:durableId="1718507179">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Ic5L56ovhp/IYizNt85d2hu2NcBjetvLhQC80BhpQEN3cp/q+bpud2IMIpilJcSt2DjGwosOXMvWMWpnrImdBg==" w:salt="5sJSZJrcFEVzIl4WVid6xQ=="/>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trackedChanges" w:enforcement="1"/>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CITRUS_JURISDICTION" w:val="Bluebook"/>
  </w:docVars>
  <w:rsids>
    <w:rsidRoot w:val="00901B9F"/>
    <w:rsid w:val="00000938"/>
    <w:rsid w:val="000026DB"/>
    <w:rsid w:val="000034AA"/>
    <w:rsid w:val="00004657"/>
    <w:rsid w:val="000065E0"/>
    <w:rsid w:val="00007EAB"/>
    <w:rsid w:val="00012EA0"/>
    <w:rsid w:val="000134CA"/>
    <w:rsid w:val="00014197"/>
    <w:rsid w:val="000148EC"/>
    <w:rsid w:val="00014AC2"/>
    <w:rsid w:val="0002092C"/>
    <w:rsid w:val="00021F95"/>
    <w:rsid w:val="000220B5"/>
    <w:rsid w:val="00022DD7"/>
    <w:rsid w:val="00024240"/>
    <w:rsid w:val="000261C9"/>
    <w:rsid w:val="0002644F"/>
    <w:rsid w:val="00026492"/>
    <w:rsid w:val="000266F0"/>
    <w:rsid w:val="000303ED"/>
    <w:rsid w:val="00031CB6"/>
    <w:rsid w:val="000324EE"/>
    <w:rsid w:val="00032543"/>
    <w:rsid w:val="000338DD"/>
    <w:rsid w:val="00033CC5"/>
    <w:rsid w:val="000366E6"/>
    <w:rsid w:val="00037C81"/>
    <w:rsid w:val="000461AE"/>
    <w:rsid w:val="00053271"/>
    <w:rsid w:val="000540B1"/>
    <w:rsid w:val="000547E0"/>
    <w:rsid w:val="000564A6"/>
    <w:rsid w:val="00056988"/>
    <w:rsid w:val="00056CCE"/>
    <w:rsid w:val="0006108F"/>
    <w:rsid w:val="000627D1"/>
    <w:rsid w:val="00062CE8"/>
    <w:rsid w:val="00062E6E"/>
    <w:rsid w:val="0006511B"/>
    <w:rsid w:val="00067B27"/>
    <w:rsid w:val="00067C4F"/>
    <w:rsid w:val="00070250"/>
    <w:rsid w:val="000714F2"/>
    <w:rsid w:val="000718FD"/>
    <w:rsid w:val="0007378E"/>
    <w:rsid w:val="0007507B"/>
    <w:rsid w:val="00075491"/>
    <w:rsid w:val="00077D0D"/>
    <w:rsid w:val="000829D0"/>
    <w:rsid w:val="00090A3D"/>
    <w:rsid w:val="0009240F"/>
    <w:rsid w:val="00092D9D"/>
    <w:rsid w:val="00092FD7"/>
    <w:rsid w:val="00093317"/>
    <w:rsid w:val="000935BB"/>
    <w:rsid w:val="00093727"/>
    <w:rsid w:val="000938B4"/>
    <w:rsid w:val="000960FF"/>
    <w:rsid w:val="00097D3E"/>
    <w:rsid w:val="000A0BE5"/>
    <w:rsid w:val="000A16F7"/>
    <w:rsid w:val="000A3276"/>
    <w:rsid w:val="000A48E2"/>
    <w:rsid w:val="000A4D10"/>
    <w:rsid w:val="000A4D23"/>
    <w:rsid w:val="000A4D73"/>
    <w:rsid w:val="000A55AA"/>
    <w:rsid w:val="000A6320"/>
    <w:rsid w:val="000A6ECA"/>
    <w:rsid w:val="000B03AD"/>
    <w:rsid w:val="000B049A"/>
    <w:rsid w:val="000B0D7F"/>
    <w:rsid w:val="000B44D8"/>
    <w:rsid w:val="000B4883"/>
    <w:rsid w:val="000B5AFA"/>
    <w:rsid w:val="000B5F29"/>
    <w:rsid w:val="000B699A"/>
    <w:rsid w:val="000C0F8A"/>
    <w:rsid w:val="000C19F1"/>
    <w:rsid w:val="000C235D"/>
    <w:rsid w:val="000C24C8"/>
    <w:rsid w:val="000C4251"/>
    <w:rsid w:val="000C6105"/>
    <w:rsid w:val="000C6E5A"/>
    <w:rsid w:val="000C75CB"/>
    <w:rsid w:val="000D2245"/>
    <w:rsid w:val="000D29DA"/>
    <w:rsid w:val="000D535D"/>
    <w:rsid w:val="000D5DA6"/>
    <w:rsid w:val="000D6299"/>
    <w:rsid w:val="000D787D"/>
    <w:rsid w:val="000D7F66"/>
    <w:rsid w:val="000E2226"/>
    <w:rsid w:val="000E27DF"/>
    <w:rsid w:val="000E443E"/>
    <w:rsid w:val="000E4ACB"/>
    <w:rsid w:val="000E6FBA"/>
    <w:rsid w:val="000E7261"/>
    <w:rsid w:val="000E794C"/>
    <w:rsid w:val="000F09AB"/>
    <w:rsid w:val="000F34B0"/>
    <w:rsid w:val="000F4890"/>
    <w:rsid w:val="000F6BDC"/>
    <w:rsid w:val="0010158F"/>
    <w:rsid w:val="00104E03"/>
    <w:rsid w:val="00107F1C"/>
    <w:rsid w:val="0011065F"/>
    <w:rsid w:val="00114301"/>
    <w:rsid w:val="00114FA6"/>
    <w:rsid w:val="00115B88"/>
    <w:rsid w:val="001205E5"/>
    <w:rsid w:val="0012137D"/>
    <w:rsid w:val="001235DC"/>
    <w:rsid w:val="00126C85"/>
    <w:rsid w:val="00127A0A"/>
    <w:rsid w:val="0013229A"/>
    <w:rsid w:val="00133599"/>
    <w:rsid w:val="001343FF"/>
    <w:rsid w:val="00136328"/>
    <w:rsid w:val="001365ED"/>
    <w:rsid w:val="001376F4"/>
    <w:rsid w:val="00141C46"/>
    <w:rsid w:val="00143756"/>
    <w:rsid w:val="001479F9"/>
    <w:rsid w:val="00151B46"/>
    <w:rsid w:val="00153FED"/>
    <w:rsid w:val="00154A24"/>
    <w:rsid w:val="00155C24"/>
    <w:rsid w:val="00155F18"/>
    <w:rsid w:val="001569FD"/>
    <w:rsid w:val="00156B2D"/>
    <w:rsid w:val="00157E3D"/>
    <w:rsid w:val="001608E8"/>
    <w:rsid w:val="00161750"/>
    <w:rsid w:val="00162A4D"/>
    <w:rsid w:val="00164CB3"/>
    <w:rsid w:val="00166668"/>
    <w:rsid w:val="00166BBB"/>
    <w:rsid w:val="001708F1"/>
    <w:rsid w:val="001714BC"/>
    <w:rsid w:val="00174CC0"/>
    <w:rsid w:val="00174DAD"/>
    <w:rsid w:val="00174E6B"/>
    <w:rsid w:val="00175799"/>
    <w:rsid w:val="00175812"/>
    <w:rsid w:val="0017722B"/>
    <w:rsid w:val="00180E03"/>
    <w:rsid w:val="00183B78"/>
    <w:rsid w:val="00184DFF"/>
    <w:rsid w:val="001934F4"/>
    <w:rsid w:val="0019376C"/>
    <w:rsid w:val="00195135"/>
    <w:rsid w:val="00196E5D"/>
    <w:rsid w:val="00196E98"/>
    <w:rsid w:val="00197E46"/>
    <w:rsid w:val="001A1782"/>
    <w:rsid w:val="001A296C"/>
    <w:rsid w:val="001A3E1E"/>
    <w:rsid w:val="001A4694"/>
    <w:rsid w:val="001A5B4E"/>
    <w:rsid w:val="001A6BFB"/>
    <w:rsid w:val="001A7715"/>
    <w:rsid w:val="001B051A"/>
    <w:rsid w:val="001B153A"/>
    <w:rsid w:val="001B34C8"/>
    <w:rsid w:val="001B38C5"/>
    <w:rsid w:val="001B5B66"/>
    <w:rsid w:val="001B674C"/>
    <w:rsid w:val="001B7DEE"/>
    <w:rsid w:val="001C0638"/>
    <w:rsid w:val="001C280F"/>
    <w:rsid w:val="001C59AF"/>
    <w:rsid w:val="001C7EC7"/>
    <w:rsid w:val="001D00BF"/>
    <w:rsid w:val="001D0408"/>
    <w:rsid w:val="001D14CA"/>
    <w:rsid w:val="001D250B"/>
    <w:rsid w:val="001D2AA7"/>
    <w:rsid w:val="001D3563"/>
    <w:rsid w:val="001D5448"/>
    <w:rsid w:val="001D5D57"/>
    <w:rsid w:val="001D678F"/>
    <w:rsid w:val="001E70E6"/>
    <w:rsid w:val="001F0CB1"/>
    <w:rsid w:val="001F15DE"/>
    <w:rsid w:val="001F2F0E"/>
    <w:rsid w:val="001F595B"/>
    <w:rsid w:val="001F7BE0"/>
    <w:rsid w:val="002007FF"/>
    <w:rsid w:val="00200F56"/>
    <w:rsid w:val="0020302A"/>
    <w:rsid w:val="00205AFC"/>
    <w:rsid w:val="00205BA5"/>
    <w:rsid w:val="002066B2"/>
    <w:rsid w:val="00207C21"/>
    <w:rsid w:val="00212CF8"/>
    <w:rsid w:val="00215736"/>
    <w:rsid w:val="00223E12"/>
    <w:rsid w:val="00225339"/>
    <w:rsid w:val="00225907"/>
    <w:rsid w:val="002263E4"/>
    <w:rsid w:val="00226480"/>
    <w:rsid w:val="00232713"/>
    <w:rsid w:val="00232720"/>
    <w:rsid w:val="002338C7"/>
    <w:rsid w:val="00234EDF"/>
    <w:rsid w:val="00235330"/>
    <w:rsid w:val="00235988"/>
    <w:rsid w:val="002367A5"/>
    <w:rsid w:val="00236CCE"/>
    <w:rsid w:val="00236FD5"/>
    <w:rsid w:val="00241A8C"/>
    <w:rsid w:val="002421E7"/>
    <w:rsid w:val="0024351D"/>
    <w:rsid w:val="002436A6"/>
    <w:rsid w:val="00244F01"/>
    <w:rsid w:val="002459B4"/>
    <w:rsid w:val="00246A7D"/>
    <w:rsid w:val="002474FF"/>
    <w:rsid w:val="00247DF2"/>
    <w:rsid w:val="00250540"/>
    <w:rsid w:val="00250913"/>
    <w:rsid w:val="002509C8"/>
    <w:rsid w:val="00255C18"/>
    <w:rsid w:val="002579F6"/>
    <w:rsid w:val="00257DA2"/>
    <w:rsid w:val="0026216E"/>
    <w:rsid w:val="002622C7"/>
    <w:rsid w:val="00271E1E"/>
    <w:rsid w:val="0027206C"/>
    <w:rsid w:val="00272DAF"/>
    <w:rsid w:val="00273185"/>
    <w:rsid w:val="002744CC"/>
    <w:rsid w:val="00274627"/>
    <w:rsid w:val="00274AF6"/>
    <w:rsid w:val="00275EC4"/>
    <w:rsid w:val="002806D3"/>
    <w:rsid w:val="002846BC"/>
    <w:rsid w:val="00287090"/>
    <w:rsid w:val="002910CB"/>
    <w:rsid w:val="002914B5"/>
    <w:rsid w:val="00293E6A"/>
    <w:rsid w:val="00297B52"/>
    <w:rsid w:val="00297C04"/>
    <w:rsid w:val="002A0966"/>
    <w:rsid w:val="002A1949"/>
    <w:rsid w:val="002A248B"/>
    <w:rsid w:val="002A2777"/>
    <w:rsid w:val="002A3450"/>
    <w:rsid w:val="002A4D05"/>
    <w:rsid w:val="002A5567"/>
    <w:rsid w:val="002A5D22"/>
    <w:rsid w:val="002A6BA5"/>
    <w:rsid w:val="002A6EAA"/>
    <w:rsid w:val="002B08D3"/>
    <w:rsid w:val="002B153D"/>
    <w:rsid w:val="002B1FE4"/>
    <w:rsid w:val="002B214D"/>
    <w:rsid w:val="002B2620"/>
    <w:rsid w:val="002B2C2E"/>
    <w:rsid w:val="002B54ED"/>
    <w:rsid w:val="002B581D"/>
    <w:rsid w:val="002B5D1B"/>
    <w:rsid w:val="002B68E1"/>
    <w:rsid w:val="002B72A7"/>
    <w:rsid w:val="002C0DAB"/>
    <w:rsid w:val="002C4636"/>
    <w:rsid w:val="002C480C"/>
    <w:rsid w:val="002C4939"/>
    <w:rsid w:val="002C52E5"/>
    <w:rsid w:val="002C6141"/>
    <w:rsid w:val="002C669B"/>
    <w:rsid w:val="002D2176"/>
    <w:rsid w:val="002D2868"/>
    <w:rsid w:val="002D7A54"/>
    <w:rsid w:val="002D7DE4"/>
    <w:rsid w:val="002E05E8"/>
    <w:rsid w:val="002E0CA3"/>
    <w:rsid w:val="002E28C0"/>
    <w:rsid w:val="002E3FC2"/>
    <w:rsid w:val="002E44E4"/>
    <w:rsid w:val="002E4E10"/>
    <w:rsid w:val="002E51ED"/>
    <w:rsid w:val="002E5CD1"/>
    <w:rsid w:val="002E7FF7"/>
    <w:rsid w:val="002F23BE"/>
    <w:rsid w:val="002F37D5"/>
    <w:rsid w:val="002F3806"/>
    <w:rsid w:val="002F462C"/>
    <w:rsid w:val="002F5B15"/>
    <w:rsid w:val="002F6F09"/>
    <w:rsid w:val="00301751"/>
    <w:rsid w:val="00301E4F"/>
    <w:rsid w:val="0030633F"/>
    <w:rsid w:val="00310038"/>
    <w:rsid w:val="003115D7"/>
    <w:rsid w:val="0031239F"/>
    <w:rsid w:val="00315629"/>
    <w:rsid w:val="00315BA3"/>
    <w:rsid w:val="00315D6F"/>
    <w:rsid w:val="0031718B"/>
    <w:rsid w:val="003216E8"/>
    <w:rsid w:val="0032189C"/>
    <w:rsid w:val="00321E67"/>
    <w:rsid w:val="00322085"/>
    <w:rsid w:val="00322507"/>
    <w:rsid w:val="00322638"/>
    <w:rsid w:val="00323A66"/>
    <w:rsid w:val="00324093"/>
    <w:rsid w:val="0032482F"/>
    <w:rsid w:val="00324EF9"/>
    <w:rsid w:val="003279F5"/>
    <w:rsid w:val="00331AE9"/>
    <w:rsid w:val="00332C8E"/>
    <w:rsid w:val="00334396"/>
    <w:rsid w:val="00334B1D"/>
    <w:rsid w:val="00335DC6"/>
    <w:rsid w:val="00341857"/>
    <w:rsid w:val="00342D99"/>
    <w:rsid w:val="003438D4"/>
    <w:rsid w:val="00345637"/>
    <w:rsid w:val="00346BE2"/>
    <w:rsid w:val="00347F65"/>
    <w:rsid w:val="00352383"/>
    <w:rsid w:val="003528F8"/>
    <w:rsid w:val="0035301A"/>
    <w:rsid w:val="003575A0"/>
    <w:rsid w:val="00365787"/>
    <w:rsid w:val="00366F8D"/>
    <w:rsid w:val="00367F58"/>
    <w:rsid w:val="003738E2"/>
    <w:rsid w:val="00375ACA"/>
    <w:rsid w:val="003763D3"/>
    <w:rsid w:val="00384921"/>
    <w:rsid w:val="00385A64"/>
    <w:rsid w:val="00385E3C"/>
    <w:rsid w:val="00387C5E"/>
    <w:rsid w:val="00392633"/>
    <w:rsid w:val="00393C41"/>
    <w:rsid w:val="00394842"/>
    <w:rsid w:val="0039591C"/>
    <w:rsid w:val="00395FE5"/>
    <w:rsid w:val="00397340"/>
    <w:rsid w:val="00397D88"/>
    <w:rsid w:val="003A03EC"/>
    <w:rsid w:val="003A1344"/>
    <w:rsid w:val="003A1526"/>
    <w:rsid w:val="003A155C"/>
    <w:rsid w:val="003A2202"/>
    <w:rsid w:val="003A2A58"/>
    <w:rsid w:val="003A6E73"/>
    <w:rsid w:val="003A706C"/>
    <w:rsid w:val="003A7EAE"/>
    <w:rsid w:val="003B01AC"/>
    <w:rsid w:val="003B114A"/>
    <w:rsid w:val="003B15B8"/>
    <w:rsid w:val="003B1BE3"/>
    <w:rsid w:val="003B35D9"/>
    <w:rsid w:val="003B5A06"/>
    <w:rsid w:val="003B5D6E"/>
    <w:rsid w:val="003B5F7F"/>
    <w:rsid w:val="003B6F82"/>
    <w:rsid w:val="003B7B3D"/>
    <w:rsid w:val="003C319E"/>
    <w:rsid w:val="003C3859"/>
    <w:rsid w:val="003C6E4C"/>
    <w:rsid w:val="003C70B8"/>
    <w:rsid w:val="003C79E0"/>
    <w:rsid w:val="003C7B54"/>
    <w:rsid w:val="003D02B9"/>
    <w:rsid w:val="003D06BA"/>
    <w:rsid w:val="003D27C7"/>
    <w:rsid w:val="003D352E"/>
    <w:rsid w:val="003D6A1B"/>
    <w:rsid w:val="003D768C"/>
    <w:rsid w:val="003E244A"/>
    <w:rsid w:val="003E3FD2"/>
    <w:rsid w:val="003E4EED"/>
    <w:rsid w:val="003E54D9"/>
    <w:rsid w:val="003F057B"/>
    <w:rsid w:val="003F10CD"/>
    <w:rsid w:val="003F1A7C"/>
    <w:rsid w:val="003F3452"/>
    <w:rsid w:val="003F5EE2"/>
    <w:rsid w:val="0040318D"/>
    <w:rsid w:val="00405EB4"/>
    <w:rsid w:val="0040614B"/>
    <w:rsid w:val="0041274B"/>
    <w:rsid w:val="004145B5"/>
    <w:rsid w:val="0041466B"/>
    <w:rsid w:val="0041655D"/>
    <w:rsid w:val="00416F63"/>
    <w:rsid w:val="00420FC4"/>
    <w:rsid w:val="00421E5C"/>
    <w:rsid w:val="004227F4"/>
    <w:rsid w:val="00424776"/>
    <w:rsid w:val="004250E3"/>
    <w:rsid w:val="004320B5"/>
    <w:rsid w:val="0043232D"/>
    <w:rsid w:val="00432591"/>
    <w:rsid w:val="00433F93"/>
    <w:rsid w:val="004344EB"/>
    <w:rsid w:val="00434F09"/>
    <w:rsid w:val="00436013"/>
    <w:rsid w:val="00436940"/>
    <w:rsid w:val="00440AE4"/>
    <w:rsid w:val="004410BB"/>
    <w:rsid w:val="004422D8"/>
    <w:rsid w:val="00444285"/>
    <w:rsid w:val="0044653F"/>
    <w:rsid w:val="00446677"/>
    <w:rsid w:val="0045181A"/>
    <w:rsid w:val="0045243E"/>
    <w:rsid w:val="00456FA0"/>
    <w:rsid w:val="004616EF"/>
    <w:rsid w:val="00461FF4"/>
    <w:rsid w:val="00463508"/>
    <w:rsid w:val="004676AB"/>
    <w:rsid w:val="00467A31"/>
    <w:rsid w:val="00467B75"/>
    <w:rsid w:val="00467D74"/>
    <w:rsid w:val="00473401"/>
    <w:rsid w:val="00473597"/>
    <w:rsid w:val="004735C3"/>
    <w:rsid w:val="004738C6"/>
    <w:rsid w:val="00476A54"/>
    <w:rsid w:val="00477AFF"/>
    <w:rsid w:val="00477FA9"/>
    <w:rsid w:val="004803C8"/>
    <w:rsid w:val="00481327"/>
    <w:rsid w:val="0048363B"/>
    <w:rsid w:val="00484904"/>
    <w:rsid w:val="00484C2D"/>
    <w:rsid w:val="00485094"/>
    <w:rsid w:val="00487DE1"/>
    <w:rsid w:val="0049072B"/>
    <w:rsid w:val="004908F0"/>
    <w:rsid w:val="00493509"/>
    <w:rsid w:val="00494169"/>
    <w:rsid w:val="004A03DB"/>
    <w:rsid w:val="004A2B65"/>
    <w:rsid w:val="004A4EB1"/>
    <w:rsid w:val="004A5FB2"/>
    <w:rsid w:val="004B05E5"/>
    <w:rsid w:val="004B1375"/>
    <w:rsid w:val="004B13A5"/>
    <w:rsid w:val="004B1EC5"/>
    <w:rsid w:val="004B2201"/>
    <w:rsid w:val="004B3626"/>
    <w:rsid w:val="004B5779"/>
    <w:rsid w:val="004B5C85"/>
    <w:rsid w:val="004B5EE0"/>
    <w:rsid w:val="004B67C6"/>
    <w:rsid w:val="004B6B01"/>
    <w:rsid w:val="004B7E2A"/>
    <w:rsid w:val="004C021E"/>
    <w:rsid w:val="004C0F82"/>
    <w:rsid w:val="004C10F8"/>
    <w:rsid w:val="004C161D"/>
    <w:rsid w:val="004C32DD"/>
    <w:rsid w:val="004C3EA4"/>
    <w:rsid w:val="004C551E"/>
    <w:rsid w:val="004C6F30"/>
    <w:rsid w:val="004D06FD"/>
    <w:rsid w:val="004D1A83"/>
    <w:rsid w:val="004D2D28"/>
    <w:rsid w:val="004D314B"/>
    <w:rsid w:val="004D3A02"/>
    <w:rsid w:val="004D454B"/>
    <w:rsid w:val="004D57A1"/>
    <w:rsid w:val="004D662D"/>
    <w:rsid w:val="004E5DC2"/>
    <w:rsid w:val="004E5EA8"/>
    <w:rsid w:val="004E661A"/>
    <w:rsid w:val="004E69D8"/>
    <w:rsid w:val="004F015A"/>
    <w:rsid w:val="004F0297"/>
    <w:rsid w:val="004F1FC1"/>
    <w:rsid w:val="004F233B"/>
    <w:rsid w:val="004F2C69"/>
    <w:rsid w:val="004F53F5"/>
    <w:rsid w:val="004F555B"/>
    <w:rsid w:val="004F7993"/>
    <w:rsid w:val="00500C25"/>
    <w:rsid w:val="00501B30"/>
    <w:rsid w:val="00502D40"/>
    <w:rsid w:val="0050374C"/>
    <w:rsid w:val="00511ABC"/>
    <w:rsid w:val="00515622"/>
    <w:rsid w:val="005168CC"/>
    <w:rsid w:val="00516C0C"/>
    <w:rsid w:val="005236EE"/>
    <w:rsid w:val="00524427"/>
    <w:rsid w:val="00526E57"/>
    <w:rsid w:val="00527558"/>
    <w:rsid w:val="00530F8D"/>
    <w:rsid w:val="00531C41"/>
    <w:rsid w:val="00532084"/>
    <w:rsid w:val="00534701"/>
    <w:rsid w:val="005349BC"/>
    <w:rsid w:val="00534F19"/>
    <w:rsid w:val="00536185"/>
    <w:rsid w:val="0053674D"/>
    <w:rsid w:val="00537E1D"/>
    <w:rsid w:val="00540053"/>
    <w:rsid w:val="0054055F"/>
    <w:rsid w:val="00542DA8"/>
    <w:rsid w:val="00543015"/>
    <w:rsid w:val="00544709"/>
    <w:rsid w:val="00544CDA"/>
    <w:rsid w:val="00544E2F"/>
    <w:rsid w:val="00545D47"/>
    <w:rsid w:val="0054615C"/>
    <w:rsid w:val="00546AC7"/>
    <w:rsid w:val="00547B53"/>
    <w:rsid w:val="00550C17"/>
    <w:rsid w:val="005520D5"/>
    <w:rsid w:val="00554F26"/>
    <w:rsid w:val="0055678A"/>
    <w:rsid w:val="005571DC"/>
    <w:rsid w:val="00560ADC"/>
    <w:rsid w:val="00561EB5"/>
    <w:rsid w:val="00562FA8"/>
    <w:rsid w:val="00562FC0"/>
    <w:rsid w:val="00563876"/>
    <w:rsid w:val="00563F90"/>
    <w:rsid w:val="00565B5A"/>
    <w:rsid w:val="0056737A"/>
    <w:rsid w:val="00573589"/>
    <w:rsid w:val="0057467D"/>
    <w:rsid w:val="00574FAC"/>
    <w:rsid w:val="0057651E"/>
    <w:rsid w:val="0057693D"/>
    <w:rsid w:val="00582720"/>
    <w:rsid w:val="0058329E"/>
    <w:rsid w:val="00586B00"/>
    <w:rsid w:val="00590019"/>
    <w:rsid w:val="00590D99"/>
    <w:rsid w:val="00594366"/>
    <w:rsid w:val="005A1F8B"/>
    <w:rsid w:val="005A29C8"/>
    <w:rsid w:val="005A405D"/>
    <w:rsid w:val="005A501A"/>
    <w:rsid w:val="005A7D88"/>
    <w:rsid w:val="005B0F16"/>
    <w:rsid w:val="005B2331"/>
    <w:rsid w:val="005B27A9"/>
    <w:rsid w:val="005B2BC2"/>
    <w:rsid w:val="005B3039"/>
    <w:rsid w:val="005B33B7"/>
    <w:rsid w:val="005B42CB"/>
    <w:rsid w:val="005B5794"/>
    <w:rsid w:val="005C0923"/>
    <w:rsid w:val="005C3880"/>
    <w:rsid w:val="005C3A08"/>
    <w:rsid w:val="005C41EB"/>
    <w:rsid w:val="005C451E"/>
    <w:rsid w:val="005C6C3A"/>
    <w:rsid w:val="005D4430"/>
    <w:rsid w:val="005D4449"/>
    <w:rsid w:val="005D6BEA"/>
    <w:rsid w:val="005E0EB4"/>
    <w:rsid w:val="005E1089"/>
    <w:rsid w:val="005E1188"/>
    <w:rsid w:val="005E1B0E"/>
    <w:rsid w:val="005F3C24"/>
    <w:rsid w:val="005F56B4"/>
    <w:rsid w:val="005F71AD"/>
    <w:rsid w:val="005F7222"/>
    <w:rsid w:val="00601F00"/>
    <w:rsid w:val="00602455"/>
    <w:rsid w:val="00602AB6"/>
    <w:rsid w:val="00602B77"/>
    <w:rsid w:val="00603CCD"/>
    <w:rsid w:val="006065C2"/>
    <w:rsid w:val="006103B4"/>
    <w:rsid w:val="00611596"/>
    <w:rsid w:val="006116F7"/>
    <w:rsid w:val="006122AD"/>
    <w:rsid w:val="0061236F"/>
    <w:rsid w:val="00612B91"/>
    <w:rsid w:val="00614FD3"/>
    <w:rsid w:val="00617457"/>
    <w:rsid w:val="00620923"/>
    <w:rsid w:val="00622AEB"/>
    <w:rsid w:val="0063244B"/>
    <w:rsid w:val="00633746"/>
    <w:rsid w:val="006338B3"/>
    <w:rsid w:val="006342F8"/>
    <w:rsid w:val="00634B77"/>
    <w:rsid w:val="00635961"/>
    <w:rsid w:val="00636722"/>
    <w:rsid w:val="006368E1"/>
    <w:rsid w:val="00641397"/>
    <w:rsid w:val="00641C2A"/>
    <w:rsid w:val="00642CEA"/>
    <w:rsid w:val="006477B4"/>
    <w:rsid w:val="00647E34"/>
    <w:rsid w:val="00650F8B"/>
    <w:rsid w:val="00651621"/>
    <w:rsid w:val="006527BC"/>
    <w:rsid w:val="00653A56"/>
    <w:rsid w:val="00655020"/>
    <w:rsid w:val="00655352"/>
    <w:rsid w:val="00655DAE"/>
    <w:rsid w:val="00656855"/>
    <w:rsid w:val="00656B3E"/>
    <w:rsid w:val="00660C80"/>
    <w:rsid w:val="00661727"/>
    <w:rsid w:val="00662C0D"/>
    <w:rsid w:val="0066352A"/>
    <w:rsid w:val="00663F28"/>
    <w:rsid w:val="006645C0"/>
    <w:rsid w:val="006646DC"/>
    <w:rsid w:val="006647F1"/>
    <w:rsid w:val="0066495F"/>
    <w:rsid w:val="00664A7B"/>
    <w:rsid w:val="0066522F"/>
    <w:rsid w:val="006657EC"/>
    <w:rsid w:val="00665D99"/>
    <w:rsid w:val="00667C3F"/>
    <w:rsid w:val="00672BD0"/>
    <w:rsid w:val="00673A5E"/>
    <w:rsid w:val="00676796"/>
    <w:rsid w:val="0068018A"/>
    <w:rsid w:val="006806E9"/>
    <w:rsid w:val="0068093D"/>
    <w:rsid w:val="00681BA7"/>
    <w:rsid w:val="006823F3"/>
    <w:rsid w:val="00683108"/>
    <w:rsid w:val="0068492E"/>
    <w:rsid w:val="00685037"/>
    <w:rsid w:val="006851B1"/>
    <w:rsid w:val="00685B32"/>
    <w:rsid w:val="006905A3"/>
    <w:rsid w:val="00690C1E"/>
    <w:rsid w:val="00690FBC"/>
    <w:rsid w:val="0069147B"/>
    <w:rsid w:val="00694D37"/>
    <w:rsid w:val="00695B2B"/>
    <w:rsid w:val="00696B29"/>
    <w:rsid w:val="00697704"/>
    <w:rsid w:val="006A02E7"/>
    <w:rsid w:val="006A0F42"/>
    <w:rsid w:val="006A12FD"/>
    <w:rsid w:val="006A2131"/>
    <w:rsid w:val="006A3407"/>
    <w:rsid w:val="006A47ED"/>
    <w:rsid w:val="006A4857"/>
    <w:rsid w:val="006A5CEB"/>
    <w:rsid w:val="006A710D"/>
    <w:rsid w:val="006A7776"/>
    <w:rsid w:val="006A7CAF"/>
    <w:rsid w:val="006B11DB"/>
    <w:rsid w:val="006B26B8"/>
    <w:rsid w:val="006B2914"/>
    <w:rsid w:val="006B2C36"/>
    <w:rsid w:val="006B3072"/>
    <w:rsid w:val="006B309C"/>
    <w:rsid w:val="006B3C4E"/>
    <w:rsid w:val="006B3DD1"/>
    <w:rsid w:val="006B449F"/>
    <w:rsid w:val="006B5C29"/>
    <w:rsid w:val="006B7361"/>
    <w:rsid w:val="006B75A9"/>
    <w:rsid w:val="006C02A1"/>
    <w:rsid w:val="006C02F1"/>
    <w:rsid w:val="006C4D2C"/>
    <w:rsid w:val="006C7C80"/>
    <w:rsid w:val="006D5959"/>
    <w:rsid w:val="006D61C2"/>
    <w:rsid w:val="006D7352"/>
    <w:rsid w:val="006E0C29"/>
    <w:rsid w:val="006E100D"/>
    <w:rsid w:val="006E38B6"/>
    <w:rsid w:val="006E56E7"/>
    <w:rsid w:val="006E5A6A"/>
    <w:rsid w:val="006E5C59"/>
    <w:rsid w:val="006E6D1B"/>
    <w:rsid w:val="006F119B"/>
    <w:rsid w:val="006F2912"/>
    <w:rsid w:val="006F2F1F"/>
    <w:rsid w:val="006F4AE1"/>
    <w:rsid w:val="006F6AC2"/>
    <w:rsid w:val="0070146C"/>
    <w:rsid w:val="00701593"/>
    <w:rsid w:val="00701AA1"/>
    <w:rsid w:val="00703F36"/>
    <w:rsid w:val="00704A17"/>
    <w:rsid w:val="00704F6B"/>
    <w:rsid w:val="00705426"/>
    <w:rsid w:val="007054AE"/>
    <w:rsid w:val="0070578D"/>
    <w:rsid w:val="00705900"/>
    <w:rsid w:val="007061E0"/>
    <w:rsid w:val="007066C9"/>
    <w:rsid w:val="00707B4A"/>
    <w:rsid w:val="00707C98"/>
    <w:rsid w:val="007105A8"/>
    <w:rsid w:val="00710BA0"/>
    <w:rsid w:val="00711393"/>
    <w:rsid w:val="007120C3"/>
    <w:rsid w:val="007137DF"/>
    <w:rsid w:val="0071387D"/>
    <w:rsid w:val="00713CC3"/>
    <w:rsid w:val="007154C8"/>
    <w:rsid w:val="00717CC0"/>
    <w:rsid w:val="007208EA"/>
    <w:rsid w:val="00725BB4"/>
    <w:rsid w:val="00726249"/>
    <w:rsid w:val="0072651F"/>
    <w:rsid w:val="007315FD"/>
    <w:rsid w:val="00731DF0"/>
    <w:rsid w:val="00731EB4"/>
    <w:rsid w:val="007323B8"/>
    <w:rsid w:val="00732B46"/>
    <w:rsid w:val="007361CD"/>
    <w:rsid w:val="00742903"/>
    <w:rsid w:val="007459C4"/>
    <w:rsid w:val="00746070"/>
    <w:rsid w:val="007469AB"/>
    <w:rsid w:val="00746A3D"/>
    <w:rsid w:val="00751188"/>
    <w:rsid w:val="0075207E"/>
    <w:rsid w:val="0075288C"/>
    <w:rsid w:val="00753062"/>
    <w:rsid w:val="007548F6"/>
    <w:rsid w:val="00754B34"/>
    <w:rsid w:val="00754EF5"/>
    <w:rsid w:val="007561D0"/>
    <w:rsid w:val="007570DA"/>
    <w:rsid w:val="00760C8F"/>
    <w:rsid w:val="00760E6F"/>
    <w:rsid w:val="007612AF"/>
    <w:rsid w:val="00762FC0"/>
    <w:rsid w:val="007639D2"/>
    <w:rsid w:val="00763A6B"/>
    <w:rsid w:val="0076586C"/>
    <w:rsid w:val="007673FD"/>
    <w:rsid w:val="00770ED6"/>
    <w:rsid w:val="00774304"/>
    <w:rsid w:val="00776445"/>
    <w:rsid w:val="00776B15"/>
    <w:rsid w:val="007770D3"/>
    <w:rsid w:val="00781D18"/>
    <w:rsid w:val="00782AA0"/>
    <w:rsid w:val="00783093"/>
    <w:rsid w:val="007847C5"/>
    <w:rsid w:val="007858E8"/>
    <w:rsid w:val="00786142"/>
    <w:rsid w:val="00787BB3"/>
    <w:rsid w:val="007904D3"/>
    <w:rsid w:val="0079071E"/>
    <w:rsid w:val="007916D6"/>
    <w:rsid w:val="00794B1E"/>
    <w:rsid w:val="007951C8"/>
    <w:rsid w:val="007968C5"/>
    <w:rsid w:val="00796DDD"/>
    <w:rsid w:val="00797227"/>
    <w:rsid w:val="007A003C"/>
    <w:rsid w:val="007A0FA9"/>
    <w:rsid w:val="007A4A48"/>
    <w:rsid w:val="007A54DE"/>
    <w:rsid w:val="007A661A"/>
    <w:rsid w:val="007A7601"/>
    <w:rsid w:val="007A7903"/>
    <w:rsid w:val="007B0F98"/>
    <w:rsid w:val="007B1113"/>
    <w:rsid w:val="007B256A"/>
    <w:rsid w:val="007B3719"/>
    <w:rsid w:val="007B3B0D"/>
    <w:rsid w:val="007B3B45"/>
    <w:rsid w:val="007B3B76"/>
    <w:rsid w:val="007B6355"/>
    <w:rsid w:val="007C1690"/>
    <w:rsid w:val="007C1AA0"/>
    <w:rsid w:val="007C418C"/>
    <w:rsid w:val="007C41A5"/>
    <w:rsid w:val="007C4AE9"/>
    <w:rsid w:val="007C646E"/>
    <w:rsid w:val="007C6CD8"/>
    <w:rsid w:val="007D4676"/>
    <w:rsid w:val="007D4B12"/>
    <w:rsid w:val="007D4FA1"/>
    <w:rsid w:val="007D66D5"/>
    <w:rsid w:val="007D77D5"/>
    <w:rsid w:val="007E04C1"/>
    <w:rsid w:val="007E138C"/>
    <w:rsid w:val="007E2794"/>
    <w:rsid w:val="007E2C49"/>
    <w:rsid w:val="007E2D30"/>
    <w:rsid w:val="007E386C"/>
    <w:rsid w:val="007E48E0"/>
    <w:rsid w:val="007E4D99"/>
    <w:rsid w:val="007E59E1"/>
    <w:rsid w:val="007E6552"/>
    <w:rsid w:val="007E6572"/>
    <w:rsid w:val="007E77F9"/>
    <w:rsid w:val="007F0545"/>
    <w:rsid w:val="007F1105"/>
    <w:rsid w:val="007F1581"/>
    <w:rsid w:val="007F19CD"/>
    <w:rsid w:val="007F49F2"/>
    <w:rsid w:val="007F6BCD"/>
    <w:rsid w:val="008012B1"/>
    <w:rsid w:val="008018F8"/>
    <w:rsid w:val="00802B0C"/>
    <w:rsid w:val="008042C5"/>
    <w:rsid w:val="008048C2"/>
    <w:rsid w:val="00805230"/>
    <w:rsid w:val="00806740"/>
    <w:rsid w:val="00811C09"/>
    <w:rsid w:val="0081221A"/>
    <w:rsid w:val="00813422"/>
    <w:rsid w:val="00815B22"/>
    <w:rsid w:val="00817DF0"/>
    <w:rsid w:val="0082121A"/>
    <w:rsid w:val="008222F7"/>
    <w:rsid w:val="00822D48"/>
    <w:rsid w:val="00824580"/>
    <w:rsid w:val="00825D6C"/>
    <w:rsid w:val="00826C2E"/>
    <w:rsid w:val="00826DAC"/>
    <w:rsid w:val="00830560"/>
    <w:rsid w:val="00832E6C"/>
    <w:rsid w:val="008342E3"/>
    <w:rsid w:val="008346E8"/>
    <w:rsid w:val="00834F8E"/>
    <w:rsid w:val="008350A5"/>
    <w:rsid w:val="008359A7"/>
    <w:rsid w:val="0083759F"/>
    <w:rsid w:val="00837985"/>
    <w:rsid w:val="008429B2"/>
    <w:rsid w:val="00843449"/>
    <w:rsid w:val="00843A6C"/>
    <w:rsid w:val="0085041E"/>
    <w:rsid w:val="008507A6"/>
    <w:rsid w:val="00850999"/>
    <w:rsid w:val="00854C0E"/>
    <w:rsid w:val="0085553E"/>
    <w:rsid w:val="00855B9C"/>
    <w:rsid w:val="00855F4E"/>
    <w:rsid w:val="00857518"/>
    <w:rsid w:val="00857914"/>
    <w:rsid w:val="008614DE"/>
    <w:rsid w:val="0086254C"/>
    <w:rsid w:val="00862807"/>
    <w:rsid w:val="00863DC3"/>
    <w:rsid w:val="00864A04"/>
    <w:rsid w:val="0086595E"/>
    <w:rsid w:val="00867784"/>
    <w:rsid w:val="0087018F"/>
    <w:rsid w:val="00871EBF"/>
    <w:rsid w:val="00872BD6"/>
    <w:rsid w:val="008758C3"/>
    <w:rsid w:val="00877D46"/>
    <w:rsid w:val="008803A5"/>
    <w:rsid w:val="008804EB"/>
    <w:rsid w:val="00880EEC"/>
    <w:rsid w:val="00882395"/>
    <w:rsid w:val="00883110"/>
    <w:rsid w:val="0088404A"/>
    <w:rsid w:val="00884A70"/>
    <w:rsid w:val="008874DA"/>
    <w:rsid w:val="008909FF"/>
    <w:rsid w:val="00891EC7"/>
    <w:rsid w:val="00892A13"/>
    <w:rsid w:val="00894858"/>
    <w:rsid w:val="008956D4"/>
    <w:rsid w:val="00895DF5"/>
    <w:rsid w:val="00897471"/>
    <w:rsid w:val="00897802"/>
    <w:rsid w:val="008A0FF7"/>
    <w:rsid w:val="008A15C1"/>
    <w:rsid w:val="008A3E3D"/>
    <w:rsid w:val="008A463D"/>
    <w:rsid w:val="008A7464"/>
    <w:rsid w:val="008B0591"/>
    <w:rsid w:val="008B0C2C"/>
    <w:rsid w:val="008B1C42"/>
    <w:rsid w:val="008B222C"/>
    <w:rsid w:val="008B2388"/>
    <w:rsid w:val="008B7C54"/>
    <w:rsid w:val="008C6A04"/>
    <w:rsid w:val="008D0A1D"/>
    <w:rsid w:val="008D0CC6"/>
    <w:rsid w:val="008D3A86"/>
    <w:rsid w:val="008D3D3A"/>
    <w:rsid w:val="008D4246"/>
    <w:rsid w:val="008D7D37"/>
    <w:rsid w:val="008E0BB2"/>
    <w:rsid w:val="008E2969"/>
    <w:rsid w:val="008E362E"/>
    <w:rsid w:val="008E3C61"/>
    <w:rsid w:val="008E552D"/>
    <w:rsid w:val="008E5649"/>
    <w:rsid w:val="008E6E83"/>
    <w:rsid w:val="008F12CA"/>
    <w:rsid w:val="008F1A21"/>
    <w:rsid w:val="008F1C19"/>
    <w:rsid w:val="008F7A72"/>
    <w:rsid w:val="00901B9F"/>
    <w:rsid w:val="00905FE5"/>
    <w:rsid w:val="009062B6"/>
    <w:rsid w:val="009074BD"/>
    <w:rsid w:val="0091009D"/>
    <w:rsid w:val="009111BE"/>
    <w:rsid w:val="00911763"/>
    <w:rsid w:val="00911D59"/>
    <w:rsid w:val="00911D94"/>
    <w:rsid w:val="009123C0"/>
    <w:rsid w:val="0091368A"/>
    <w:rsid w:val="009139CC"/>
    <w:rsid w:val="00914017"/>
    <w:rsid w:val="00915219"/>
    <w:rsid w:val="009172BA"/>
    <w:rsid w:val="00923EA8"/>
    <w:rsid w:val="00925295"/>
    <w:rsid w:val="00926FCA"/>
    <w:rsid w:val="00927A73"/>
    <w:rsid w:val="009307EE"/>
    <w:rsid w:val="00930BA4"/>
    <w:rsid w:val="00933A80"/>
    <w:rsid w:val="00933E43"/>
    <w:rsid w:val="009345CE"/>
    <w:rsid w:val="00934954"/>
    <w:rsid w:val="00935010"/>
    <w:rsid w:val="00935645"/>
    <w:rsid w:val="0093647C"/>
    <w:rsid w:val="0093721F"/>
    <w:rsid w:val="009375DE"/>
    <w:rsid w:val="00941D84"/>
    <w:rsid w:val="0094248A"/>
    <w:rsid w:val="00943253"/>
    <w:rsid w:val="00943D26"/>
    <w:rsid w:val="00943F20"/>
    <w:rsid w:val="009444CF"/>
    <w:rsid w:val="009465C0"/>
    <w:rsid w:val="0094793C"/>
    <w:rsid w:val="00947CC7"/>
    <w:rsid w:val="0095270E"/>
    <w:rsid w:val="00953E58"/>
    <w:rsid w:val="00953FF4"/>
    <w:rsid w:val="009546F1"/>
    <w:rsid w:val="00955A9D"/>
    <w:rsid w:val="00961296"/>
    <w:rsid w:val="0096137F"/>
    <w:rsid w:val="00964A5D"/>
    <w:rsid w:val="00965DEE"/>
    <w:rsid w:val="0096649E"/>
    <w:rsid w:val="00967A7B"/>
    <w:rsid w:val="00971900"/>
    <w:rsid w:val="00972813"/>
    <w:rsid w:val="00973B06"/>
    <w:rsid w:val="00973D9F"/>
    <w:rsid w:val="00974632"/>
    <w:rsid w:val="009752B6"/>
    <w:rsid w:val="00976D3F"/>
    <w:rsid w:val="0097783D"/>
    <w:rsid w:val="00980011"/>
    <w:rsid w:val="009817CE"/>
    <w:rsid w:val="009840EA"/>
    <w:rsid w:val="00984CC1"/>
    <w:rsid w:val="009862C7"/>
    <w:rsid w:val="009862CA"/>
    <w:rsid w:val="009868BB"/>
    <w:rsid w:val="00987AB1"/>
    <w:rsid w:val="00990BD1"/>
    <w:rsid w:val="00992B62"/>
    <w:rsid w:val="0099465A"/>
    <w:rsid w:val="009954B5"/>
    <w:rsid w:val="009959E1"/>
    <w:rsid w:val="00995BB7"/>
    <w:rsid w:val="009966FC"/>
    <w:rsid w:val="009A23A1"/>
    <w:rsid w:val="009A314A"/>
    <w:rsid w:val="009A36DD"/>
    <w:rsid w:val="009A503E"/>
    <w:rsid w:val="009A5611"/>
    <w:rsid w:val="009A5993"/>
    <w:rsid w:val="009B05D2"/>
    <w:rsid w:val="009B06DF"/>
    <w:rsid w:val="009B0906"/>
    <w:rsid w:val="009B2E62"/>
    <w:rsid w:val="009B353C"/>
    <w:rsid w:val="009B43B2"/>
    <w:rsid w:val="009B44A4"/>
    <w:rsid w:val="009B511A"/>
    <w:rsid w:val="009B6C72"/>
    <w:rsid w:val="009C055D"/>
    <w:rsid w:val="009C0AD5"/>
    <w:rsid w:val="009C20C9"/>
    <w:rsid w:val="009C3978"/>
    <w:rsid w:val="009C561E"/>
    <w:rsid w:val="009C5624"/>
    <w:rsid w:val="009C5950"/>
    <w:rsid w:val="009C793C"/>
    <w:rsid w:val="009C7995"/>
    <w:rsid w:val="009D2836"/>
    <w:rsid w:val="009D2CB1"/>
    <w:rsid w:val="009D363F"/>
    <w:rsid w:val="009D495A"/>
    <w:rsid w:val="009D4F48"/>
    <w:rsid w:val="009D560F"/>
    <w:rsid w:val="009D6FD7"/>
    <w:rsid w:val="009D7005"/>
    <w:rsid w:val="009E2A61"/>
    <w:rsid w:val="009E2F88"/>
    <w:rsid w:val="009E3819"/>
    <w:rsid w:val="009E4E1A"/>
    <w:rsid w:val="009E5B96"/>
    <w:rsid w:val="009E6183"/>
    <w:rsid w:val="009E61B8"/>
    <w:rsid w:val="009E6AD6"/>
    <w:rsid w:val="009E7C5F"/>
    <w:rsid w:val="009F11B3"/>
    <w:rsid w:val="009F14D6"/>
    <w:rsid w:val="009F2B4B"/>
    <w:rsid w:val="009F2B84"/>
    <w:rsid w:val="009F2F69"/>
    <w:rsid w:val="009F5484"/>
    <w:rsid w:val="00A00609"/>
    <w:rsid w:val="00A00EAE"/>
    <w:rsid w:val="00A03833"/>
    <w:rsid w:val="00A03E56"/>
    <w:rsid w:val="00A042DC"/>
    <w:rsid w:val="00A04649"/>
    <w:rsid w:val="00A05666"/>
    <w:rsid w:val="00A05F5A"/>
    <w:rsid w:val="00A0683B"/>
    <w:rsid w:val="00A07639"/>
    <w:rsid w:val="00A119A7"/>
    <w:rsid w:val="00A128F8"/>
    <w:rsid w:val="00A1496F"/>
    <w:rsid w:val="00A14B4D"/>
    <w:rsid w:val="00A169CA"/>
    <w:rsid w:val="00A16A20"/>
    <w:rsid w:val="00A17941"/>
    <w:rsid w:val="00A2093D"/>
    <w:rsid w:val="00A22CE1"/>
    <w:rsid w:val="00A23C2E"/>
    <w:rsid w:val="00A24B0B"/>
    <w:rsid w:val="00A24E1C"/>
    <w:rsid w:val="00A2580B"/>
    <w:rsid w:val="00A258EE"/>
    <w:rsid w:val="00A30361"/>
    <w:rsid w:val="00A308F0"/>
    <w:rsid w:val="00A318D2"/>
    <w:rsid w:val="00A31A4E"/>
    <w:rsid w:val="00A32349"/>
    <w:rsid w:val="00A35202"/>
    <w:rsid w:val="00A35944"/>
    <w:rsid w:val="00A3699C"/>
    <w:rsid w:val="00A377DB"/>
    <w:rsid w:val="00A4093F"/>
    <w:rsid w:val="00A4301C"/>
    <w:rsid w:val="00A435B0"/>
    <w:rsid w:val="00A45B08"/>
    <w:rsid w:val="00A464A9"/>
    <w:rsid w:val="00A46F48"/>
    <w:rsid w:val="00A46F55"/>
    <w:rsid w:val="00A520D5"/>
    <w:rsid w:val="00A5320C"/>
    <w:rsid w:val="00A53B51"/>
    <w:rsid w:val="00A53CCC"/>
    <w:rsid w:val="00A5431A"/>
    <w:rsid w:val="00A55ED1"/>
    <w:rsid w:val="00A60EAE"/>
    <w:rsid w:val="00A62ECD"/>
    <w:rsid w:val="00A700AE"/>
    <w:rsid w:val="00A715D4"/>
    <w:rsid w:val="00A71865"/>
    <w:rsid w:val="00A74081"/>
    <w:rsid w:val="00A763EB"/>
    <w:rsid w:val="00A7740F"/>
    <w:rsid w:val="00A8260F"/>
    <w:rsid w:val="00A82688"/>
    <w:rsid w:val="00A836E3"/>
    <w:rsid w:val="00A8479E"/>
    <w:rsid w:val="00A85AF5"/>
    <w:rsid w:val="00A9009E"/>
    <w:rsid w:val="00A92089"/>
    <w:rsid w:val="00A9230F"/>
    <w:rsid w:val="00A92776"/>
    <w:rsid w:val="00A93039"/>
    <w:rsid w:val="00A94C68"/>
    <w:rsid w:val="00A97310"/>
    <w:rsid w:val="00A975F3"/>
    <w:rsid w:val="00A97DE5"/>
    <w:rsid w:val="00AA0748"/>
    <w:rsid w:val="00AA0D0B"/>
    <w:rsid w:val="00AA189A"/>
    <w:rsid w:val="00AA1EB5"/>
    <w:rsid w:val="00AA2119"/>
    <w:rsid w:val="00AA3295"/>
    <w:rsid w:val="00AA37A7"/>
    <w:rsid w:val="00AA576F"/>
    <w:rsid w:val="00AB0EE6"/>
    <w:rsid w:val="00AB2338"/>
    <w:rsid w:val="00AB234A"/>
    <w:rsid w:val="00AB373C"/>
    <w:rsid w:val="00AB39F8"/>
    <w:rsid w:val="00AB3C27"/>
    <w:rsid w:val="00AB48B2"/>
    <w:rsid w:val="00AB4D02"/>
    <w:rsid w:val="00AB5497"/>
    <w:rsid w:val="00AB5B01"/>
    <w:rsid w:val="00AB670E"/>
    <w:rsid w:val="00AB6AEB"/>
    <w:rsid w:val="00AB6C06"/>
    <w:rsid w:val="00AB75C8"/>
    <w:rsid w:val="00AC0466"/>
    <w:rsid w:val="00AC0CBA"/>
    <w:rsid w:val="00AC3082"/>
    <w:rsid w:val="00AC42B2"/>
    <w:rsid w:val="00AC53AC"/>
    <w:rsid w:val="00AC5E0E"/>
    <w:rsid w:val="00AD12EA"/>
    <w:rsid w:val="00AD3A0B"/>
    <w:rsid w:val="00AD4597"/>
    <w:rsid w:val="00AD4A47"/>
    <w:rsid w:val="00AD4D0E"/>
    <w:rsid w:val="00AD5B3C"/>
    <w:rsid w:val="00AD6615"/>
    <w:rsid w:val="00AD7E1C"/>
    <w:rsid w:val="00AE1537"/>
    <w:rsid w:val="00AE2E40"/>
    <w:rsid w:val="00AE3726"/>
    <w:rsid w:val="00AE41F0"/>
    <w:rsid w:val="00AE431C"/>
    <w:rsid w:val="00AE4653"/>
    <w:rsid w:val="00AE59A3"/>
    <w:rsid w:val="00AE7C15"/>
    <w:rsid w:val="00AF0F1A"/>
    <w:rsid w:val="00AF3CBA"/>
    <w:rsid w:val="00AF3E10"/>
    <w:rsid w:val="00AF6587"/>
    <w:rsid w:val="00AF6868"/>
    <w:rsid w:val="00AF6A2F"/>
    <w:rsid w:val="00AF7EA2"/>
    <w:rsid w:val="00B001F2"/>
    <w:rsid w:val="00B01CE8"/>
    <w:rsid w:val="00B051BB"/>
    <w:rsid w:val="00B0556D"/>
    <w:rsid w:val="00B05EAC"/>
    <w:rsid w:val="00B06E10"/>
    <w:rsid w:val="00B07A84"/>
    <w:rsid w:val="00B1106A"/>
    <w:rsid w:val="00B117AB"/>
    <w:rsid w:val="00B11FC8"/>
    <w:rsid w:val="00B12FB4"/>
    <w:rsid w:val="00B170AE"/>
    <w:rsid w:val="00B203BF"/>
    <w:rsid w:val="00B27224"/>
    <w:rsid w:val="00B277BB"/>
    <w:rsid w:val="00B311F8"/>
    <w:rsid w:val="00B316DA"/>
    <w:rsid w:val="00B333CB"/>
    <w:rsid w:val="00B34433"/>
    <w:rsid w:val="00B3463D"/>
    <w:rsid w:val="00B367D9"/>
    <w:rsid w:val="00B36FC3"/>
    <w:rsid w:val="00B37B31"/>
    <w:rsid w:val="00B4191E"/>
    <w:rsid w:val="00B41AAF"/>
    <w:rsid w:val="00B4243A"/>
    <w:rsid w:val="00B42E67"/>
    <w:rsid w:val="00B430FA"/>
    <w:rsid w:val="00B4656E"/>
    <w:rsid w:val="00B47979"/>
    <w:rsid w:val="00B504A3"/>
    <w:rsid w:val="00B506E0"/>
    <w:rsid w:val="00B50834"/>
    <w:rsid w:val="00B512AF"/>
    <w:rsid w:val="00B513A0"/>
    <w:rsid w:val="00B558DC"/>
    <w:rsid w:val="00B565DD"/>
    <w:rsid w:val="00B566C7"/>
    <w:rsid w:val="00B56CA6"/>
    <w:rsid w:val="00B56DC6"/>
    <w:rsid w:val="00B57E9E"/>
    <w:rsid w:val="00B614EB"/>
    <w:rsid w:val="00B61804"/>
    <w:rsid w:val="00B63D8F"/>
    <w:rsid w:val="00B655F6"/>
    <w:rsid w:val="00B657FD"/>
    <w:rsid w:val="00B65943"/>
    <w:rsid w:val="00B71771"/>
    <w:rsid w:val="00B759DA"/>
    <w:rsid w:val="00B76F88"/>
    <w:rsid w:val="00B7751A"/>
    <w:rsid w:val="00B80FD2"/>
    <w:rsid w:val="00B819CF"/>
    <w:rsid w:val="00B81F31"/>
    <w:rsid w:val="00B825D7"/>
    <w:rsid w:val="00B827C8"/>
    <w:rsid w:val="00B82B9D"/>
    <w:rsid w:val="00B84CDC"/>
    <w:rsid w:val="00B8651A"/>
    <w:rsid w:val="00B8774E"/>
    <w:rsid w:val="00B9343B"/>
    <w:rsid w:val="00B93E35"/>
    <w:rsid w:val="00B9594E"/>
    <w:rsid w:val="00B9761A"/>
    <w:rsid w:val="00B97A3D"/>
    <w:rsid w:val="00BA0C3F"/>
    <w:rsid w:val="00BA4368"/>
    <w:rsid w:val="00BA6174"/>
    <w:rsid w:val="00BA61FF"/>
    <w:rsid w:val="00BA777E"/>
    <w:rsid w:val="00BA7D86"/>
    <w:rsid w:val="00BA7DFC"/>
    <w:rsid w:val="00BB1631"/>
    <w:rsid w:val="00BB37F9"/>
    <w:rsid w:val="00BC2F0F"/>
    <w:rsid w:val="00BC55C8"/>
    <w:rsid w:val="00BC6571"/>
    <w:rsid w:val="00BC777B"/>
    <w:rsid w:val="00BC7E34"/>
    <w:rsid w:val="00BD1990"/>
    <w:rsid w:val="00BD25EE"/>
    <w:rsid w:val="00BD2AE1"/>
    <w:rsid w:val="00BD3230"/>
    <w:rsid w:val="00BD3C79"/>
    <w:rsid w:val="00BD5891"/>
    <w:rsid w:val="00BD74DD"/>
    <w:rsid w:val="00BD7B8F"/>
    <w:rsid w:val="00BE17D6"/>
    <w:rsid w:val="00BE1D6A"/>
    <w:rsid w:val="00BE3FBB"/>
    <w:rsid w:val="00BE449B"/>
    <w:rsid w:val="00BE4F40"/>
    <w:rsid w:val="00BE57A6"/>
    <w:rsid w:val="00BE5E2A"/>
    <w:rsid w:val="00BF0F94"/>
    <w:rsid w:val="00BF1E14"/>
    <w:rsid w:val="00BF29A7"/>
    <w:rsid w:val="00BF518C"/>
    <w:rsid w:val="00BF5EAF"/>
    <w:rsid w:val="00BF7A14"/>
    <w:rsid w:val="00BF7D8C"/>
    <w:rsid w:val="00C05546"/>
    <w:rsid w:val="00C100EF"/>
    <w:rsid w:val="00C10F38"/>
    <w:rsid w:val="00C12BD5"/>
    <w:rsid w:val="00C14536"/>
    <w:rsid w:val="00C176E0"/>
    <w:rsid w:val="00C227FD"/>
    <w:rsid w:val="00C22997"/>
    <w:rsid w:val="00C234FD"/>
    <w:rsid w:val="00C23D28"/>
    <w:rsid w:val="00C23DD6"/>
    <w:rsid w:val="00C26060"/>
    <w:rsid w:val="00C2648C"/>
    <w:rsid w:val="00C269DF"/>
    <w:rsid w:val="00C271B0"/>
    <w:rsid w:val="00C27828"/>
    <w:rsid w:val="00C27854"/>
    <w:rsid w:val="00C305AA"/>
    <w:rsid w:val="00C3204E"/>
    <w:rsid w:val="00C322A3"/>
    <w:rsid w:val="00C32BFF"/>
    <w:rsid w:val="00C3377D"/>
    <w:rsid w:val="00C34964"/>
    <w:rsid w:val="00C357B5"/>
    <w:rsid w:val="00C36420"/>
    <w:rsid w:val="00C36C26"/>
    <w:rsid w:val="00C36DBA"/>
    <w:rsid w:val="00C36EB5"/>
    <w:rsid w:val="00C36F4A"/>
    <w:rsid w:val="00C37551"/>
    <w:rsid w:val="00C4235C"/>
    <w:rsid w:val="00C433AF"/>
    <w:rsid w:val="00C43907"/>
    <w:rsid w:val="00C44722"/>
    <w:rsid w:val="00C47522"/>
    <w:rsid w:val="00C52DED"/>
    <w:rsid w:val="00C547AD"/>
    <w:rsid w:val="00C54C2D"/>
    <w:rsid w:val="00C55061"/>
    <w:rsid w:val="00C55B0A"/>
    <w:rsid w:val="00C57D3D"/>
    <w:rsid w:val="00C62699"/>
    <w:rsid w:val="00C62F5A"/>
    <w:rsid w:val="00C63921"/>
    <w:rsid w:val="00C656AF"/>
    <w:rsid w:val="00C73099"/>
    <w:rsid w:val="00C762FE"/>
    <w:rsid w:val="00C771A6"/>
    <w:rsid w:val="00C77BB4"/>
    <w:rsid w:val="00C77D44"/>
    <w:rsid w:val="00C83EE1"/>
    <w:rsid w:val="00C8440C"/>
    <w:rsid w:val="00C859DB"/>
    <w:rsid w:val="00C86576"/>
    <w:rsid w:val="00C86741"/>
    <w:rsid w:val="00C8761E"/>
    <w:rsid w:val="00C87772"/>
    <w:rsid w:val="00C901B6"/>
    <w:rsid w:val="00C9201D"/>
    <w:rsid w:val="00C92DCF"/>
    <w:rsid w:val="00C97604"/>
    <w:rsid w:val="00C97FF4"/>
    <w:rsid w:val="00CA0316"/>
    <w:rsid w:val="00CA40E5"/>
    <w:rsid w:val="00CA4D58"/>
    <w:rsid w:val="00CA56BE"/>
    <w:rsid w:val="00CA6AC1"/>
    <w:rsid w:val="00CA6FBD"/>
    <w:rsid w:val="00CB0FC5"/>
    <w:rsid w:val="00CB19C7"/>
    <w:rsid w:val="00CB1BB8"/>
    <w:rsid w:val="00CB29E4"/>
    <w:rsid w:val="00CB2C81"/>
    <w:rsid w:val="00CB2FE5"/>
    <w:rsid w:val="00CB3074"/>
    <w:rsid w:val="00CB3186"/>
    <w:rsid w:val="00CB51B5"/>
    <w:rsid w:val="00CB62E5"/>
    <w:rsid w:val="00CB6A6D"/>
    <w:rsid w:val="00CC15E6"/>
    <w:rsid w:val="00CC2D72"/>
    <w:rsid w:val="00CC3906"/>
    <w:rsid w:val="00CC3A71"/>
    <w:rsid w:val="00CC3F85"/>
    <w:rsid w:val="00CC4436"/>
    <w:rsid w:val="00CC627F"/>
    <w:rsid w:val="00CC635F"/>
    <w:rsid w:val="00CC6869"/>
    <w:rsid w:val="00CC689C"/>
    <w:rsid w:val="00CC77F7"/>
    <w:rsid w:val="00CD076A"/>
    <w:rsid w:val="00CD0CBC"/>
    <w:rsid w:val="00CD0E1D"/>
    <w:rsid w:val="00CD134B"/>
    <w:rsid w:val="00CD1CD3"/>
    <w:rsid w:val="00CD489B"/>
    <w:rsid w:val="00CD5ABC"/>
    <w:rsid w:val="00CD5E9A"/>
    <w:rsid w:val="00CE35F0"/>
    <w:rsid w:val="00CE3F4F"/>
    <w:rsid w:val="00CE4260"/>
    <w:rsid w:val="00CE4F2B"/>
    <w:rsid w:val="00CE6E6D"/>
    <w:rsid w:val="00CF1A2C"/>
    <w:rsid w:val="00CF25DA"/>
    <w:rsid w:val="00CF4310"/>
    <w:rsid w:val="00CF6323"/>
    <w:rsid w:val="00CF67E9"/>
    <w:rsid w:val="00D01A34"/>
    <w:rsid w:val="00D02133"/>
    <w:rsid w:val="00D02F35"/>
    <w:rsid w:val="00D041CF"/>
    <w:rsid w:val="00D056C1"/>
    <w:rsid w:val="00D06000"/>
    <w:rsid w:val="00D06977"/>
    <w:rsid w:val="00D06C2E"/>
    <w:rsid w:val="00D06FC6"/>
    <w:rsid w:val="00D10223"/>
    <w:rsid w:val="00D1033C"/>
    <w:rsid w:val="00D106E3"/>
    <w:rsid w:val="00D119BE"/>
    <w:rsid w:val="00D123D5"/>
    <w:rsid w:val="00D13874"/>
    <w:rsid w:val="00D143DA"/>
    <w:rsid w:val="00D15E1D"/>
    <w:rsid w:val="00D17F4C"/>
    <w:rsid w:val="00D21291"/>
    <w:rsid w:val="00D21D04"/>
    <w:rsid w:val="00D2275D"/>
    <w:rsid w:val="00D232C6"/>
    <w:rsid w:val="00D2464C"/>
    <w:rsid w:val="00D276BB"/>
    <w:rsid w:val="00D27805"/>
    <w:rsid w:val="00D31700"/>
    <w:rsid w:val="00D3367F"/>
    <w:rsid w:val="00D35C8E"/>
    <w:rsid w:val="00D35FB8"/>
    <w:rsid w:val="00D363E8"/>
    <w:rsid w:val="00D413C6"/>
    <w:rsid w:val="00D41406"/>
    <w:rsid w:val="00D42429"/>
    <w:rsid w:val="00D45CA5"/>
    <w:rsid w:val="00D4661C"/>
    <w:rsid w:val="00D467E9"/>
    <w:rsid w:val="00D46D0B"/>
    <w:rsid w:val="00D47479"/>
    <w:rsid w:val="00D4796B"/>
    <w:rsid w:val="00D503A9"/>
    <w:rsid w:val="00D52F57"/>
    <w:rsid w:val="00D542A1"/>
    <w:rsid w:val="00D5439E"/>
    <w:rsid w:val="00D54745"/>
    <w:rsid w:val="00D548D0"/>
    <w:rsid w:val="00D60DF8"/>
    <w:rsid w:val="00D6128B"/>
    <w:rsid w:val="00D62CC9"/>
    <w:rsid w:val="00D64045"/>
    <w:rsid w:val="00D64145"/>
    <w:rsid w:val="00D64510"/>
    <w:rsid w:val="00D6482D"/>
    <w:rsid w:val="00D65864"/>
    <w:rsid w:val="00D6598D"/>
    <w:rsid w:val="00D65B63"/>
    <w:rsid w:val="00D66A57"/>
    <w:rsid w:val="00D714D4"/>
    <w:rsid w:val="00D72F00"/>
    <w:rsid w:val="00D7379B"/>
    <w:rsid w:val="00D746B4"/>
    <w:rsid w:val="00D759A1"/>
    <w:rsid w:val="00D75CEF"/>
    <w:rsid w:val="00D764B6"/>
    <w:rsid w:val="00D76A1E"/>
    <w:rsid w:val="00D80C1B"/>
    <w:rsid w:val="00D81387"/>
    <w:rsid w:val="00D82158"/>
    <w:rsid w:val="00D8233E"/>
    <w:rsid w:val="00D8235D"/>
    <w:rsid w:val="00D8365A"/>
    <w:rsid w:val="00D8463C"/>
    <w:rsid w:val="00D85063"/>
    <w:rsid w:val="00D90E76"/>
    <w:rsid w:val="00D92A32"/>
    <w:rsid w:val="00D92CDD"/>
    <w:rsid w:val="00D92D19"/>
    <w:rsid w:val="00D93AC9"/>
    <w:rsid w:val="00D93D44"/>
    <w:rsid w:val="00D93FE8"/>
    <w:rsid w:val="00D951EA"/>
    <w:rsid w:val="00D96E27"/>
    <w:rsid w:val="00DA013B"/>
    <w:rsid w:val="00DA07FA"/>
    <w:rsid w:val="00DA2FBA"/>
    <w:rsid w:val="00DA4FDD"/>
    <w:rsid w:val="00DA5988"/>
    <w:rsid w:val="00DA5FE8"/>
    <w:rsid w:val="00DA706E"/>
    <w:rsid w:val="00DB0F90"/>
    <w:rsid w:val="00DB1BA2"/>
    <w:rsid w:val="00DB3E6E"/>
    <w:rsid w:val="00DB56AD"/>
    <w:rsid w:val="00DB5A30"/>
    <w:rsid w:val="00DB6E21"/>
    <w:rsid w:val="00DC106F"/>
    <w:rsid w:val="00DC268F"/>
    <w:rsid w:val="00DC3010"/>
    <w:rsid w:val="00DC63D0"/>
    <w:rsid w:val="00DC6AC7"/>
    <w:rsid w:val="00DC7176"/>
    <w:rsid w:val="00DC7E0F"/>
    <w:rsid w:val="00DD18F3"/>
    <w:rsid w:val="00DD1D14"/>
    <w:rsid w:val="00DD407D"/>
    <w:rsid w:val="00DD4B5E"/>
    <w:rsid w:val="00DD4B72"/>
    <w:rsid w:val="00DD5D3C"/>
    <w:rsid w:val="00DD6D86"/>
    <w:rsid w:val="00DD733C"/>
    <w:rsid w:val="00DD79AB"/>
    <w:rsid w:val="00DE1C46"/>
    <w:rsid w:val="00DE40C5"/>
    <w:rsid w:val="00DE4763"/>
    <w:rsid w:val="00DE5ED4"/>
    <w:rsid w:val="00DE74BD"/>
    <w:rsid w:val="00DE7A7E"/>
    <w:rsid w:val="00DE7D75"/>
    <w:rsid w:val="00DF137B"/>
    <w:rsid w:val="00DF197B"/>
    <w:rsid w:val="00DF1FD1"/>
    <w:rsid w:val="00DF771D"/>
    <w:rsid w:val="00DF7851"/>
    <w:rsid w:val="00E002FB"/>
    <w:rsid w:val="00E0038E"/>
    <w:rsid w:val="00E00902"/>
    <w:rsid w:val="00E00CA8"/>
    <w:rsid w:val="00E00F2A"/>
    <w:rsid w:val="00E01643"/>
    <w:rsid w:val="00E0180B"/>
    <w:rsid w:val="00E01A74"/>
    <w:rsid w:val="00E0738B"/>
    <w:rsid w:val="00E10B2E"/>
    <w:rsid w:val="00E111E9"/>
    <w:rsid w:val="00E11D85"/>
    <w:rsid w:val="00E12499"/>
    <w:rsid w:val="00E14B04"/>
    <w:rsid w:val="00E15BB5"/>
    <w:rsid w:val="00E170F7"/>
    <w:rsid w:val="00E2161F"/>
    <w:rsid w:val="00E22550"/>
    <w:rsid w:val="00E2327A"/>
    <w:rsid w:val="00E24703"/>
    <w:rsid w:val="00E24C4A"/>
    <w:rsid w:val="00E24F93"/>
    <w:rsid w:val="00E25922"/>
    <w:rsid w:val="00E2747F"/>
    <w:rsid w:val="00E27A41"/>
    <w:rsid w:val="00E317AD"/>
    <w:rsid w:val="00E31E56"/>
    <w:rsid w:val="00E3206E"/>
    <w:rsid w:val="00E32A00"/>
    <w:rsid w:val="00E33770"/>
    <w:rsid w:val="00E33E6A"/>
    <w:rsid w:val="00E34C75"/>
    <w:rsid w:val="00E35DC1"/>
    <w:rsid w:val="00E363DD"/>
    <w:rsid w:val="00E365B5"/>
    <w:rsid w:val="00E36BAF"/>
    <w:rsid w:val="00E36EF8"/>
    <w:rsid w:val="00E411B9"/>
    <w:rsid w:val="00E415B1"/>
    <w:rsid w:val="00E5162D"/>
    <w:rsid w:val="00E52CBE"/>
    <w:rsid w:val="00E551BD"/>
    <w:rsid w:val="00E5556E"/>
    <w:rsid w:val="00E57F6A"/>
    <w:rsid w:val="00E60C5A"/>
    <w:rsid w:val="00E645E4"/>
    <w:rsid w:val="00E64830"/>
    <w:rsid w:val="00E66872"/>
    <w:rsid w:val="00E66E67"/>
    <w:rsid w:val="00E70423"/>
    <w:rsid w:val="00E716A7"/>
    <w:rsid w:val="00E71E6B"/>
    <w:rsid w:val="00E72F6B"/>
    <w:rsid w:val="00E73AF9"/>
    <w:rsid w:val="00E73EE5"/>
    <w:rsid w:val="00E7678F"/>
    <w:rsid w:val="00E77F0E"/>
    <w:rsid w:val="00E8430E"/>
    <w:rsid w:val="00E85490"/>
    <w:rsid w:val="00E864C3"/>
    <w:rsid w:val="00E86790"/>
    <w:rsid w:val="00E86E4F"/>
    <w:rsid w:val="00E90B19"/>
    <w:rsid w:val="00E916F4"/>
    <w:rsid w:val="00E921FB"/>
    <w:rsid w:val="00E926B7"/>
    <w:rsid w:val="00E92D9B"/>
    <w:rsid w:val="00E978A6"/>
    <w:rsid w:val="00EA016A"/>
    <w:rsid w:val="00EA0483"/>
    <w:rsid w:val="00EA3091"/>
    <w:rsid w:val="00EA53EF"/>
    <w:rsid w:val="00EA5D37"/>
    <w:rsid w:val="00EA6561"/>
    <w:rsid w:val="00EA7BC1"/>
    <w:rsid w:val="00EB1869"/>
    <w:rsid w:val="00EB2D47"/>
    <w:rsid w:val="00EB3242"/>
    <w:rsid w:val="00EB3671"/>
    <w:rsid w:val="00EB37ED"/>
    <w:rsid w:val="00EB5902"/>
    <w:rsid w:val="00EB6A07"/>
    <w:rsid w:val="00EB7295"/>
    <w:rsid w:val="00EC024C"/>
    <w:rsid w:val="00EC085B"/>
    <w:rsid w:val="00EC1B22"/>
    <w:rsid w:val="00EC1D52"/>
    <w:rsid w:val="00EC3F58"/>
    <w:rsid w:val="00EC45AB"/>
    <w:rsid w:val="00EC6A9D"/>
    <w:rsid w:val="00ED0680"/>
    <w:rsid w:val="00ED1418"/>
    <w:rsid w:val="00ED1B5C"/>
    <w:rsid w:val="00ED2E95"/>
    <w:rsid w:val="00EE24B4"/>
    <w:rsid w:val="00EE4FEF"/>
    <w:rsid w:val="00EE59FD"/>
    <w:rsid w:val="00EE6889"/>
    <w:rsid w:val="00EE7943"/>
    <w:rsid w:val="00EE7B5B"/>
    <w:rsid w:val="00EF0E16"/>
    <w:rsid w:val="00EF115F"/>
    <w:rsid w:val="00EF196B"/>
    <w:rsid w:val="00EF1C47"/>
    <w:rsid w:val="00EF20FF"/>
    <w:rsid w:val="00EF2324"/>
    <w:rsid w:val="00EF2546"/>
    <w:rsid w:val="00EF3136"/>
    <w:rsid w:val="00EF331B"/>
    <w:rsid w:val="00EF35DC"/>
    <w:rsid w:val="00EF488A"/>
    <w:rsid w:val="00F00950"/>
    <w:rsid w:val="00F015D9"/>
    <w:rsid w:val="00F01930"/>
    <w:rsid w:val="00F02269"/>
    <w:rsid w:val="00F02611"/>
    <w:rsid w:val="00F02E7D"/>
    <w:rsid w:val="00F03612"/>
    <w:rsid w:val="00F044F1"/>
    <w:rsid w:val="00F06186"/>
    <w:rsid w:val="00F061B5"/>
    <w:rsid w:val="00F07252"/>
    <w:rsid w:val="00F11445"/>
    <w:rsid w:val="00F12762"/>
    <w:rsid w:val="00F12852"/>
    <w:rsid w:val="00F13CCE"/>
    <w:rsid w:val="00F14F97"/>
    <w:rsid w:val="00F151F8"/>
    <w:rsid w:val="00F15598"/>
    <w:rsid w:val="00F178B5"/>
    <w:rsid w:val="00F17FE6"/>
    <w:rsid w:val="00F20C94"/>
    <w:rsid w:val="00F231B0"/>
    <w:rsid w:val="00F234C1"/>
    <w:rsid w:val="00F2487B"/>
    <w:rsid w:val="00F24A23"/>
    <w:rsid w:val="00F2635F"/>
    <w:rsid w:val="00F26F91"/>
    <w:rsid w:val="00F318C6"/>
    <w:rsid w:val="00F31DFD"/>
    <w:rsid w:val="00F33666"/>
    <w:rsid w:val="00F349AF"/>
    <w:rsid w:val="00F35801"/>
    <w:rsid w:val="00F36D95"/>
    <w:rsid w:val="00F41A9B"/>
    <w:rsid w:val="00F4203A"/>
    <w:rsid w:val="00F434FA"/>
    <w:rsid w:val="00F46747"/>
    <w:rsid w:val="00F46F3E"/>
    <w:rsid w:val="00F50688"/>
    <w:rsid w:val="00F506BD"/>
    <w:rsid w:val="00F508E9"/>
    <w:rsid w:val="00F52E71"/>
    <w:rsid w:val="00F55ED4"/>
    <w:rsid w:val="00F56211"/>
    <w:rsid w:val="00F57C5D"/>
    <w:rsid w:val="00F61478"/>
    <w:rsid w:val="00F627F2"/>
    <w:rsid w:val="00F6617F"/>
    <w:rsid w:val="00F665DB"/>
    <w:rsid w:val="00F70134"/>
    <w:rsid w:val="00F703D5"/>
    <w:rsid w:val="00F72841"/>
    <w:rsid w:val="00F747E4"/>
    <w:rsid w:val="00F748D0"/>
    <w:rsid w:val="00F758E7"/>
    <w:rsid w:val="00F75EEF"/>
    <w:rsid w:val="00F765C4"/>
    <w:rsid w:val="00F769B7"/>
    <w:rsid w:val="00F76F10"/>
    <w:rsid w:val="00F85A34"/>
    <w:rsid w:val="00F85C86"/>
    <w:rsid w:val="00F861AC"/>
    <w:rsid w:val="00F87284"/>
    <w:rsid w:val="00F92271"/>
    <w:rsid w:val="00F939DE"/>
    <w:rsid w:val="00F9710C"/>
    <w:rsid w:val="00FA0273"/>
    <w:rsid w:val="00FA3832"/>
    <w:rsid w:val="00FA4632"/>
    <w:rsid w:val="00FA4D5C"/>
    <w:rsid w:val="00FB2664"/>
    <w:rsid w:val="00FB3E0E"/>
    <w:rsid w:val="00FB5703"/>
    <w:rsid w:val="00FC5E79"/>
    <w:rsid w:val="00FC765F"/>
    <w:rsid w:val="00FC7FBA"/>
    <w:rsid w:val="00FD012C"/>
    <w:rsid w:val="00FD0EBD"/>
    <w:rsid w:val="00FD15C5"/>
    <w:rsid w:val="00FD2550"/>
    <w:rsid w:val="00FD27DC"/>
    <w:rsid w:val="00FD54D6"/>
    <w:rsid w:val="00FD5FA8"/>
    <w:rsid w:val="00FD6043"/>
    <w:rsid w:val="00FD689D"/>
    <w:rsid w:val="00FD6AA1"/>
    <w:rsid w:val="00FE199C"/>
    <w:rsid w:val="00FE25DB"/>
    <w:rsid w:val="00FE2605"/>
    <w:rsid w:val="00FE5EFE"/>
    <w:rsid w:val="00FE6534"/>
    <w:rsid w:val="00FE75F6"/>
    <w:rsid w:val="00FE7C6C"/>
    <w:rsid w:val="00FF053C"/>
    <w:rsid w:val="00FF2782"/>
    <w:rsid w:val="00FF333A"/>
    <w:rsid w:val="00FF43A0"/>
    <w:rsid w:val="00FF6767"/>
    <w:rsid w:val="00FF6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90753"/>
  <w15:docId w15:val="{0FBC152C-EA6D-4513-BDDD-58599D55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27A"/>
    <w:rPr>
      <w:sz w:val="22"/>
      <w:szCs w:val="22"/>
    </w:rPr>
  </w:style>
  <w:style w:type="paragraph" w:styleId="Heading1">
    <w:name w:val="heading 1"/>
    <w:aliases w:val="PRU 1"/>
    <w:basedOn w:val="Normal"/>
    <w:next w:val="Normal"/>
    <w:link w:val="Heading1Char"/>
    <w:uiPriority w:val="9"/>
    <w:qFormat/>
    <w:rsid w:val="0085553E"/>
    <w:pPr>
      <w:spacing w:after="240"/>
      <w:outlineLvl w:val="0"/>
    </w:pPr>
    <w:rPr>
      <w:rFonts w:cs="Calibri"/>
      <w:i/>
      <w:sz w:val="32"/>
      <w:szCs w:val="32"/>
    </w:rPr>
  </w:style>
  <w:style w:type="paragraph" w:styleId="Heading2">
    <w:name w:val="heading 2"/>
    <w:aliases w:val="PRU 2"/>
    <w:basedOn w:val="Normal"/>
    <w:next w:val="Normal"/>
    <w:link w:val="Heading2Char"/>
    <w:uiPriority w:val="9"/>
    <w:qFormat/>
    <w:rsid w:val="00322085"/>
    <w:pPr>
      <w:spacing w:before="120" w:after="120"/>
      <w:ind w:firstLine="720"/>
      <w:jc w:val="both"/>
      <w:outlineLvl w:val="1"/>
    </w:pPr>
    <w:rPr>
      <w:rFonts w:cs="Calibri"/>
      <w:i/>
      <w:sz w:val="28"/>
    </w:rPr>
  </w:style>
  <w:style w:type="paragraph" w:styleId="Heading3">
    <w:name w:val="heading 3"/>
    <w:aliases w:val="PRU 3"/>
    <w:basedOn w:val="Normal"/>
    <w:next w:val="Normal"/>
    <w:link w:val="Heading3Char"/>
    <w:uiPriority w:val="9"/>
    <w:qFormat/>
    <w:rsid w:val="00322085"/>
    <w:pPr>
      <w:spacing w:after="120"/>
      <w:ind w:left="720" w:firstLine="720"/>
      <w:jc w:val="both"/>
      <w:outlineLvl w:val="2"/>
    </w:pPr>
    <w:rPr>
      <w:rFonts w:cs="Calibri"/>
      <w:i/>
      <w:sz w:val="28"/>
    </w:rPr>
  </w:style>
  <w:style w:type="paragraph" w:styleId="Heading4">
    <w:name w:val="heading 4"/>
    <w:aliases w:val="PRU 4"/>
    <w:basedOn w:val="Heading3"/>
    <w:next w:val="Normal"/>
    <w:link w:val="Heading4Char"/>
    <w:uiPriority w:val="9"/>
    <w:qFormat/>
    <w:rsid w:val="00BD2AE1"/>
    <w:pPr>
      <w:ind w:left="1152"/>
      <w:outlineLvl w:val="3"/>
    </w:pPr>
  </w:style>
  <w:style w:type="paragraph" w:styleId="Heading5">
    <w:name w:val="heading 5"/>
    <w:aliases w:val="PRU 5"/>
    <w:basedOn w:val="Normal"/>
    <w:next w:val="Normal"/>
    <w:link w:val="Heading5Char"/>
    <w:uiPriority w:val="9"/>
    <w:qFormat/>
    <w:pPr>
      <w:spacing w:before="120" w:after="120"/>
      <w:ind w:left="1800" w:hanging="720"/>
      <w:jc w:val="both"/>
      <w:outlineLvl w:val="4"/>
    </w:pPr>
    <w:rPr>
      <w:i/>
      <w:sz w:val="28"/>
    </w:rPr>
  </w:style>
  <w:style w:type="paragraph" w:styleId="Heading6">
    <w:name w:val="heading 6"/>
    <w:basedOn w:val="Normal"/>
    <w:next w:val="Normal"/>
    <w:link w:val="Heading6Char"/>
    <w:uiPriority w:val="9"/>
    <w:qFormat/>
    <w:pPr>
      <w:spacing w:before="120" w:after="120"/>
      <w:ind w:left="2160" w:hanging="720"/>
      <w:jc w:val="both"/>
      <w:outlineLvl w:val="5"/>
    </w:pPr>
    <w:rPr>
      <w:i/>
      <w:sz w:val="28"/>
    </w:rPr>
  </w:style>
  <w:style w:type="paragraph" w:styleId="Heading7">
    <w:name w:val="heading 7"/>
    <w:basedOn w:val="Normal"/>
    <w:next w:val="Normal"/>
    <w:link w:val="Heading7Char"/>
    <w:uiPriority w:val="9"/>
    <w:qFormat/>
    <w:pPr>
      <w:spacing w:before="120" w:after="120"/>
      <w:ind w:left="2880" w:hanging="720"/>
      <w:jc w:val="both"/>
      <w:outlineLvl w:val="6"/>
    </w:pPr>
    <w:rPr>
      <w:i/>
      <w:sz w:val="28"/>
    </w:rPr>
  </w:style>
  <w:style w:type="paragraph" w:styleId="Heading8">
    <w:name w:val="heading 8"/>
    <w:basedOn w:val="Normal"/>
    <w:next w:val="Normal"/>
    <w:link w:val="Heading8Char"/>
    <w:uiPriority w:val="9"/>
    <w:qFormat/>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pPr>
      <w:spacing w:line="220" w:lineRule="exact"/>
      <w:ind w:left="720" w:right="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none"/>
    </w:rPr>
  </w:style>
  <w:style w:type="character" w:styleId="PageNumber">
    <w:name w:val="page number"/>
    <w:rPr>
      <w:rFonts w:ascii="Garamond" w:hAnsi="Garamond"/>
      <w:i/>
      <w:sz w:val="16"/>
    </w:rPr>
  </w:style>
  <w:style w:type="paragraph" w:styleId="FootnoteText">
    <w:name w:val="footnote text"/>
    <w:basedOn w:val="Normal"/>
    <w:link w:val="FootnoteTextChar"/>
    <w:uiPriority w:val="99"/>
    <w:unhideWhenUsed/>
    <w:rPr>
      <w:sz w:val="16"/>
      <w:szCs w:val="20"/>
    </w:rPr>
  </w:style>
  <w:style w:type="character" w:customStyle="1" w:styleId="FootnoteTextChar">
    <w:name w:val="Footnote Text Char"/>
    <w:link w:val="FootnoteText"/>
    <w:uiPriority w:val="99"/>
    <w:rPr>
      <w:sz w:val="16"/>
    </w:rPr>
  </w:style>
  <w:style w:type="character" w:styleId="FootnoteReference">
    <w:name w:val="footnote reference"/>
    <w:uiPriority w:val="99"/>
    <w:semiHidden/>
    <w:unhideWhenUsed/>
    <w:rPr>
      <w:sz w:val="16"/>
      <w:vertAlign w:val="superscript"/>
    </w:rPr>
  </w:style>
  <w:style w:type="character" w:customStyle="1" w:styleId="Heading1Char">
    <w:name w:val="Heading 1 Char"/>
    <w:aliases w:val="PRU 1 Char"/>
    <w:link w:val="Heading1"/>
    <w:uiPriority w:val="9"/>
    <w:rsid w:val="0085553E"/>
    <w:rPr>
      <w:rFonts w:cs="Calibri"/>
      <w:i/>
      <w:sz w:val="32"/>
      <w:szCs w:val="32"/>
    </w:rPr>
  </w:style>
  <w:style w:type="character" w:customStyle="1" w:styleId="Heading2Char">
    <w:name w:val="Heading 2 Char"/>
    <w:aliases w:val="PRU 2 Char"/>
    <w:link w:val="Heading2"/>
    <w:uiPriority w:val="9"/>
    <w:rsid w:val="00322085"/>
    <w:rPr>
      <w:rFonts w:cs="Calibri"/>
      <w:i/>
      <w:sz w:val="28"/>
      <w:szCs w:val="22"/>
    </w:rPr>
  </w:style>
  <w:style w:type="character" w:customStyle="1" w:styleId="Heading3Char">
    <w:name w:val="Heading 3 Char"/>
    <w:aliases w:val="PRU 3 Char"/>
    <w:link w:val="Heading3"/>
    <w:uiPriority w:val="9"/>
    <w:rsid w:val="00322085"/>
    <w:rPr>
      <w:rFonts w:cs="Calibri"/>
      <w:i/>
      <w:sz w:val="28"/>
      <w:szCs w:val="22"/>
    </w:rPr>
  </w:style>
  <w:style w:type="character" w:customStyle="1" w:styleId="Heading4Char">
    <w:name w:val="Heading 4 Char"/>
    <w:aliases w:val="PRU 4 Char"/>
    <w:link w:val="Heading4"/>
    <w:uiPriority w:val="9"/>
    <w:rsid w:val="00BD2AE1"/>
    <w:rPr>
      <w:rFonts w:cs="Calibri"/>
      <w:i/>
      <w:sz w:val="28"/>
      <w:szCs w:val="22"/>
    </w:rPr>
  </w:style>
  <w:style w:type="character" w:customStyle="1" w:styleId="Heading5Char">
    <w:name w:val="Heading 5 Char"/>
    <w:aliases w:val="PRU 5 Char"/>
    <w:link w:val="Heading5"/>
    <w:uiPriority w:val="9"/>
    <w:rPr>
      <w:i/>
      <w:sz w:val="28"/>
      <w:szCs w:val="22"/>
    </w:rPr>
  </w:style>
  <w:style w:type="character" w:customStyle="1" w:styleId="Heading6Char">
    <w:name w:val="Heading 6 Char"/>
    <w:link w:val="Heading6"/>
    <w:uiPriority w:val="9"/>
    <w:rPr>
      <w:i/>
      <w:sz w:val="28"/>
      <w:szCs w:val="22"/>
    </w:rPr>
  </w:style>
  <w:style w:type="character" w:customStyle="1" w:styleId="Heading7Char">
    <w:name w:val="Heading 7 Char"/>
    <w:link w:val="Heading7"/>
    <w:uiPriority w:val="9"/>
    <w:rPr>
      <w:i/>
      <w:sz w:val="28"/>
      <w:szCs w:val="22"/>
    </w:rPr>
  </w:style>
  <w:style w:type="character" w:customStyle="1" w:styleId="Heading8Char">
    <w:name w:val="Heading 8 Char"/>
    <w:link w:val="Heading8"/>
    <w:uiPriority w:val="9"/>
    <w:rPr>
      <w:rFonts w:eastAsia="Times New Roman"/>
      <w:i/>
      <w:iCs/>
      <w:sz w:val="24"/>
      <w:szCs w:val="24"/>
    </w:rPr>
  </w:style>
  <w:style w:type="character" w:customStyle="1" w:styleId="Heading9Char">
    <w:name w:val="Heading 9 Char"/>
    <w:link w:val="Heading9"/>
    <w:uiPriority w:val="9"/>
    <w:rPr>
      <w:b/>
      <w:sz w:val="22"/>
      <w:szCs w:val="22"/>
    </w:rPr>
  </w:style>
  <w:style w:type="paragraph" w:customStyle="1" w:styleId="ColorfulList-Accent11">
    <w:name w:val="Colorful List - Accent 11"/>
    <w:basedOn w:val="Normal"/>
    <w:uiPriority w:val="34"/>
    <w:qFormat/>
    <w:pPr>
      <w:ind w:left="720"/>
    </w:pPr>
  </w:style>
  <w:style w:type="character" w:styleId="FollowedHyperlink">
    <w:name w:val="FollowedHyperlink"/>
    <w:uiPriority w:val="99"/>
    <w:semiHidden/>
    <w:unhideWhenUsed/>
    <w:rPr>
      <w:color w:val="800080"/>
      <w:u w:val="no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Pr>
      <w:vertAlign w:val="superscript"/>
    </w:rPr>
  </w:style>
  <w:style w:type="paragraph" w:styleId="ListParagraph">
    <w:name w:val="List Paragraph"/>
    <w:basedOn w:val="Normal"/>
    <w:uiPriority w:val="34"/>
    <w:qFormat/>
    <w:pPr>
      <w:ind w:left="720"/>
    </w:p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1">
    <w:name w:val="toc 1"/>
    <w:basedOn w:val="Heading1"/>
    <w:next w:val="Normal"/>
    <w:uiPriority w:val="39"/>
    <w:unhideWhenUsed/>
    <w:rsid w:val="006342F8"/>
    <w:pPr>
      <w:spacing w:before="360" w:after="0"/>
      <w:outlineLvl w:val="9"/>
    </w:pPr>
    <w:rPr>
      <w:rFonts w:asciiTheme="minorHAnsi" w:hAnsiTheme="minorHAnsi" w:cs="Times New Roman"/>
      <w:bCs/>
      <w:i w:val="0"/>
      <w:sz w:val="24"/>
      <w:szCs w:val="24"/>
    </w:rPr>
  </w:style>
  <w:style w:type="paragraph" w:styleId="TOC2">
    <w:name w:val="toc 2"/>
    <w:basedOn w:val="Heading2"/>
    <w:next w:val="Normal"/>
    <w:uiPriority w:val="39"/>
    <w:unhideWhenUsed/>
    <w:rsid w:val="00D3367F"/>
    <w:pPr>
      <w:spacing w:before="240"/>
      <w:ind w:left="216"/>
      <w:jc w:val="left"/>
      <w:outlineLvl w:val="9"/>
    </w:pPr>
    <w:rPr>
      <w:rFonts w:asciiTheme="minorHAnsi" w:hAnsiTheme="minorHAnsi" w:cstheme="minorHAnsi"/>
      <w:b/>
      <w:bCs/>
      <w:i w:val="0"/>
      <w:sz w:val="20"/>
      <w:szCs w:val="20"/>
    </w:rPr>
  </w:style>
  <w:style w:type="paragraph" w:styleId="TOC3">
    <w:name w:val="toc 3"/>
    <w:basedOn w:val="Heading3"/>
    <w:next w:val="Normal"/>
    <w:autoRedefine/>
    <w:uiPriority w:val="39"/>
    <w:unhideWhenUsed/>
    <w:rsid w:val="002B08D3"/>
    <w:pPr>
      <w:tabs>
        <w:tab w:val="left" w:pos="1556"/>
        <w:tab w:val="right" w:leader="dot" w:pos="9350"/>
      </w:tabs>
      <w:spacing w:after="0"/>
      <w:ind w:left="1530" w:hanging="378"/>
      <w:jc w:val="left"/>
      <w:outlineLvl w:val="9"/>
    </w:pPr>
    <w:rPr>
      <w:rFonts w:asciiTheme="minorHAnsi" w:hAnsiTheme="minorHAnsi" w:cstheme="minorHAnsi"/>
      <w:i w:val="0"/>
      <w:sz w:val="20"/>
      <w:szCs w:val="20"/>
    </w:rPr>
  </w:style>
  <w:style w:type="paragraph" w:styleId="TOC4">
    <w:name w:val="toc 4"/>
    <w:basedOn w:val="Heading4"/>
    <w:next w:val="Normal"/>
    <w:autoRedefine/>
    <w:uiPriority w:val="39"/>
    <w:unhideWhenUsed/>
    <w:rsid w:val="002B08D3"/>
    <w:pPr>
      <w:tabs>
        <w:tab w:val="right" w:leader="dot" w:pos="9350"/>
      </w:tabs>
      <w:spacing w:after="0"/>
      <w:ind w:left="1980" w:hanging="360"/>
      <w:jc w:val="left"/>
      <w:outlineLvl w:val="9"/>
    </w:pPr>
    <w:rPr>
      <w:rFonts w:asciiTheme="minorHAnsi" w:hAnsiTheme="minorHAnsi" w:cstheme="minorHAnsi"/>
      <w:i w:val="0"/>
      <w:sz w:val="20"/>
      <w:szCs w:val="20"/>
    </w:rPr>
  </w:style>
  <w:style w:type="paragraph" w:styleId="TOC5">
    <w:name w:val="toc 5"/>
    <w:basedOn w:val="Normal"/>
    <w:next w:val="Normal"/>
    <w:autoRedefine/>
    <w:uiPriority w:val="39"/>
    <w:unhideWhenUsed/>
    <w:rsid w:val="00BD2AE1"/>
    <w:pPr>
      <w:ind w:left="864"/>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paragraph" w:styleId="EndnoteText">
    <w:name w:val="endnote text"/>
    <w:basedOn w:val="Normal"/>
    <w:link w:val="EndnoteTextChar"/>
    <w:uiPriority w:val="99"/>
    <w:unhideWhenUsed/>
    <w:rPr>
      <w:sz w:val="20"/>
      <w:szCs w:val="20"/>
    </w:rPr>
  </w:style>
  <w:style w:type="character" w:customStyle="1" w:styleId="EndnoteTextChar">
    <w:name w:val="Endnote Text Char"/>
    <w:basedOn w:val="DefaultParagraphFont"/>
    <w:link w:val="EndnoteText"/>
    <w:uiPriority w:val="99"/>
  </w:style>
  <w:style w:type="character" w:styleId="CommentReference">
    <w:name w:val="annotation reference"/>
    <w:basedOn w:val="DefaultParagraphFont"/>
    <w:uiPriority w:val="99"/>
    <w:semiHidden/>
    <w:unhideWhenUsed/>
    <w:rsid w:val="00215736"/>
    <w:rPr>
      <w:sz w:val="16"/>
      <w:szCs w:val="16"/>
    </w:rPr>
  </w:style>
  <w:style w:type="paragraph" w:styleId="CommentText">
    <w:name w:val="annotation text"/>
    <w:basedOn w:val="Normal"/>
    <w:link w:val="CommentTextChar"/>
    <w:uiPriority w:val="99"/>
    <w:unhideWhenUsed/>
    <w:rsid w:val="00215736"/>
    <w:rPr>
      <w:sz w:val="20"/>
      <w:szCs w:val="20"/>
    </w:rPr>
  </w:style>
  <w:style w:type="character" w:customStyle="1" w:styleId="CommentTextChar">
    <w:name w:val="Comment Text Char"/>
    <w:basedOn w:val="DefaultParagraphFont"/>
    <w:link w:val="CommentText"/>
    <w:uiPriority w:val="99"/>
    <w:rsid w:val="00215736"/>
  </w:style>
  <w:style w:type="paragraph" w:styleId="CommentSubject">
    <w:name w:val="annotation subject"/>
    <w:basedOn w:val="CommentText"/>
    <w:next w:val="CommentText"/>
    <w:link w:val="CommentSubjectChar"/>
    <w:uiPriority w:val="99"/>
    <w:semiHidden/>
    <w:unhideWhenUsed/>
    <w:rsid w:val="00215736"/>
    <w:rPr>
      <w:b/>
      <w:bCs/>
    </w:rPr>
  </w:style>
  <w:style w:type="character" w:customStyle="1" w:styleId="CommentSubjectChar">
    <w:name w:val="Comment Subject Char"/>
    <w:basedOn w:val="CommentTextChar"/>
    <w:link w:val="CommentSubject"/>
    <w:uiPriority w:val="99"/>
    <w:semiHidden/>
    <w:rsid w:val="00215736"/>
    <w:rPr>
      <w:b/>
      <w:bCs/>
    </w:rPr>
  </w:style>
  <w:style w:type="character" w:styleId="UnresolvedMention">
    <w:name w:val="Unresolved Mention"/>
    <w:basedOn w:val="DefaultParagraphFont"/>
    <w:uiPriority w:val="99"/>
    <w:semiHidden/>
    <w:unhideWhenUsed/>
    <w:rsid w:val="005B5794"/>
    <w:rPr>
      <w:color w:val="605E5C"/>
      <w:shd w:val="clear" w:color="auto" w:fill="E1DFDD"/>
    </w:rPr>
  </w:style>
  <w:style w:type="paragraph" w:styleId="TOCHeading">
    <w:name w:val="TOC Heading"/>
    <w:basedOn w:val="Heading1"/>
    <w:next w:val="Normal"/>
    <w:uiPriority w:val="39"/>
    <w:unhideWhenUsed/>
    <w:qFormat/>
    <w:rsid w:val="006B309C"/>
    <w:pPr>
      <w:keepNext/>
      <w:keepLines/>
      <w:spacing w:before="240" w:after="0" w:line="259" w:lineRule="auto"/>
      <w:outlineLvl w:val="9"/>
    </w:pPr>
    <w:rPr>
      <w:rFonts w:asciiTheme="majorHAnsi" w:eastAsiaTheme="majorEastAsia" w:hAnsiTheme="majorHAnsi" w:cstheme="majorBidi"/>
      <w:b/>
      <w:color w:val="365F91" w:themeColor="accent1" w:themeShade="BF"/>
    </w:rPr>
  </w:style>
  <w:style w:type="paragraph" w:styleId="Revision">
    <w:name w:val="Revision"/>
    <w:hidden/>
    <w:uiPriority w:val="99"/>
    <w:semiHidden/>
    <w:rsid w:val="00E2327A"/>
    <w:rPr>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672521">
      <w:bodyDiv w:val="1"/>
      <w:marLeft w:val="0"/>
      <w:marRight w:val="0"/>
      <w:marTop w:val="0"/>
      <w:marBottom w:val="0"/>
      <w:divBdr>
        <w:top w:val="none" w:sz="0" w:space="0" w:color="auto"/>
        <w:left w:val="none" w:sz="0" w:space="0" w:color="auto"/>
        <w:bottom w:val="none" w:sz="0" w:space="0" w:color="auto"/>
        <w:right w:val="none" w:sz="0" w:space="0" w:color="auto"/>
      </w:divBdr>
    </w:div>
    <w:div w:id="140761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hioattorneygeneral.gov/Files/Publications-Files/Publications-for-Legal/Sunshine-Laws-Publications/Appendix-B_final.aspx" TargetMode="External"/><Relationship Id="rId21" Type="http://schemas.openxmlformats.org/officeDocument/2006/relationships/hyperlink" Target="http://www.OhioAttorneyGeneral.gov" TargetMode="External"/><Relationship Id="rId42" Type="http://schemas.openxmlformats.org/officeDocument/2006/relationships/header" Target="header4.xml"/><Relationship Id="rId47" Type="http://schemas.openxmlformats.org/officeDocument/2006/relationships/hyperlink" Target="https://www.ohioattorneygeneral.gov/Files/Publications-Files/Publications-for-Legal/Sunshine-Laws-Publications/Appendix-A_final.aspx" TargetMode="External"/><Relationship Id="rId63" Type="http://schemas.openxmlformats.org/officeDocument/2006/relationships/footer" Target="footer7.xml"/><Relationship Id="rId68" Type="http://schemas.openxmlformats.org/officeDocument/2006/relationships/footer" Target="footer9.xml"/><Relationship Id="rId16"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hyperlink" Target="https://www.ohioattorneygeneral.gov/Legal/Sunshine-Laws" TargetMode="External"/><Relationship Id="rId32" Type="http://schemas.openxmlformats.org/officeDocument/2006/relationships/hyperlink" Target="https://ohioauditor.gov/" TargetMode="External"/><Relationship Id="rId37" Type="http://schemas.openxmlformats.org/officeDocument/2006/relationships/hyperlink" Target="https://das.ohio.gov/home/policy-finder/filter-policy-finder" TargetMode="External"/><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hyperlink" Target="https://www.ohiohistory.org/research/local-government-records-program/" TargetMode="External"/><Relationship Id="rId58" Type="http://schemas.openxmlformats.org/officeDocument/2006/relationships/hyperlink" Target="https://www.ohiohistory.org/learn/archives-library/state-archives/local-government-records-program/electronic-records-resources/statement-on-maintaining-digitally-imaged-records-" TargetMode="External"/><Relationship Id="rId66" Type="http://schemas.openxmlformats.org/officeDocument/2006/relationships/header" Target="header11.xml"/><Relationship Id="rId74"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yperlink" Target="http://www.OhioAttorneyGeneral.gov/Sunshine" TargetMode="External"/><Relationship Id="rId19" Type="http://schemas.openxmlformats.org/officeDocument/2006/relationships/hyperlink" Target="file:///C:\NRPortbl\LEGAL\BREED\www.OhioAuditor.gov" TargetMode="External"/><Relationship Id="rId14" Type="http://schemas.openxmlformats.org/officeDocument/2006/relationships/image" Target="media/image4.jpeg"/><Relationship Id="rId22" Type="http://schemas.openxmlformats.org/officeDocument/2006/relationships/hyperlink" Target="https://codes.ohio.gov/ohio-revised-code/section-149.43" TargetMode="External"/><Relationship Id="rId27" Type="http://schemas.openxmlformats.org/officeDocument/2006/relationships/hyperlink" Target="https://www.ohioattorneygeneral.gov/Files/Publications-Files/Publications-for-Legal/Sunshine-Laws-Publications/Appendix-C_final.aspx" TargetMode="External"/><Relationship Id="rId30" Type="http://schemas.openxmlformats.org/officeDocument/2006/relationships/hyperlink" Target="https://codes.ohio.gov/" TargetMode="External"/><Relationship Id="rId35" Type="http://schemas.openxmlformats.org/officeDocument/2006/relationships/hyperlink" Target="https://www.legislature.ohio.gov/" TargetMode="External"/><Relationship Id="rId43" Type="http://schemas.openxmlformats.org/officeDocument/2006/relationships/hyperlink" Target="https://www.ohioattorneygeneral.gov/Files/Publications-Files/Publications-for-Legal/Sunshine-Laws-Publications/Appendix-A_final.aspx" TargetMode="External"/><Relationship Id="rId48" Type="http://schemas.openxmlformats.org/officeDocument/2006/relationships/header" Target="header6.xml"/><Relationship Id="rId56" Type="http://schemas.openxmlformats.org/officeDocument/2006/relationships/hyperlink" Target="file:///C:\Users\hbuchanan\AppData\Local\Microsoft\Windows\INetCache\Content.Outlook\Q8V0RF6Q\statearchives@ohiohistory.org" TargetMode="External"/><Relationship Id="rId64" Type="http://schemas.openxmlformats.org/officeDocument/2006/relationships/header" Target="header10.xml"/><Relationship Id="rId69" Type="http://schemas.openxmlformats.org/officeDocument/2006/relationships/header" Target="header13.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8.xml"/><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OhioAttorneyGeneral.gov/Sunshine" TargetMode="External"/><Relationship Id="rId17" Type="http://schemas.openxmlformats.org/officeDocument/2006/relationships/header" Target="header2.xml"/><Relationship Id="rId25" Type="http://schemas.openxmlformats.org/officeDocument/2006/relationships/hyperlink" Target="https://www.ohioattorneygeneral.gov/Files/Publications-Files/Publications-for-Legal/Sunshine-Laws-Publications/Appendix-A_final.aspx" TargetMode="External"/><Relationship Id="rId33" Type="http://schemas.openxmlformats.org/officeDocument/2006/relationships/hyperlink" Target="https://ohiocourtofclaims.gov/public-records/" TargetMode="External"/><Relationship Id="rId38" Type="http://schemas.openxmlformats.org/officeDocument/2006/relationships/hyperlink" Target="https://www.ohiohistory.org/research/local-government-records-program/county-archivists-records-management-association/" TargetMode="External"/><Relationship Id="rId46" Type="http://schemas.openxmlformats.org/officeDocument/2006/relationships/hyperlink" Target="https://www.ohioattorneygeneral.gov/Files/Publications-Files/Publications-for-Legal/Sunshine-Laws-Publications/Appendix-A_final.aspx" TargetMode="External"/><Relationship Id="rId59" Type="http://schemas.openxmlformats.org/officeDocument/2006/relationships/hyperlink" Target="https://www.ohiohistory.org/wp-content/uploads/2022/02/CARMA_Statement_on_Permanent_Records_2013_12_17.pdf" TargetMode="External"/><Relationship Id="rId67" Type="http://schemas.openxmlformats.org/officeDocument/2006/relationships/header" Target="header12.xml"/><Relationship Id="rId20" Type="http://schemas.openxmlformats.org/officeDocument/2006/relationships/hyperlink" Target="http://www.OhioAttorneyGeneral.gov" TargetMode="External"/><Relationship Id="rId41" Type="http://schemas.openxmlformats.org/officeDocument/2006/relationships/footer" Target="footer4.xml"/><Relationship Id="rId54" Type="http://schemas.openxmlformats.org/officeDocument/2006/relationships/hyperlink" Target="https://das.ohio.gov/home/policy-finder/filter-policy-finder" TargetMode="External"/><Relationship Id="rId62" Type="http://schemas.openxmlformats.org/officeDocument/2006/relationships/header" Target="header9.xml"/><Relationship Id="rId70" Type="http://schemas.openxmlformats.org/officeDocument/2006/relationships/footer" Target="footer10.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codes.ohio.gov/ohio-revised-code/section-121.22" TargetMode="External"/><Relationship Id="rId28" Type="http://schemas.openxmlformats.org/officeDocument/2006/relationships/hyperlink" Target="https://www.ohioattorneygeneral.gov/Files/Government-Entities/Model-Public-Records-Policy.aspx" TargetMode="External"/><Relationship Id="rId36" Type="http://schemas.openxmlformats.org/officeDocument/2006/relationships/hyperlink" Target="https://www.ohiohistory.org/" TargetMode="External"/><Relationship Id="rId49" Type="http://schemas.openxmlformats.org/officeDocument/2006/relationships/footer" Target="footer6.xml"/><Relationship Id="rId57" Type="http://schemas.openxmlformats.org/officeDocument/2006/relationships/hyperlink" Target="http://www.OhioERC.org" TargetMode="External"/><Relationship Id="rId10" Type="http://schemas.openxmlformats.org/officeDocument/2006/relationships/footer" Target="footer2.xml"/><Relationship Id="rId31" Type="http://schemas.openxmlformats.org/officeDocument/2006/relationships/hyperlink" Target="https://www.supremecourt.ohio.gov/laws-rules/ohio-rules-of-court/" TargetMode="External"/><Relationship Id="rId44" Type="http://schemas.openxmlformats.org/officeDocument/2006/relationships/header" Target="header5.xml"/><Relationship Id="rId52" Type="http://schemas.openxmlformats.org/officeDocument/2006/relationships/hyperlink" Target="file:///C:\Users\hbuchanan\AppData\Local\Microsoft\Windows\INetCache\Content.Outlook\Q8V0RF6Q\localrecs@ohiohistory.org" TargetMode="External"/><Relationship Id="rId60" Type="http://schemas.openxmlformats.org/officeDocument/2006/relationships/hyperlink" Target="http://www.ohiohistory.org/collections--archives/state-archives/lgrp-" TargetMode="External"/><Relationship Id="rId65" Type="http://schemas.openxmlformats.org/officeDocument/2006/relationships/footer" Target="footer8.xml"/><Relationship Id="rId73"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file:///C:\NRPortbl\LEGAL\BREED\www.OhioAttorneyGeneral.gov\Sunshine" TargetMode="External"/><Relationship Id="rId39" Type="http://schemas.openxmlformats.org/officeDocument/2006/relationships/hyperlink" Target="https://ohioerc.org/" TargetMode="External"/><Relationship Id="rId34" Type="http://schemas.openxmlformats.org/officeDocument/2006/relationships/hyperlink" Target="https://www.supremecourt.ohio.gov/" TargetMode="External"/><Relationship Id="rId50" Type="http://schemas.openxmlformats.org/officeDocument/2006/relationships/header" Target="header7.xml"/><Relationship Id="rId55" Type="http://schemas.openxmlformats.org/officeDocument/2006/relationships/hyperlink" Target="https://www.ohiohistory.org/research/archives-library/state-archive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hyperlink" Target="https://www.ohioattorneygeneral.gov/Legal/Sunshine-Laws/Online-Sunshine-Laws-Training" TargetMode="External"/></Relationships>
</file>

<file path=word/_rels/endnotes.xml.rels><?xml version="1.0" encoding="UTF-8" standalone="yes"?>
<Relationships xmlns="http://schemas.openxmlformats.org/package/2006/relationships"><Relationship Id="rId1522" Type="http://schemas.openxmlformats.org/officeDocument/2006/relationships/hyperlink" Target="http://www.supremecourt.ohio.gov/rod/docs/pdf/3/2013/2013-Ohio-4635.pdf" TargetMode="External"/><Relationship Id="rId21" Type="http://schemas.openxmlformats.org/officeDocument/2006/relationships/hyperlink" Target="http://www.supremecourt.ohio.gov/rod/docs/pdf/0/2005/2005-Ohio-4384.pdf" TargetMode="External"/><Relationship Id="rId170" Type="http://schemas.openxmlformats.org/officeDocument/2006/relationships/hyperlink" Target="http://www.supremecourt.ohio.gov/rod/docs/pdf/0/1997/1997-Ohio-206.pdf" TargetMode="External"/><Relationship Id="rId268" Type="http://schemas.openxmlformats.org/officeDocument/2006/relationships/hyperlink" Target="https://codes.ohio.gov/ohio-revised-code/section-149.43" TargetMode="External"/><Relationship Id="rId475" Type="http://schemas.openxmlformats.org/officeDocument/2006/relationships/hyperlink" Target="https://codes.ohio.gov/ohio-revised-code/section-149.43" TargetMode="External"/><Relationship Id="rId682" Type="http://schemas.openxmlformats.org/officeDocument/2006/relationships/hyperlink" Target="http://www.supremecourt.ohio.gov/rod/docs/pdf/0/1998/1998-Ohio-411.pdf" TargetMode="External"/><Relationship Id="rId128" Type="http://schemas.openxmlformats.org/officeDocument/2006/relationships/hyperlink" Target="https://plus.lexis.com/search/?pdmfid=1530671&amp;crid=35e12b60-6cf3-4f61-9ddc-11ae160d4f7a&amp;pdsearchterms=1994+ohio+app.+LEXIS+33&amp;pdtypeofsearch=searchboxclick&amp;pdsearchtype=SearchBox&amp;pdstartin=&amp;pdpsf=&amp;pdqttype=and&amp;pdquerytemplateid=&amp;ecomp=2g4tk&amp;earg=pdsf&amp;prid=f83c3263-69c2-4b4a-8734-74b8faac232e" TargetMode="External"/><Relationship Id="rId335" Type="http://schemas.openxmlformats.org/officeDocument/2006/relationships/hyperlink" Target="https://www.ohioattorneygeneral.gov/getattachment/5969bd11-5376-49b0-a7be-9ba7a6eb9b2e/2012-036.aspx" TargetMode="External"/><Relationship Id="rId542" Type="http://schemas.openxmlformats.org/officeDocument/2006/relationships/hyperlink" Target="https://www.supremecourt.ohio.gov/rod/docs/pdf/13/2021/2021-Ohio-4438.pdf" TargetMode="External"/><Relationship Id="rId987" Type="http://schemas.openxmlformats.org/officeDocument/2006/relationships/hyperlink" Target="https://codes.ohio.gov/ohio-revised-code/section-149.011" TargetMode="External"/><Relationship Id="rId1172" Type="http://schemas.openxmlformats.org/officeDocument/2006/relationships/hyperlink" Target="https://codes.ohio.gov/ohio-revised-code/section-2743.75" TargetMode="External"/><Relationship Id="rId402" Type="http://schemas.openxmlformats.org/officeDocument/2006/relationships/hyperlink" Target="https://codes.ohio.gov/ohio-revised-code/section-2967.01" TargetMode="External"/><Relationship Id="rId847" Type="http://schemas.openxmlformats.org/officeDocument/2006/relationships/hyperlink" Target="https://codes.ohio.gov/ohio-revised-code/section-2930.07" TargetMode="External"/><Relationship Id="rId1032" Type="http://schemas.openxmlformats.org/officeDocument/2006/relationships/hyperlink" Target="http://www.supremecourt.ohio.gov/rod/docs/pdf/0/2012/2012-Ohio-1007.pdf" TargetMode="External"/><Relationship Id="rId1477" Type="http://schemas.openxmlformats.org/officeDocument/2006/relationships/hyperlink" Target="http://www.supremecourt.ohio.gov/rod/docs/pdf/2/2014/2014-Ohio-2312.pdf" TargetMode="External"/><Relationship Id="rId707" Type="http://schemas.openxmlformats.org/officeDocument/2006/relationships/hyperlink" Target="https://www.supremecourt.ohio.gov/rod/docs/pdf/6/2013/2013-Ohio-3094.pdf" TargetMode="External"/><Relationship Id="rId914" Type="http://schemas.openxmlformats.org/officeDocument/2006/relationships/hyperlink" Target="https://codes.ohio.gov/ohio-revised-code/section-149.45" TargetMode="External"/><Relationship Id="rId1337" Type="http://schemas.openxmlformats.org/officeDocument/2006/relationships/hyperlink" Target="https://codes.ohio.gov/ohio-revised-code/section-4582.60" TargetMode="External"/><Relationship Id="rId1544" Type="http://schemas.openxmlformats.org/officeDocument/2006/relationships/hyperlink" Target="http://www.supremecourt.ohio.gov/rod/docs/pdf/0/1993/1993-Ohio-204.pdf" TargetMode="External"/><Relationship Id="rId43" Type="http://schemas.openxmlformats.org/officeDocument/2006/relationships/hyperlink" Target="http://www.supremecourt.ohio.gov/rod/docs/pdf/0/2006/2006-Ohio-1215.pdf" TargetMode="External"/><Relationship Id="rId1404" Type="http://schemas.openxmlformats.org/officeDocument/2006/relationships/hyperlink" Target="https://codes.ohio.gov/ohio-revised-code/section-121.22" TargetMode="External"/><Relationship Id="rId192" Type="http://schemas.openxmlformats.org/officeDocument/2006/relationships/hyperlink" Target="http://www.supremecourt.ohio.gov/rod/docs/pdf/11/2010/2010-Ohio-829.pdf" TargetMode="External"/><Relationship Id="rId497" Type="http://schemas.openxmlformats.org/officeDocument/2006/relationships/hyperlink" Target="http://www.supremecourt.ohio.gov/rod/docs/pdf/0/2000/2000-Ohio-345.pdf" TargetMode="External"/><Relationship Id="rId357" Type="http://schemas.openxmlformats.org/officeDocument/2006/relationships/hyperlink" Target="http://www.supremecourt.ohio.gov/rod/docs/pdf/0/1999/1999-Ohio-264.pdf" TargetMode="External"/><Relationship Id="rId1194" Type="http://schemas.openxmlformats.org/officeDocument/2006/relationships/hyperlink" Target="https://codes.ohio.gov/ohio-revised-code/section-149.38" TargetMode="External"/><Relationship Id="rId217" Type="http://schemas.openxmlformats.org/officeDocument/2006/relationships/hyperlink" Target="https://www.supremecourt.ohio.gov/rod/docs/pdf/0/2022/2022-Ohio-3583.pdf" TargetMode="External"/><Relationship Id="rId564" Type="http://schemas.openxmlformats.org/officeDocument/2006/relationships/hyperlink" Target="https://www.supremecourt.ohio.gov/rod/docs/pdf/0/2016/2016-Ohio-5026.pdf" TargetMode="External"/><Relationship Id="rId771" Type="http://schemas.openxmlformats.org/officeDocument/2006/relationships/hyperlink" Target="http://www.supremecourt.ohio.gov/rod/docs/pdf/4/2015/2015-Ohio-5333.pdf" TargetMode="External"/><Relationship Id="rId869" Type="http://schemas.openxmlformats.org/officeDocument/2006/relationships/hyperlink" Target="http://www.supremecourt.ohio.gov/rod/docs/pdf/10/2016/2016-Ohio-5534.pdf" TargetMode="External"/><Relationship Id="rId1499" Type="http://schemas.openxmlformats.org/officeDocument/2006/relationships/hyperlink" Target="http://www.supremecourt.ohio.gov/rod/docs/pdf/0/2001/2001-Ohio-130.pdf" TargetMode="External"/><Relationship Id="rId424" Type="http://schemas.openxmlformats.org/officeDocument/2006/relationships/hyperlink" Target="http://www.supremecourt.ohio.gov/rod/docs/pdf/0/2012/2012-Ohio-115.pdf" TargetMode="External"/><Relationship Id="rId631" Type="http://schemas.openxmlformats.org/officeDocument/2006/relationships/hyperlink" Target="http://www.supremecourt.ohio.gov/rod/docs/pdf/0/2004/2004-Ohio-1581.pdf" TargetMode="External"/><Relationship Id="rId729" Type="http://schemas.openxmlformats.org/officeDocument/2006/relationships/hyperlink" Target="https://www.supremecourt.ohio.gov/rod/docs/pdf/0/2022/2022-Ohio-3711.pdf" TargetMode="External"/><Relationship Id="rId1054" Type="http://schemas.openxmlformats.org/officeDocument/2006/relationships/hyperlink" Target="https://codes.ohio.gov/ohio-revised-code/section-149.43" TargetMode="External"/><Relationship Id="rId1261" Type="http://schemas.openxmlformats.org/officeDocument/2006/relationships/hyperlink" Target="https://codes.ohio.gov/ohio-revised-code/section-109.43" TargetMode="External"/><Relationship Id="rId1359" Type="http://schemas.openxmlformats.org/officeDocument/2006/relationships/hyperlink" Target="http://www.supremecourt.ohio.gov/rod/docs/pdf/9/2014/2014-Ohio-4749.pdf" TargetMode="External"/><Relationship Id="rId936" Type="http://schemas.openxmlformats.org/officeDocument/2006/relationships/hyperlink" Target="https://www.supremecourt.ohio.gov/docs/LegalResources/Rules/superintendence/Superintendence.pdf" TargetMode="External"/><Relationship Id="rId1121" Type="http://schemas.openxmlformats.org/officeDocument/2006/relationships/hyperlink" Target="http://www.supremecourt.ohio.gov/rod/docs/pdf/0/2016/2016-Ohio-2974.pdf" TargetMode="External"/><Relationship Id="rId1219" Type="http://schemas.openxmlformats.org/officeDocument/2006/relationships/hyperlink" Target="http://www.supremecourt.ohio.gov/rod/docs/pdf/10/2010/2010-Ohio-373.pdf" TargetMode="External"/><Relationship Id="rId1566" Type="http://schemas.openxmlformats.org/officeDocument/2006/relationships/hyperlink" Target="http://www.supremecourt.ohio.gov/rod/docs/pdf/2/2014/2014-Ohio-2312.pdf" TargetMode="External"/><Relationship Id="rId65" Type="http://schemas.openxmlformats.org/officeDocument/2006/relationships/hyperlink" Target="http://www.supremecourt.ohio.gov/rod/docs/pdf/0/2012/2012-Ohio-4228.pdf" TargetMode="External"/><Relationship Id="rId1426" Type="http://schemas.openxmlformats.org/officeDocument/2006/relationships/hyperlink" Target="file:///C:\NRPortbl\LEGAL\BREED\State%20ex%20rel.%20Long%20v.%20Cardington%20Village%20Council" TargetMode="External"/><Relationship Id="rId281" Type="http://schemas.openxmlformats.org/officeDocument/2006/relationships/hyperlink" Target="http://www.supremecourt.ohio.gov/rod/docs/pdf/0/2011/2011-Ohio-959.pdf" TargetMode="External"/><Relationship Id="rId141" Type="http://schemas.openxmlformats.org/officeDocument/2006/relationships/hyperlink" Target="https://www.supremecourt.ohio.gov/rod/docs/pdf/0/2023/2023-Ohio-2667.pdf" TargetMode="External"/><Relationship Id="rId379" Type="http://schemas.openxmlformats.org/officeDocument/2006/relationships/hyperlink" Target="https://www.supremecourt.ohio.gov/rod/docs/pdf/1/2003/2003-Ohio-1186.pdf" TargetMode="External"/><Relationship Id="rId586" Type="http://schemas.openxmlformats.org/officeDocument/2006/relationships/hyperlink" Target="https://www.supremecourt.ohio.gov/rod/docs/pdf/0/2018/2018-ohio-5111.pdf" TargetMode="External"/><Relationship Id="rId793" Type="http://schemas.openxmlformats.org/officeDocument/2006/relationships/hyperlink" Target="https://codes.ohio.gov/ohio-revised-code/section-149.43" TargetMode="External"/><Relationship Id="rId7" Type="http://schemas.openxmlformats.org/officeDocument/2006/relationships/hyperlink" Target="https://www.supremecourt.ohio.gov/rod/docs/pdf/13/2019/2019-Ohio-2623.pdf" TargetMode="External"/><Relationship Id="rId239" Type="http://schemas.openxmlformats.org/officeDocument/2006/relationships/hyperlink" Target="http://www.supremecourt.ohio.gov/rod/docs/pdf/0/2011/2011-Ohio-3093.pdf" TargetMode="External"/><Relationship Id="rId446" Type="http://schemas.openxmlformats.org/officeDocument/2006/relationships/hyperlink" Target="https://codes.ohio.gov/ohio-revised-code/section-149.43" TargetMode="External"/><Relationship Id="rId653" Type="http://schemas.openxmlformats.org/officeDocument/2006/relationships/hyperlink" Target="https://ohioadvop.org/wp-content/uploads/2023/12/Adv.-Op.-2023-13-FInal.pdf" TargetMode="External"/><Relationship Id="rId1076" Type="http://schemas.openxmlformats.org/officeDocument/2006/relationships/hyperlink" Target="http://www.supremecourt.ohio.gov/rod/docs/pdf/0/2012/2012-Ohio-115.pdf" TargetMode="External"/><Relationship Id="rId1283" Type="http://schemas.openxmlformats.org/officeDocument/2006/relationships/hyperlink" Target="http://www.supremecourt.ohio.gov/rod/docs/pdf/10/2001/2001-Ohio-8751.pdf" TargetMode="External"/><Relationship Id="rId1490" Type="http://schemas.openxmlformats.org/officeDocument/2006/relationships/hyperlink" Target="https://www.supremecourt.ohio.gov/pdf_viewer/pdf_viewer.aspx?pdf=880968.pdf&amp;subdirectory=2020-0248\DocketItems&amp;source=DL_Clerk" TargetMode="External"/><Relationship Id="rId306" Type="http://schemas.openxmlformats.org/officeDocument/2006/relationships/hyperlink" Target="https://codes.ohio.gov/ohio-revised-code/section-149.43" TargetMode="External"/><Relationship Id="rId860" Type="http://schemas.openxmlformats.org/officeDocument/2006/relationships/hyperlink" Target="https://codes.ohio.gov/ohio-revised-code/section-149.43" TargetMode="External"/><Relationship Id="rId958" Type="http://schemas.openxmlformats.org/officeDocument/2006/relationships/hyperlink" Target="http://www.supremecourt.ohio.gov/rod/docs/pdf/1/2013/2013-Ohio-4459.pdf" TargetMode="External"/><Relationship Id="rId1143" Type="http://schemas.openxmlformats.org/officeDocument/2006/relationships/hyperlink" Target="https://codes.ohio.gov/ohio-revised-code/section-2743.75" TargetMode="External"/><Relationship Id="rId87" Type="http://schemas.openxmlformats.org/officeDocument/2006/relationships/hyperlink" Target="http://www.supremecourt.ohio.gov/rod/docs/pdf/4/2013/2013-Ohio-5415.pdf" TargetMode="External"/><Relationship Id="rId513" Type="http://schemas.openxmlformats.org/officeDocument/2006/relationships/hyperlink" Target="https://codes.ohio.gov/ohio-revised-code/section-149.45" TargetMode="External"/><Relationship Id="rId720" Type="http://schemas.openxmlformats.org/officeDocument/2006/relationships/hyperlink" Target="https://www.supremecourt.ohio.gov/rod/docs/pdf/0/2022/2022-ohio-1915.pdf" TargetMode="External"/><Relationship Id="rId818" Type="http://schemas.openxmlformats.org/officeDocument/2006/relationships/hyperlink" Target="https://www.ohioattorneygeneral.gov/getattachment/b63aab56-9ad9-416e-9f60-f4b6236fd77a/2000-021.aspx" TargetMode="External"/><Relationship Id="rId1350" Type="http://schemas.openxmlformats.org/officeDocument/2006/relationships/hyperlink" Target="https://www.supremecourt.ohio.gov/rod/docs/pdf/0/2016/2016-Ohio-2770.pdf" TargetMode="External"/><Relationship Id="rId1448" Type="http://schemas.openxmlformats.org/officeDocument/2006/relationships/hyperlink" Target="https://codes.ohio.gov/ohio-revised-code/section-121.22" TargetMode="External"/><Relationship Id="rId1003" Type="http://schemas.openxmlformats.org/officeDocument/2006/relationships/hyperlink" Target="https://codes.ohio.gov/ohio-revised-code/section-1347.05" TargetMode="External"/><Relationship Id="rId1210" Type="http://schemas.openxmlformats.org/officeDocument/2006/relationships/hyperlink" Target="https://codes.ohio.gov/ohio-revised-code/section-149.331" TargetMode="External"/><Relationship Id="rId1308" Type="http://schemas.openxmlformats.org/officeDocument/2006/relationships/hyperlink" Target="https://codes.ohio.gov/ohio-revised-code/section-4752.09" TargetMode="External"/><Relationship Id="rId1515" Type="http://schemas.openxmlformats.org/officeDocument/2006/relationships/hyperlink" Target="http://www.supremecourt.ohio.gov/rod/docs/pdf/4/2005/2005-Ohio-2869.pdf" TargetMode="External"/><Relationship Id="rId14" Type="http://schemas.openxmlformats.org/officeDocument/2006/relationships/hyperlink" Target="https://www.supremecourt.ohio.gov/rod/docs/pdf/0/2010/2010-Ohio-3267.pdf" TargetMode="External"/><Relationship Id="rId163" Type="http://schemas.openxmlformats.org/officeDocument/2006/relationships/hyperlink" Target="http://www.supremecourt.ohio.gov/rod/docs/pdf/8/2015/2015-Ohio-4981.pdf" TargetMode="External"/><Relationship Id="rId370" Type="http://schemas.openxmlformats.org/officeDocument/2006/relationships/hyperlink" Target="http://www.supremecourt.ohio.gov/rod/docs/pdf/0/2002/2002-Ohio-7041.pdf" TargetMode="External"/><Relationship Id="rId230" Type="http://schemas.openxmlformats.org/officeDocument/2006/relationships/hyperlink" Target="https://codes.ohio.gov/ohio-revised-code/section-149.43" TargetMode="External"/><Relationship Id="rId468" Type="http://schemas.openxmlformats.org/officeDocument/2006/relationships/hyperlink" Target="https://codes.ohio.gov/ohio-revised-code/section-2949.221" TargetMode="External"/><Relationship Id="rId675" Type="http://schemas.openxmlformats.org/officeDocument/2006/relationships/hyperlink" Target="https://www.supremecourt.ohio.gov/rod/docs/pdf/0/2023/2023-Ohio-1177.pdf" TargetMode="External"/><Relationship Id="rId882" Type="http://schemas.openxmlformats.org/officeDocument/2006/relationships/hyperlink" Target="http://www.supremecourt.ohio.gov/rod/docs/pdf/0/2014/2014-Ohio-2329.pdf" TargetMode="External"/><Relationship Id="rId1098" Type="http://schemas.openxmlformats.org/officeDocument/2006/relationships/hyperlink" Target="http://www.supremecourt.ohio.gov/rod/docs/pdf/0/2010/2010-Ohio-5724.pdf" TargetMode="External"/><Relationship Id="rId328" Type="http://schemas.openxmlformats.org/officeDocument/2006/relationships/hyperlink" Target="http://www.supremecourt.ohio.gov/rod/docs/pdf/0/2011/2011-Ohio-4897.pdf" TargetMode="External"/><Relationship Id="rId535" Type="http://schemas.openxmlformats.org/officeDocument/2006/relationships/hyperlink" Target="https://codes.ohio.gov/ohio-revised-code/section-5747.18" TargetMode="External"/><Relationship Id="rId742" Type="http://schemas.openxmlformats.org/officeDocument/2006/relationships/hyperlink" Target="https://www.ohioattorneygeneral.gov/getattachment/e7530147-8079-4206-9881-17f5854a8e16/2001-041.aspx" TargetMode="External"/><Relationship Id="rId1165" Type="http://schemas.openxmlformats.org/officeDocument/2006/relationships/hyperlink" Target="https://codes.ohio.gov/ohio-revised-code/section-2743.75" TargetMode="External"/><Relationship Id="rId1372" Type="http://schemas.openxmlformats.org/officeDocument/2006/relationships/hyperlink" Target="https://codes.ohio.gov/ohio-revised-code/section-4117.21" TargetMode="External"/><Relationship Id="rId602" Type="http://schemas.openxmlformats.org/officeDocument/2006/relationships/hyperlink" Target="http://www.supremecourt.ohio.gov/rod/docs/pdf/0/2011/2011-Ohio-6009.pdf" TargetMode="External"/><Relationship Id="rId1025" Type="http://schemas.openxmlformats.org/officeDocument/2006/relationships/hyperlink" Target="http://www.supremecourt.ohio.gov/rod/docs/pdf/0/2014/2014-Ohio-3679.pdf" TargetMode="External"/><Relationship Id="rId1232" Type="http://schemas.openxmlformats.org/officeDocument/2006/relationships/hyperlink" Target="https://codes.ohio.gov/ohio-revised-code/section-149.351" TargetMode="External"/><Relationship Id="rId907" Type="http://schemas.openxmlformats.org/officeDocument/2006/relationships/hyperlink" Target="https://codes.ohio.gov/ohio-revised-code/section-149.43" TargetMode="External"/><Relationship Id="rId1537" Type="http://schemas.openxmlformats.org/officeDocument/2006/relationships/hyperlink" Target="http://www.supremecourt.ohio.gov/rod/docs/pdf/8/2017/2017-Ohio-398.pdf" TargetMode="External"/><Relationship Id="rId36" Type="http://schemas.openxmlformats.org/officeDocument/2006/relationships/hyperlink" Target="http://www.supremecourt.ohio.gov/rod/docs/pdf/0/2008/2008-Ohio-1770.pdf" TargetMode="External"/><Relationship Id="rId185" Type="http://schemas.openxmlformats.org/officeDocument/2006/relationships/hyperlink" Target="https://www.ohioattorneygeneral.gov/getattachment/14dfc609-403c-4fa8-aa0a-e33432255557/2006-038.aspx" TargetMode="External"/><Relationship Id="rId392" Type="http://schemas.openxmlformats.org/officeDocument/2006/relationships/hyperlink" Target="https://codes.ohio.gov/ohio-revised-code/section-149.43" TargetMode="External"/><Relationship Id="rId697" Type="http://schemas.openxmlformats.org/officeDocument/2006/relationships/hyperlink" Target="http://www.supremecourt.ohio.gov/rod/docs/pdf/13/2018/2018-Ohio-4590.pdf" TargetMode="External"/><Relationship Id="rId252" Type="http://schemas.openxmlformats.org/officeDocument/2006/relationships/hyperlink" Target="http://www.supremecourt.ohio.gov/rod/docs/pdf/0/2018/2018-Ohio-5133.pdf" TargetMode="External"/><Relationship Id="rId1187" Type="http://schemas.openxmlformats.org/officeDocument/2006/relationships/hyperlink" Target="https://codes.ohio.gov/ohio-revised-code/section-149.39" TargetMode="External"/><Relationship Id="rId112" Type="http://schemas.openxmlformats.org/officeDocument/2006/relationships/hyperlink" Target="http://www.supremecourt.ohio.gov/rod/docs/pdf/9/2009/2009-Ohio-3526.pdf" TargetMode="External"/><Relationship Id="rId557" Type="http://schemas.openxmlformats.org/officeDocument/2006/relationships/hyperlink" Target="https://codes.ohio.gov/ohio-revised-code/section-2151.42" TargetMode="External"/><Relationship Id="rId764" Type="http://schemas.openxmlformats.org/officeDocument/2006/relationships/hyperlink" Target="https://codes.ohio.gov/ohio-revised-code/section-109.57" TargetMode="External"/><Relationship Id="rId971" Type="http://schemas.openxmlformats.org/officeDocument/2006/relationships/hyperlink" Target="https://www.supremecourt.ohio.gov/docs/LegalResources/Rules/superintendence/Superintendence.pdf" TargetMode="External"/><Relationship Id="rId1394" Type="http://schemas.openxmlformats.org/officeDocument/2006/relationships/hyperlink" Target="https://codes.ohio.gov/ohio-revised-code/section-121.22" TargetMode="External"/><Relationship Id="rId417" Type="http://schemas.openxmlformats.org/officeDocument/2006/relationships/hyperlink" Target="https://codes.ohio.gov/ohio-revised-code/section-3107.17" TargetMode="External"/><Relationship Id="rId624" Type="http://schemas.openxmlformats.org/officeDocument/2006/relationships/hyperlink" Target="https://www.supremecourt.ohio.gov/rod/docs/pdf/0/2020/2020-ohio-5585.pdf" TargetMode="External"/><Relationship Id="rId831" Type="http://schemas.openxmlformats.org/officeDocument/2006/relationships/hyperlink" Target="https://codes.ohio.gov/ohio-revised-code/section-2930.04" TargetMode="External"/><Relationship Id="rId1047" Type="http://schemas.openxmlformats.org/officeDocument/2006/relationships/hyperlink" Target="http://www.supremecourt.ohio.gov/rod/docs/pdf/0/2016/2016-Ohio-7987.pdf" TargetMode="External"/><Relationship Id="rId1254" Type="http://schemas.openxmlformats.org/officeDocument/2006/relationships/hyperlink" Target="https://codes.ohio.gov/ohio-revised-code/section-109.43" TargetMode="External"/><Relationship Id="rId1461" Type="http://schemas.openxmlformats.org/officeDocument/2006/relationships/hyperlink" Target="http://www.supremecourt.ohio.gov/rod/docs/pdf/2/2014/2014-Ohio-2312.pdf" TargetMode="External"/><Relationship Id="rId929" Type="http://schemas.openxmlformats.org/officeDocument/2006/relationships/hyperlink" Target="https://www.supremecourt.ohio.gov/docs/LegalResources/Rules/superintendence/Superintendence.pdf" TargetMode="External"/><Relationship Id="rId1114" Type="http://schemas.openxmlformats.org/officeDocument/2006/relationships/hyperlink" Target="http://www.supremecourt.ohio.gov/rod/docs/pdf/0/2011/2011-Ohio-5350.pdf" TargetMode="External"/><Relationship Id="rId1321" Type="http://schemas.openxmlformats.org/officeDocument/2006/relationships/hyperlink" Target="https://codes.ohio.gov/ohio-revised-code/section-1724.11" TargetMode="External"/><Relationship Id="rId1559" Type="http://schemas.openxmlformats.org/officeDocument/2006/relationships/hyperlink" Target="http://www.supremecourt.ohio.gov/rod/docs/pdf/2/2014/2014-Ohio-2312.pdf" TargetMode="External"/><Relationship Id="rId58" Type="http://schemas.openxmlformats.org/officeDocument/2006/relationships/hyperlink" Target="http://www.supremecourt.ohio.gov/rod/docs/pdf/13/2018/2018-Ohio-1579.pdf" TargetMode="External"/><Relationship Id="rId1419" Type="http://schemas.openxmlformats.org/officeDocument/2006/relationships/hyperlink" Target="http://www.supremecourt.ohio.gov/rod/docs/pdf/2/2002/2002-Ohio-386.pdf" TargetMode="External"/><Relationship Id="rId274" Type="http://schemas.openxmlformats.org/officeDocument/2006/relationships/hyperlink" Target="http://www.supremecourt.ohio.gov/rod/docs/pdf/0/2008/2008-Ohio-6253.pdf" TargetMode="External"/><Relationship Id="rId481" Type="http://schemas.openxmlformats.org/officeDocument/2006/relationships/hyperlink" Target="https://codes.ohio.gov/ohio-revised-code/section-149.43" TargetMode="External"/><Relationship Id="rId134" Type="http://schemas.openxmlformats.org/officeDocument/2006/relationships/hyperlink" Target="http://www.supremecourt.ohio.gov/rod/docs/pdf/0/2006/2006-Ohio-4854.pdf" TargetMode="External"/><Relationship Id="rId579" Type="http://schemas.openxmlformats.org/officeDocument/2006/relationships/hyperlink" Target="https://www.supremecourt.ohio.gov/rod/docs/pdf/0/2024/2024-Ohio-182.pdf" TargetMode="External"/><Relationship Id="rId786" Type="http://schemas.openxmlformats.org/officeDocument/2006/relationships/hyperlink" Target="https://codes.ohio.gov/ohio-revised-code/section-149.43" TargetMode="External"/><Relationship Id="rId993" Type="http://schemas.openxmlformats.org/officeDocument/2006/relationships/hyperlink" Target="https://codes.ohio.gov/ohio-revised-code/section-1347.15" TargetMode="External"/><Relationship Id="rId341" Type="http://schemas.openxmlformats.org/officeDocument/2006/relationships/hyperlink" Target="https://codes.ohio.gov/ohio-revised-code/section-149.43" TargetMode="External"/><Relationship Id="rId439" Type="http://schemas.openxmlformats.org/officeDocument/2006/relationships/hyperlink" Target="https://codes.ohio.gov/ohio-revised-code/section-149.43" TargetMode="External"/><Relationship Id="rId646" Type="http://schemas.openxmlformats.org/officeDocument/2006/relationships/hyperlink" Target="http://www.supremecourt.ohio.gov/rod/docs/pdf/0/1997/1997-Ohio-319.pdf" TargetMode="External"/><Relationship Id="rId1069" Type="http://schemas.openxmlformats.org/officeDocument/2006/relationships/hyperlink" Target="http://www.supremecourt.ohio.gov/rod/docs/pdf/0/2010/2010-Ohio-5680.pdf" TargetMode="External"/><Relationship Id="rId1276" Type="http://schemas.openxmlformats.org/officeDocument/2006/relationships/hyperlink" Target="http://www.supremecourt.ohio.gov/rod/docs/pdf/10/2001/2001-Ohio-8751.pdf" TargetMode="External"/><Relationship Id="rId1483" Type="http://schemas.openxmlformats.org/officeDocument/2006/relationships/hyperlink" Target="https://codes.ohio.gov/ohio-revised-code/section-121.22" TargetMode="External"/><Relationship Id="rId201" Type="http://schemas.openxmlformats.org/officeDocument/2006/relationships/hyperlink" Target="http://www.supremecourt.ohio.gov/rod/docs/pdf/0/2009/2009-Ohio-1901.pdf" TargetMode="External"/><Relationship Id="rId506" Type="http://schemas.openxmlformats.org/officeDocument/2006/relationships/hyperlink" Target="https://codes.ohio.gov/ohio-revised-code/section-149.45" TargetMode="External"/><Relationship Id="rId853" Type="http://schemas.openxmlformats.org/officeDocument/2006/relationships/hyperlink" Target="https://codes.ohio.gov/ohio-revised-code/section-149.43" TargetMode="External"/><Relationship Id="rId1136" Type="http://schemas.openxmlformats.org/officeDocument/2006/relationships/hyperlink" Target="https://codes.ohio.gov/ohio-revised-code/section-2743.75" TargetMode="External"/><Relationship Id="rId713" Type="http://schemas.openxmlformats.org/officeDocument/2006/relationships/hyperlink" Target="https://www.supremecourt.ohio.gov/rod/docs/pdf/0/2020/2020-ohio-5585.pdf" TargetMode="External"/><Relationship Id="rId920" Type="http://schemas.openxmlformats.org/officeDocument/2006/relationships/hyperlink" Target="https://codes.ohio.gov/ohio-revised-code/section-149.43" TargetMode="External"/><Relationship Id="rId1343" Type="http://schemas.openxmlformats.org/officeDocument/2006/relationships/hyperlink" Target="http://www.supremecourt.ohio.gov/rod/docs/pdf/0/1996/1996-Ohio-372.pdf" TargetMode="External"/><Relationship Id="rId1550" Type="http://schemas.openxmlformats.org/officeDocument/2006/relationships/hyperlink" Target="https://codes.ohio.gov/ohio-revised-code/section-121.22" TargetMode="External"/><Relationship Id="rId1203" Type="http://schemas.openxmlformats.org/officeDocument/2006/relationships/hyperlink" Target="https://codes.ohio.gov/ohio-revised-code/section-149.33" TargetMode="External"/><Relationship Id="rId1410" Type="http://schemas.openxmlformats.org/officeDocument/2006/relationships/hyperlink" Target="http://www.supremecourt.ohio.gov/rod/docs/pdf/11/2017/2017-Ohio-4237.pdf" TargetMode="External"/><Relationship Id="rId1508" Type="http://schemas.openxmlformats.org/officeDocument/2006/relationships/hyperlink" Target="http://www.supremecourt.ohio.gov/rod/docs/pdf/2/2014/2014-Ohio-2312.pdf" TargetMode="External"/><Relationship Id="rId296" Type="http://schemas.openxmlformats.org/officeDocument/2006/relationships/hyperlink" Target="http://www.supremecourt.ohio.gov/rod/docs/pdf/0/2004/2004-Ohio-6589.pdf" TargetMode="External"/><Relationship Id="rId156" Type="http://schemas.openxmlformats.org/officeDocument/2006/relationships/hyperlink" Target="http://www.supremecourt.ohio.gov/rod/docs/pdf/0/2011/2011-Ohio-625.pdf" TargetMode="External"/><Relationship Id="rId363" Type="http://schemas.openxmlformats.org/officeDocument/2006/relationships/hyperlink" Target="https://www.supremecourt.ohio.gov/rod/docs/pdf/9/2015/2015-Ohio-2309.pdf" TargetMode="External"/><Relationship Id="rId570" Type="http://schemas.openxmlformats.org/officeDocument/2006/relationships/hyperlink" Target="https://www.supremecourt.ohio.gov/rod/docs/pdf/0/2020/2020-Ohio-5149.pdf" TargetMode="External"/><Relationship Id="rId223" Type="http://schemas.openxmlformats.org/officeDocument/2006/relationships/hyperlink" Target="https://codes.ohio.gov/ohio-revised-code/section-149.43" TargetMode="External"/><Relationship Id="rId430" Type="http://schemas.openxmlformats.org/officeDocument/2006/relationships/hyperlink" Target="https://codes.ohio.gov/ohio-revised-code/section-149.43" TargetMode="External"/><Relationship Id="rId668" Type="http://schemas.openxmlformats.org/officeDocument/2006/relationships/hyperlink" Target="http://www.supremecourt.ohio.gov/rod/docs/pdf/0/1997/1997-Ohio-75.pdf" TargetMode="External"/><Relationship Id="rId875" Type="http://schemas.openxmlformats.org/officeDocument/2006/relationships/hyperlink" Target="http://www.supremecourt.ohio.gov/rod/docs/pdf/0/2000/2000-Ohio-214.pdf" TargetMode="External"/><Relationship Id="rId1060" Type="http://schemas.openxmlformats.org/officeDocument/2006/relationships/hyperlink" Target="https://www.supremecourt.ohio.gov/rod/docs/pdf/0/2024/2024-Ohio-103.pdf" TargetMode="External"/><Relationship Id="rId1298" Type="http://schemas.openxmlformats.org/officeDocument/2006/relationships/hyperlink" Target="https://codes.ohio.gov/ohio-revised-code/section-121.22" TargetMode="External"/><Relationship Id="rId528" Type="http://schemas.openxmlformats.org/officeDocument/2006/relationships/hyperlink" Target="http://www.supremecourt.ohio.gov/rod/docs/pdf/10/2012/2012-Ohio-2590.pdf" TargetMode="External"/><Relationship Id="rId735" Type="http://schemas.openxmlformats.org/officeDocument/2006/relationships/hyperlink" Target="https://codes.ohio.gov/ohio-revised-code/section-128.99" TargetMode="External"/><Relationship Id="rId942" Type="http://schemas.openxmlformats.org/officeDocument/2006/relationships/hyperlink" Target="https://www.supremecourt.ohio.gov/docs/LegalResources/Rules/superintendence/Superintendence.pdf" TargetMode="External"/><Relationship Id="rId1158" Type="http://schemas.openxmlformats.org/officeDocument/2006/relationships/hyperlink" Target="https://codes.ohio.gov/ohio-revised-code/section-2743.75" TargetMode="External"/><Relationship Id="rId1365" Type="http://schemas.openxmlformats.org/officeDocument/2006/relationships/hyperlink" Target="http://www.supremecourt.ohio.gov/rod/docs/pdf/0/2010/2010-Ohio-2167.pdf" TargetMode="External"/><Relationship Id="rId1572" Type="http://schemas.openxmlformats.org/officeDocument/2006/relationships/hyperlink" Target="http://www.supremecourt.ohio.gov/rod/docs/pdf/12/2014/2014-Ohio-252.pdf" TargetMode="External"/><Relationship Id="rId1018" Type="http://schemas.openxmlformats.org/officeDocument/2006/relationships/hyperlink" Target="https://www.supremecourt.ohio.gov/docs/LegalResources/Rules/practice/rulesofpractice.pdf" TargetMode="External"/><Relationship Id="rId1225" Type="http://schemas.openxmlformats.org/officeDocument/2006/relationships/hyperlink" Target="http://www.supremecourt.ohio.gov/rod/docs/pdf/10/2010/2010-Ohio-373.pdf" TargetMode="External"/><Relationship Id="rId1432" Type="http://schemas.openxmlformats.org/officeDocument/2006/relationships/hyperlink" Target="http://www.supremecourt.ohio.gov/rod/docs/pdf/0/2001/2001-Ohio-130.pdf" TargetMode="External"/><Relationship Id="rId71" Type="http://schemas.openxmlformats.org/officeDocument/2006/relationships/hyperlink" Target="https://www.supremecourt.ohio.gov/rod/docs/pdf/13/2019/2019-Ohio-2624.pdf" TargetMode="External"/><Relationship Id="rId802" Type="http://schemas.openxmlformats.org/officeDocument/2006/relationships/hyperlink" Target="https://codes.ohio.gov/ohio-revised-code/section-9.88" TargetMode="External"/><Relationship Id="rId29" Type="http://schemas.openxmlformats.org/officeDocument/2006/relationships/hyperlink" Target="http://www.supremecourt.ohio.gov/rod/docs/pdf/0/2000/2000-Ohio-345.pdf" TargetMode="External"/><Relationship Id="rId178" Type="http://schemas.openxmlformats.org/officeDocument/2006/relationships/hyperlink" Target="https://codes.ohio.gov/ohio-revised-code/section-149.43" TargetMode="External"/><Relationship Id="rId385" Type="http://schemas.openxmlformats.org/officeDocument/2006/relationships/hyperlink" Target="http://www.supremecourt.ohio.gov/rod/docs/pdf/0/2004/2004-Ohio-1497.pdf" TargetMode="External"/><Relationship Id="rId592" Type="http://schemas.openxmlformats.org/officeDocument/2006/relationships/hyperlink" Target="http://www.supremecourt.ohio.gov/rod/docs/pdf/0/2005/2005-Ohio-1508.pdf" TargetMode="External"/><Relationship Id="rId245" Type="http://schemas.openxmlformats.org/officeDocument/2006/relationships/hyperlink" Target="http://www.supremecourt.ohio.gov/rod/docs/pdf/0/1998/1998-Ohio-444.pdf" TargetMode="External"/><Relationship Id="rId452" Type="http://schemas.openxmlformats.org/officeDocument/2006/relationships/hyperlink" Target="https://codes.ohio.gov/ohio-revised-code/section-4751.15" TargetMode="External"/><Relationship Id="rId897" Type="http://schemas.openxmlformats.org/officeDocument/2006/relationships/hyperlink" Target="https://codes.ohio.gov/ohio-administrative-code/rule-4501:2-10-06" TargetMode="External"/><Relationship Id="rId1082" Type="http://schemas.openxmlformats.org/officeDocument/2006/relationships/hyperlink" Target="http://www.supremecourt.ohio.gov/rod/docs/pdf/0/2016/2016-Ohio-5725.pdf" TargetMode="External"/><Relationship Id="rId105" Type="http://schemas.openxmlformats.org/officeDocument/2006/relationships/hyperlink" Target="https://www.supremecourt.ohio.gov/rod/docs/pdf/0/2019/2019-Ohio-1216.pdf" TargetMode="External"/><Relationship Id="rId312" Type="http://schemas.openxmlformats.org/officeDocument/2006/relationships/hyperlink" Target="https://codes.ohio.gov/ohio-revised-code/section-149.43" TargetMode="External"/><Relationship Id="rId757" Type="http://schemas.openxmlformats.org/officeDocument/2006/relationships/hyperlink" Target="https://codes.ohio.gov/ohio-revised-code/section-2967.01" TargetMode="External"/><Relationship Id="rId964" Type="http://schemas.openxmlformats.org/officeDocument/2006/relationships/hyperlink" Target="http://www.supremecourt.ohio.gov/rod/docs/pdf/0/2015/2015-Ohio-235.pdf" TargetMode="External"/><Relationship Id="rId1387" Type="http://schemas.openxmlformats.org/officeDocument/2006/relationships/hyperlink" Target="https://www.supremecourt.ohio.gov/rod/docs/pdf/0/2021/2021-Ohio-2374.pdf" TargetMode="External"/><Relationship Id="rId93" Type="http://schemas.openxmlformats.org/officeDocument/2006/relationships/hyperlink" Target="https://www.supremecourt.ohio.gov/rod/docs/pdf/13/2019/2019-Ohio-5455.pdf" TargetMode="External"/><Relationship Id="rId617" Type="http://schemas.openxmlformats.org/officeDocument/2006/relationships/hyperlink" Target="http://www.supremecourt.ohio.gov/rod/docs/pdf/7/2003/2003-Ohio-3286.pdf" TargetMode="External"/><Relationship Id="rId824" Type="http://schemas.openxmlformats.org/officeDocument/2006/relationships/hyperlink" Target="https://www.supremecourt.ohio.gov/rod/docs/pdf/0/2020/2020-ohio-5585.pdf" TargetMode="External"/><Relationship Id="rId1247" Type="http://schemas.openxmlformats.org/officeDocument/2006/relationships/hyperlink" Target="https://codes.ohio.gov/ohio-revised-code/section-149.34" TargetMode="External"/><Relationship Id="rId1454" Type="http://schemas.openxmlformats.org/officeDocument/2006/relationships/hyperlink" Target="https://ethics.ohio.gov/advice/opinions/2020-02.pdf" TargetMode="External"/><Relationship Id="rId1107" Type="http://schemas.openxmlformats.org/officeDocument/2006/relationships/hyperlink" Target="http://www.supremecourt.ohio.gov/rod/docs/pdf/0/2009/2009-Ohio-4149.pdf" TargetMode="External"/><Relationship Id="rId1314" Type="http://schemas.openxmlformats.org/officeDocument/2006/relationships/hyperlink" Target="https://codes.ohio.gov/ohio-revised-code/section-121.22" TargetMode="External"/><Relationship Id="rId1521" Type="http://schemas.openxmlformats.org/officeDocument/2006/relationships/hyperlink" Target="http://www.supremecourt.ohio.gov/rod/docs/pdf/10/2014/2014-Ohio-1181.pdf" TargetMode="External"/><Relationship Id="rId20" Type="http://schemas.openxmlformats.org/officeDocument/2006/relationships/hyperlink" Target="https://www.supremecourt.ohio.gov/rod/docs/pdf/13/2019/2019-Ohio-2623.pdf" TargetMode="External"/><Relationship Id="rId267" Type="http://schemas.openxmlformats.org/officeDocument/2006/relationships/hyperlink" Target="https://codes.ohio.gov/ohio-revised-code/section-149.43" TargetMode="External"/><Relationship Id="rId474" Type="http://schemas.openxmlformats.org/officeDocument/2006/relationships/hyperlink" Target="https://codes.ohio.gov/ohio-revised-code/section-149.43" TargetMode="External"/><Relationship Id="rId127" Type="http://schemas.openxmlformats.org/officeDocument/2006/relationships/hyperlink" Target="http://www.supremecourt.ohio.gov/rod/docs/pdf/0/2001/2001-Ohio-1582.pdf" TargetMode="External"/><Relationship Id="rId681" Type="http://schemas.openxmlformats.org/officeDocument/2006/relationships/hyperlink" Target="https://www.supremecourt.ohio.gov/rod/docs/pdf/0/2010/2010-Ohio-5995.pdf" TargetMode="External"/><Relationship Id="rId779" Type="http://schemas.openxmlformats.org/officeDocument/2006/relationships/hyperlink" Target="https://codes.ohio.gov/ohio-revised-code/section-149.43" TargetMode="External"/><Relationship Id="rId986" Type="http://schemas.openxmlformats.org/officeDocument/2006/relationships/hyperlink" Target="https://codes.ohio.gov/ohio-revised-code/section-1347.05" TargetMode="External"/><Relationship Id="rId334" Type="http://schemas.openxmlformats.org/officeDocument/2006/relationships/hyperlink" Target="https://codes.ohio.gov/ohio-revised-code/section-307.862" TargetMode="External"/><Relationship Id="rId541" Type="http://schemas.openxmlformats.org/officeDocument/2006/relationships/hyperlink" Target="https://www.ohioattorneygeneral.gov/getattachment/89493001-4548-4b80-b371-a872e6b348d9/1990-101.aspx" TargetMode="External"/><Relationship Id="rId639" Type="http://schemas.openxmlformats.org/officeDocument/2006/relationships/hyperlink" Target="http://www.supremecourt.ohio.gov/rod/docs/pdf/0/2015/2015-Ohio-235.pdf" TargetMode="External"/><Relationship Id="rId1171" Type="http://schemas.openxmlformats.org/officeDocument/2006/relationships/hyperlink" Target="https://codes.ohio.gov/ohio-revised-code/section-2743.75" TargetMode="External"/><Relationship Id="rId1269" Type="http://schemas.openxmlformats.org/officeDocument/2006/relationships/hyperlink" Target="https://codes.ohio.gov/ohio-revised-code/section-121.22" TargetMode="External"/><Relationship Id="rId1476" Type="http://schemas.openxmlformats.org/officeDocument/2006/relationships/hyperlink" Target="https://www.supremecourt.ohio.gov/rod/docs/pdf/1/2002/2002-ohio-2038.pdf" TargetMode="External"/><Relationship Id="rId401" Type="http://schemas.openxmlformats.org/officeDocument/2006/relationships/hyperlink" Target="https://codes.ohio.gov/ohio-revised-code/section-149.43" TargetMode="External"/><Relationship Id="rId846" Type="http://schemas.openxmlformats.org/officeDocument/2006/relationships/hyperlink" Target="https://codes.ohio.gov/ohio-revised-code/section-2930.07" TargetMode="External"/><Relationship Id="rId1031" Type="http://schemas.openxmlformats.org/officeDocument/2006/relationships/hyperlink" Target="http://www.supremecourt.ohio.gov/rod/docs/pdf/0/1999/1999-Ohio-114.pdf" TargetMode="External"/><Relationship Id="rId1129" Type="http://schemas.openxmlformats.org/officeDocument/2006/relationships/hyperlink" Target="https://codes.ohio.gov/ohio-revised-code/section-2743.75" TargetMode="External"/><Relationship Id="rId706" Type="http://schemas.openxmlformats.org/officeDocument/2006/relationships/hyperlink" Target="http://www.supremecourt.ohio.gov/rod/docs/pdf/6/2013/2013-Ohio-3094.pdf" TargetMode="External"/><Relationship Id="rId913" Type="http://schemas.openxmlformats.org/officeDocument/2006/relationships/hyperlink" Target="https://codes.ohio.gov/ohio-revised-code/section-149.45" TargetMode="External"/><Relationship Id="rId1336" Type="http://schemas.openxmlformats.org/officeDocument/2006/relationships/hyperlink" Target="https://codes.ohio.gov/ohio-revised-code/section-4517.35" TargetMode="External"/><Relationship Id="rId1543" Type="http://schemas.openxmlformats.org/officeDocument/2006/relationships/hyperlink" Target="http://www.supremecourt.ohio.gov/rod/docs/pdf/0/2008/2008-Ohio-1965.pdf" TargetMode="External"/><Relationship Id="rId42" Type="http://schemas.openxmlformats.org/officeDocument/2006/relationships/hyperlink" Target="https://codes.ohio.gov/ohio-revised-code/section-149.43" TargetMode="External"/><Relationship Id="rId1403" Type="http://schemas.openxmlformats.org/officeDocument/2006/relationships/hyperlink" Target="http://www.supremecourt.ohio.gov/rod/docs/pdf/0/1995/1995-Ohio-266.pdf" TargetMode="External"/><Relationship Id="rId191" Type="http://schemas.openxmlformats.org/officeDocument/2006/relationships/hyperlink" Target="https://www.supremecourt.ohio.gov/rod/docs/pdf/0/2022/2022-Ohio-2189.pdf" TargetMode="External"/><Relationship Id="rId289" Type="http://schemas.openxmlformats.org/officeDocument/2006/relationships/hyperlink" Target="http://www.supremecourt.ohio.gov/rod/docs/pdf/0/2013/2013-Ohio-761.pdf" TargetMode="External"/><Relationship Id="rId496" Type="http://schemas.openxmlformats.org/officeDocument/2006/relationships/hyperlink" Target="http://www.supremecourt.ohio.gov/rod/docs/pdf/0/2012/2012-Ohio-1999.pdf" TargetMode="External"/><Relationship Id="rId149" Type="http://schemas.openxmlformats.org/officeDocument/2006/relationships/hyperlink" Target="https://www.supremecourt.ohio.gov/rod/docs/pdf/5/2017/2017-Ohio-7820.pdf" TargetMode="External"/><Relationship Id="rId356" Type="http://schemas.openxmlformats.org/officeDocument/2006/relationships/hyperlink" Target="file:///C:\Users\hbuchanan\AppData\Local\Microsoft\Windows\INetCache\Content.Outlook\Q8V0RF6Q\R.C.%20313.10(D)" TargetMode="External"/><Relationship Id="rId563" Type="http://schemas.openxmlformats.org/officeDocument/2006/relationships/hyperlink" Target="http://www.supremecourt.ohio.gov/rod/docs/pdf/0/2000/2000-Ohio-345.pdf" TargetMode="External"/><Relationship Id="rId770" Type="http://schemas.openxmlformats.org/officeDocument/2006/relationships/hyperlink" Target="http://www.supremecourt.ohio.gov/rod/docs/pdf/4/2001/2001-Ohio-4059.pdf" TargetMode="External"/><Relationship Id="rId1193" Type="http://schemas.openxmlformats.org/officeDocument/2006/relationships/hyperlink" Target="https://codes.ohio.gov/ohio-revised-code/section-149.381" TargetMode="External"/><Relationship Id="rId216" Type="http://schemas.openxmlformats.org/officeDocument/2006/relationships/hyperlink" Target="http://www.supremecourt.ohio.gov/rod/docs/pdf/0/2012/2012-Ohio-2690.pdf" TargetMode="External"/><Relationship Id="rId423" Type="http://schemas.openxmlformats.org/officeDocument/2006/relationships/hyperlink" Target="http://www.supremecourt.ohio.gov/rod/docs/pdf/0/2002/2002-Ohio-7041.pdf" TargetMode="External"/><Relationship Id="rId868" Type="http://schemas.openxmlformats.org/officeDocument/2006/relationships/hyperlink" Target="http://www.supremecourt.ohio.gov/rod/docs/pdf/2/2009/2009-Ohio-5049.pdf" TargetMode="External"/><Relationship Id="rId1053" Type="http://schemas.openxmlformats.org/officeDocument/2006/relationships/hyperlink" Target="http://www.supremecourt.ohio.gov/rod/docs/pdf/8/2018/2018-Ohio-4602.pdf" TargetMode="External"/><Relationship Id="rId1260" Type="http://schemas.openxmlformats.org/officeDocument/2006/relationships/hyperlink" Target="https://codes.ohio.gov/ohio-revised-code/section-109.43" TargetMode="External"/><Relationship Id="rId1498" Type="http://schemas.openxmlformats.org/officeDocument/2006/relationships/hyperlink" Target="https://codes.ohio.gov/ohio-revised-code/section-121.22" TargetMode="External"/><Relationship Id="rId630" Type="http://schemas.openxmlformats.org/officeDocument/2006/relationships/hyperlink" Target="https://codes.ohio.gov/ohio-revised-code/section-2953.34" TargetMode="External"/><Relationship Id="rId728" Type="http://schemas.openxmlformats.org/officeDocument/2006/relationships/hyperlink" Target="https://www.supremecourt.ohio.gov/rod/docs/pdf/0/2022/2022-ohio-1915.pdf" TargetMode="External"/><Relationship Id="rId935" Type="http://schemas.openxmlformats.org/officeDocument/2006/relationships/hyperlink" Target="https://www.supremecourt.ohio.gov/docs/LegalResources/Rules/superintendence/Superintendence.pdf" TargetMode="External"/><Relationship Id="rId1358" Type="http://schemas.openxmlformats.org/officeDocument/2006/relationships/hyperlink" Target="https://www.supremecourt.ohio.gov/rod/docs/pdf/11/2023/2023-Ohio-2256.pdf" TargetMode="External"/><Relationship Id="rId1565" Type="http://schemas.openxmlformats.org/officeDocument/2006/relationships/hyperlink" Target="http://www.supremecourt.ohio.gov/rod/docs/pdf/0/2001/2001-Ohio-1888.pdf" TargetMode="External"/><Relationship Id="rId64" Type="http://schemas.openxmlformats.org/officeDocument/2006/relationships/hyperlink" Target="http://www.supremecourt.ohio.gov/rod/docs/pdf/0/2008/2008-Ohio-6253.pdf" TargetMode="External"/><Relationship Id="rId1120" Type="http://schemas.openxmlformats.org/officeDocument/2006/relationships/hyperlink" Target="https://www.supremecourt.ohio.gov/docs/LegalResources/Rules/civil/CivilProcedure.pdf" TargetMode="External"/><Relationship Id="rId1218" Type="http://schemas.openxmlformats.org/officeDocument/2006/relationships/hyperlink" Target="http://www.supremecourt.ohio.gov/rod/docs/pdf/0/2011/2011-Ohio-3279.pdf" TargetMode="External"/><Relationship Id="rId1425" Type="http://schemas.openxmlformats.org/officeDocument/2006/relationships/hyperlink" Target="https://www.supremecourt.ohio.gov/rod/docs/pdf/0/2023/2023-Ohio-3382.pdf" TargetMode="External"/><Relationship Id="rId280" Type="http://schemas.openxmlformats.org/officeDocument/2006/relationships/hyperlink" Target="http://www.supremecourt.ohio.gov/rod/docs/pdf/0/2012/2012-Ohio-1006.pdf" TargetMode="External"/><Relationship Id="rId140" Type="http://schemas.openxmlformats.org/officeDocument/2006/relationships/hyperlink" Target="https://www.supremecourt.ohio.gov/rod/docs/pdf/0/2023/2023-Ohio-4593.pdf" TargetMode="External"/><Relationship Id="rId378" Type="http://schemas.openxmlformats.org/officeDocument/2006/relationships/hyperlink" Target="https://www.supremecourt.ohio.gov/rod/docs/pdf/12/2008/2008-Ohio-5669.pdf" TargetMode="External"/><Relationship Id="rId585" Type="http://schemas.openxmlformats.org/officeDocument/2006/relationships/hyperlink" Target="https://www.supremecourt.ohio.gov/rod/docs/pdf/0/2015/2015-Ohio-5056.pdf" TargetMode="External"/><Relationship Id="rId792" Type="http://schemas.openxmlformats.org/officeDocument/2006/relationships/hyperlink" Target="https://codes.ohio.gov/ohio-revised-code/section-149.43" TargetMode="External"/><Relationship Id="rId6" Type="http://schemas.openxmlformats.org/officeDocument/2006/relationships/hyperlink" Target="https://www.supremecourt.ohio.gov/rod/docs/pdf/13/2019/2019-Ohio-2623.pdf" TargetMode="External"/><Relationship Id="rId238" Type="http://schemas.openxmlformats.org/officeDocument/2006/relationships/hyperlink" Target="https://codes.ohio.gov/ohio-revised-code/section-149.43" TargetMode="External"/><Relationship Id="rId445" Type="http://schemas.openxmlformats.org/officeDocument/2006/relationships/hyperlink" Target="https://codes.ohio.gov/ohio-revised-code/section-149.43" TargetMode="External"/><Relationship Id="rId652" Type="http://schemas.openxmlformats.org/officeDocument/2006/relationships/hyperlink" Target="https://www.supremecourt.ohio.gov/rod/docs/pdf/13/2021/2021-Ohio-2704.pdf" TargetMode="External"/><Relationship Id="rId1075" Type="http://schemas.openxmlformats.org/officeDocument/2006/relationships/hyperlink" Target="http://www.supremecourt.ohio.gov/rod/docs/pdf/0/2009/2009-Ohio-4149.pdf" TargetMode="External"/><Relationship Id="rId1282" Type="http://schemas.openxmlformats.org/officeDocument/2006/relationships/hyperlink" Target="https://www.supremecourt.ohio.gov/rod/docs/pdf/1/2022/2022-Ohio-1109.pdf" TargetMode="External"/><Relationship Id="rId305" Type="http://schemas.openxmlformats.org/officeDocument/2006/relationships/hyperlink" Target="https://codes.ohio.gov/ohio-revised-code/section-149.43" TargetMode="External"/><Relationship Id="rId512" Type="http://schemas.openxmlformats.org/officeDocument/2006/relationships/hyperlink" Target="https://codes.ohio.gov/ohio-revised-code/section-149.45" TargetMode="External"/><Relationship Id="rId957" Type="http://schemas.openxmlformats.org/officeDocument/2006/relationships/hyperlink" Target="https://www.supremecourt.ohio.gov/docs/LegalResources/Rules/juvenile/JuvenileProcedure.pdf" TargetMode="External"/><Relationship Id="rId1142" Type="http://schemas.openxmlformats.org/officeDocument/2006/relationships/hyperlink" Target="https://codes.ohio.gov/ohio-revised-code/section-2743.75" TargetMode="External"/><Relationship Id="rId86" Type="http://schemas.openxmlformats.org/officeDocument/2006/relationships/hyperlink" Target="https://a.next.westlaw.com/Document/I0dc70670d3ec11d9bf60c1d57ebc853e/View/FullText.html?transitionType=UniqueDocItem&amp;contextData=(sc.UserEnteredCitation)&amp;userEnteredCitation=67+Ohio+St.3d+439" TargetMode="External"/><Relationship Id="rId817" Type="http://schemas.openxmlformats.org/officeDocument/2006/relationships/hyperlink" Target="https://codes.ohio.gov/ohio-revised-code/section-149.43" TargetMode="External"/><Relationship Id="rId1002" Type="http://schemas.openxmlformats.org/officeDocument/2006/relationships/hyperlink" Target="https://codes.ohio.gov/ohio-revised-code/section-1347.15" TargetMode="External"/><Relationship Id="rId1447" Type="http://schemas.openxmlformats.org/officeDocument/2006/relationships/hyperlink" Target="http://www.supremecourt.ohio.gov/rod/docs/pdf/0/1996/1996-Ohio-236.pdf" TargetMode="External"/><Relationship Id="rId1307" Type="http://schemas.openxmlformats.org/officeDocument/2006/relationships/hyperlink" Target="https://codes.ohio.gov/ohio-revised-code/section-3796.14" TargetMode="External"/><Relationship Id="rId1514" Type="http://schemas.openxmlformats.org/officeDocument/2006/relationships/hyperlink" Target="https://codes.ohio.gov/ohio-revised-code/section-121.22" TargetMode="External"/><Relationship Id="rId13" Type="http://schemas.openxmlformats.org/officeDocument/2006/relationships/hyperlink" Target="http://www.supremecourt.ohio.gov/rod/docs/pdf/0/1999/1999-Ohio-447.pdf" TargetMode="External"/><Relationship Id="rId162" Type="http://schemas.openxmlformats.org/officeDocument/2006/relationships/hyperlink" Target="http://www.supremecourt.ohio.gov/rod/docs/pdf/12/2012/2012-Ohio-3879.pdf" TargetMode="External"/><Relationship Id="rId467" Type="http://schemas.openxmlformats.org/officeDocument/2006/relationships/hyperlink" Target="https://www.supremecourt.ohio.gov/rod/docs/pdf/0/2018/2018-Ohio-5133.pdf" TargetMode="External"/><Relationship Id="rId1097" Type="http://schemas.openxmlformats.org/officeDocument/2006/relationships/hyperlink" Target="http://www.supremecourt.ohio.gov/rod/docs/pdf/10/2016/2016-Ohio-8534.pdf" TargetMode="External"/><Relationship Id="rId674" Type="http://schemas.openxmlformats.org/officeDocument/2006/relationships/hyperlink" Target="https://www.supremecourt.ohio.gov/rod/docs/pdf/0/2022/2022-Ohio-1765.pdf" TargetMode="External"/><Relationship Id="rId881" Type="http://schemas.openxmlformats.org/officeDocument/2006/relationships/hyperlink" Target="http://www.supremecourt.ohio.gov/rod/docs/pdf/0/2005/2005-Ohio-4384.pdf" TargetMode="External"/><Relationship Id="rId979" Type="http://schemas.openxmlformats.org/officeDocument/2006/relationships/hyperlink" Target="https://codes.ohio.gov/ohio-revised-code/section-149.43" TargetMode="External"/><Relationship Id="rId327" Type="http://schemas.openxmlformats.org/officeDocument/2006/relationships/hyperlink" Target="https://codes.ohio.gov/ohio-revised-code/section-149.431" TargetMode="External"/><Relationship Id="rId534" Type="http://schemas.openxmlformats.org/officeDocument/2006/relationships/hyperlink" Target="https://codes.ohio.gov/ohio-revised-code/section-718.13" TargetMode="External"/><Relationship Id="rId741" Type="http://schemas.openxmlformats.org/officeDocument/2006/relationships/hyperlink" Target="https://codes.ohio.gov/ohio-revised-code/section-149.43" TargetMode="External"/><Relationship Id="rId839" Type="http://schemas.openxmlformats.org/officeDocument/2006/relationships/hyperlink" Target="https://codes.ohio.gov/ohio-revised-code/section-2930.07" TargetMode="External"/><Relationship Id="rId1164" Type="http://schemas.openxmlformats.org/officeDocument/2006/relationships/hyperlink" Target="https://codes.ohio.gov/ohio-revised-code/section-2743.75" TargetMode="External"/><Relationship Id="rId1371" Type="http://schemas.openxmlformats.org/officeDocument/2006/relationships/hyperlink" Target="https://www.supremecourt.ohio.gov/rod/docs/pdf/11/2023/2023-Ohio-3689.pdf" TargetMode="External"/><Relationship Id="rId1469" Type="http://schemas.openxmlformats.org/officeDocument/2006/relationships/hyperlink" Target="https://codes.ohio.gov/ohio-revised-code/section-121.22" TargetMode="External"/><Relationship Id="rId601" Type="http://schemas.openxmlformats.org/officeDocument/2006/relationships/hyperlink" Target="http://www.supremecourt.ohio.gov/rod/docs/pdf/0/2012/2012-Ohio-5320.pdf" TargetMode="External"/><Relationship Id="rId1024" Type="http://schemas.openxmlformats.org/officeDocument/2006/relationships/hyperlink" Target="https://www.supremecourt.ohio.gov/rod/docs/pdf/0/2018/2018-Ohio-5133.pdf" TargetMode="External"/><Relationship Id="rId1231" Type="http://schemas.openxmlformats.org/officeDocument/2006/relationships/hyperlink" Target="https://codes.ohio.gov/ohio-revised-code/section-149.351" TargetMode="External"/><Relationship Id="rId906" Type="http://schemas.openxmlformats.org/officeDocument/2006/relationships/hyperlink" Target="https://codes.ohio.gov/ohio-revised-code/section-149.43" TargetMode="External"/><Relationship Id="rId1329" Type="http://schemas.openxmlformats.org/officeDocument/2006/relationships/hyperlink" Target="https://codes.ohio.gov/ohio-revised-code/section-308.051" TargetMode="External"/><Relationship Id="rId1536" Type="http://schemas.openxmlformats.org/officeDocument/2006/relationships/hyperlink" Target="http://www.supremecourt.ohio.gov/rod/docs/pdf/2/2014/2014-Ohio-2312.pdf" TargetMode="External"/><Relationship Id="rId35" Type="http://schemas.openxmlformats.org/officeDocument/2006/relationships/hyperlink" Target="http://www.supremecourt.ohio.gov/rod/docs/pdf/13/2018/2018-Ohio-5015.pdf" TargetMode="External"/><Relationship Id="rId184" Type="http://schemas.openxmlformats.org/officeDocument/2006/relationships/hyperlink" Target="https://codes.ohio.gov/ohio-revised-code/section-149.43" TargetMode="External"/><Relationship Id="rId391" Type="http://schemas.openxmlformats.org/officeDocument/2006/relationships/hyperlink" Target="https://codes.ohio.gov/ohio-revised-code/section-149.43" TargetMode="External"/><Relationship Id="rId251" Type="http://schemas.openxmlformats.org/officeDocument/2006/relationships/hyperlink" Target="http://www.supremecourt.ohio.gov/rod/docs/pdf/0/2018/2018-Ohio-5108.pdf" TargetMode="External"/><Relationship Id="rId489" Type="http://schemas.openxmlformats.org/officeDocument/2006/relationships/hyperlink" Target="https://codes.ohio.gov/ohio-revised-code/section-149.43" TargetMode="External"/><Relationship Id="rId696" Type="http://schemas.openxmlformats.org/officeDocument/2006/relationships/hyperlink" Target="http://www.supremecourt.ohio.gov/rod/docs/pdf/0/2010/2010-Ohio-3288.pdf" TargetMode="External"/><Relationship Id="rId349" Type="http://schemas.openxmlformats.org/officeDocument/2006/relationships/hyperlink" Target="https://codes.ohio.gov/ohio-revised-code/section-313.10" TargetMode="External"/><Relationship Id="rId556" Type="http://schemas.openxmlformats.org/officeDocument/2006/relationships/hyperlink" Target="https://www.ohioattorneygeneral.gov/getattachment/90cabeee-f49c-4583-8dd9-4942a5a2d15e/1991-003.aspx" TargetMode="External"/><Relationship Id="rId763" Type="http://schemas.openxmlformats.org/officeDocument/2006/relationships/hyperlink" Target="https://codes.ohio.gov/ohio-revised-code/section-109.57" TargetMode="External"/><Relationship Id="rId1186" Type="http://schemas.openxmlformats.org/officeDocument/2006/relationships/hyperlink" Target="https://codes.ohio.gov/ohio-revised-code/section-149.42" TargetMode="External"/><Relationship Id="rId1393" Type="http://schemas.openxmlformats.org/officeDocument/2006/relationships/hyperlink" Target="http://www.supremecourt.ohio.gov/rod/docs/pdf/10/2011/2011-Ohio-6728.pdf" TargetMode="External"/><Relationship Id="rId111" Type="http://schemas.openxmlformats.org/officeDocument/2006/relationships/hyperlink" Target="http://www.supremecourt.ohio.gov/rod/docs/pdf/0/2003/2003-Ohio-2260.pdf" TargetMode="External"/><Relationship Id="rId209" Type="http://schemas.openxmlformats.org/officeDocument/2006/relationships/hyperlink" Target="http://www.supremecourt.ohio.gov/rod/docs/pdf/0/2010/2010-Ohio-5711.pdf" TargetMode="External"/><Relationship Id="rId416" Type="http://schemas.openxmlformats.org/officeDocument/2006/relationships/hyperlink" Target="https://codes.ohio.gov/ohio-revised-code/section-3107.063" TargetMode="External"/><Relationship Id="rId970" Type="http://schemas.openxmlformats.org/officeDocument/2006/relationships/hyperlink" Target="https://www.supremecourt.ohio.gov/docs/LegalResources/Rules/superintendence/Superintendence.pdf" TargetMode="External"/><Relationship Id="rId1046" Type="http://schemas.openxmlformats.org/officeDocument/2006/relationships/hyperlink" Target="https://codes.ohio.gov/ohio-revised-code/section-149.43" TargetMode="External"/><Relationship Id="rId1253" Type="http://schemas.openxmlformats.org/officeDocument/2006/relationships/hyperlink" Target="https://codes.ohio.gov/ohio-revised-code/section-149.43" TargetMode="External"/><Relationship Id="rId623" Type="http://schemas.openxmlformats.org/officeDocument/2006/relationships/hyperlink" Target="https://www.supremecourt.ohio.gov/rod/docs/pdf/0/2020/2020-ohio-5585.pdf" TargetMode="External"/><Relationship Id="rId830" Type="http://schemas.openxmlformats.org/officeDocument/2006/relationships/hyperlink" Target="https://codes.ohio.gov/ohio-revised-code/section-2930.04" TargetMode="External"/><Relationship Id="rId928" Type="http://schemas.openxmlformats.org/officeDocument/2006/relationships/hyperlink" Target="https://www.supremecourt.ohio.gov/docs/LegalResources/Rules/superintendence/Superintendence.pdf" TargetMode="External"/><Relationship Id="rId1460" Type="http://schemas.openxmlformats.org/officeDocument/2006/relationships/hyperlink" Target="http://www.supremecourt.ohio.gov/rod/docs/pdf/0/2001/2001-Ohio-130.pdf" TargetMode="External"/><Relationship Id="rId1558" Type="http://schemas.openxmlformats.org/officeDocument/2006/relationships/hyperlink" Target="http://www.supremecourt.ohio.gov/rod/docs/pdf/11/2007/2007-Ohio-6728.pdf" TargetMode="External"/><Relationship Id="rId57" Type="http://schemas.openxmlformats.org/officeDocument/2006/relationships/hyperlink" Target="http://www.supremecourt.ohio.gov/rod/docs/pdf/4/2013/2013-Ohio-1858.pdf" TargetMode="External"/><Relationship Id="rId1113" Type="http://schemas.openxmlformats.org/officeDocument/2006/relationships/hyperlink" Target="http://www.supremecourt.ohio.gov/rod/docs/pdf/0/2016/2016-Ohio-1026.pdf" TargetMode="External"/><Relationship Id="rId1320" Type="http://schemas.openxmlformats.org/officeDocument/2006/relationships/hyperlink" Target="https://codes.ohio.gov/ohio-revised-code/section-121.22" TargetMode="External"/><Relationship Id="rId1418" Type="http://schemas.openxmlformats.org/officeDocument/2006/relationships/hyperlink" Target="http://www.supremecourt.ohio.gov/rod/docs/pdf/2/2002/2002-Ohio-386.pdf" TargetMode="External"/><Relationship Id="rId273" Type="http://schemas.openxmlformats.org/officeDocument/2006/relationships/hyperlink" Target="http://www.supremecourt.ohio.gov/rod/docs/pdf/0/1994/1994-Ohio-5.pdf" TargetMode="External"/><Relationship Id="rId480" Type="http://schemas.openxmlformats.org/officeDocument/2006/relationships/hyperlink" Target="https://codes.ohio.gov/ohio-revised-code/section-149.43" TargetMode="External"/><Relationship Id="rId133" Type="http://schemas.openxmlformats.org/officeDocument/2006/relationships/hyperlink" Target="https://www.ohioattorneygeneral.gov/getattachment/1355ab02-1caa-432a-aa8a-1be324b5d543/1999-006.aspx" TargetMode="External"/><Relationship Id="rId340" Type="http://schemas.openxmlformats.org/officeDocument/2006/relationships/hyperlink" Target="https://www.ohioattorneygeneral.gov/getattachment/17cee156-4072-4cd0-ac1d-766ef1801934/1990-050.aspx" TargetMode="External"/><Relationship Id="rId578" Type="http://schemas.openxmlformats.org/officeDocument/2006/relationships/hyperlink" Target="https://www.supremecourt.ohio.gov/rod/docs/pdf/0/2020/2020-ohio-5371.pdf" TargetMode="External"/><Relationship Id="rId785" Type="http://schemas.openxmlformats.org/officeDocument/2006/relationships/hyperlink" Target="https://codes.ohio.gov/ohio-revised-code/section-128.01" TargetMode="External"/><Relationship Id="rId992" Type="http://schemas.openxmlformats.org/officeDocument/2006/relationships/hyperlink" Target="https://codes.ohio.gov/ohio-revised-code/section-1347.01" TargetMode="External"/><Relationship Id="rId200" Type="http://schemas.openxmlformats.org/officeDocument/2006/relationships/hyperlink" Target="http://www.supremecourt.ohio.gov/rod/docs/pdf/0/2008/2008-Ohio-4788.pdf" TargetMode="External"/><Relationship Id="rId438" Type="http://schemas.openxmlformats.org/officeDocument/2006/relationships/hyperlink" Target="https://codes.ohio.gov/ohio-revised-code/section-149.43" TargetMode="External"/><Relationship Id="rId645" Type="http://schemas.openxmlformats.org/officeDocument/2006/relationships/hyperlink" Target="http://www.supremecourt.ohio.gov/rod/docs/pdf/0/2005/2005-Ohio-685.pdf" TargetMode="External"/><Relationship Id="rId852" Type="http://schemas.openxmlformats.org/officeDocument/2006/relationships/hyperlink" Target="https://codes.ohio.gov/ohio-revised-code/section-2930.07" TargetMode="External"/><Relationship Id="rId1068" Type="http://schemas.openxmlformats.org/officeDocument/2006/relationships/hyperlink" Target="https://codes.ohio.gov/ohio-revised-code/section-149.43" TargetMode="External"/><Relationship Id="rId1275" Type="http://schemas.openxmlformats.org/officeDocument/2006/relationships/hyperlink" Target="http://www.supremecourt.ohio.gov/rod/docs/pdf/0/2011/2011-Ohio-625.pdf" TargetMode="External"/><Relationship Id="rId1482" Type="http://schemas.openxmlformats.org/officeDocument/2006/relationships/hyperlink" Target="http://www.supremecourt.ohio.gov/rod/docs/pdf/12/2007/2007-Ohio-4218.pdf" TargetMode="External"/><Relationship Id="rId505" Type="http://schemas.openxmlformats.org/officeDocument/2006/relationships/hyperlink" Target="http://www.OhioAttorneyGeneral.gov/Sunshine" TargetMode="External"/><Relationship Id="rId712" Type="http://schemas.openxmlformats.org/officeDocument/2006/relationships/hyperlink" Target="http://www.supremecourt.ohio.gov/rod/docs/pdf/0/2010/2010-Ohio-5995.pdf" TargetMode="External"/><Relationship Id="rId1135" Type="http://schemas.openxmlformats.org/officeDocument/2006/relationships/hyperlink" Target="https://codes.ohio.gov/ohio-revised-code/section-2743.75" TargetMode="External"/><Relationship Id="rId1342" Type="http://schemas.openxmlformats.org/officeDocument/2006/relationships/hyperlink" Target="http://www.supremecourt.ohio.gov/rod/docs/pdf/1/2005/2005-Ohio-3489.pdf" TargetMode="External"/><Relationship Id="rId79" Type="http://schemas.openxmlformats.org/officeDocument/2006/relationships/hyperlink" Target="https://www.supremecourt.ohio.gov/rod/docs/pdf/0/2020/2020-ohio-5585.pdf" TargetMode="External"/><Relationship Id="rId1202" Type="http://schemas.openxmlformats.org/officeDocument/2006/relationships/hyperlink" Target="https://codes.ohio.gov/ohio-revised-code/section-149.333" TargetMode="External"/><Relationship Id="rId1507" Type="http://schemas.openxmlformats.org/officeDocument/2006/relationships/hyperlink" Target="http://www.supremecourt.ohio.gov/rod/docs/pdf/12/2012/2012-Ohio-2569.pdf" TargetMode="External"/><Relationship Id="rId295" Type="http://schemas.openxmlformats.org/officeDocument/2006/relationships/hyperlink" Target="http://www.supremecourt.ohio.gov/rod/docs/pdf/0/2012/2012-Ohio-753.pdf" TargetMode="External"/><Relationship Id="rId155" Type="http://schemas.openxmlformats.org/officeDocument/2006/relationships/hyperlink" Target="http://www.supremecourt.ohio.gov/rod/docs/pdf/0/2001/2001-Ohio-1895.pdf" TargetMode="External"/><Relationship Id="rId362" Type="http://schemas.openxmlformats.org/officeDocument/2006/relationships/hyperlink" Target="https://www.supremecourt.ohio.gov/rod/docs/pdf/0/2015/2015-Ohio-3425.pdf" TargetMode="External"/><Relationship Id="rId1297" Type="http://schemas.openxmlformats.org/officeDocument/2006/relationships/hyperlink" Target="https://codes.ohio.gov/ohio-revised-code/section-121.22" TargetMode="External"/><Relationship Id="rId222" Type="http://schemas.openxmlformats.org/officeDocument/2006/relationships/hyperlink" Target="http://www.supremecourt.ohio.gov/rod/docs/pdf/11/2015/2015-Ohio-139.pdf" TargetMode="External"/><Relationship Id="rId667" Type="http://schemas.openxmlformats.org/officeDocument/2006/relationships/hyperlink" Target="http://www.supremecourt.ohio.gov/rod/docs/pdf/0/2000/2000-Ohio-207.pdf" TargetMode="External"/><Relationship Id="rId874" Type="http://schemas.openxmlformats.org/officeDocument/2006/relationships/hyperlink" Target="http://www.supremecourt.ohio.gov/rod/docs/pdf/0/1995/1995-Ohio-248.pdf" TargetMode="External"/><Relationship Id="rId527" Type="http://schemas.openxmlformats.org/officeDocument/2006/relationships/hyperlink" Target="https://www.ohioattorneygeneral.gov/getattachment/c8203034-9171-4771-b938-cd19c43286eb/2014-007.aspx" TargetMode="External"/><Relationship Id="rId734" Type="http://schemas.openxmlformats.org/officeDocument/2006/relationships/hyperlink" Target="http://www.supremecourt.ohio.gov/rod/docs/pdf/0/1996/1996-Ohio-214.pdf" TargetMode="External"/><Relationship Id="rId941" Type="http://schemas.openxmlformats.org/officeDocument/2006/relationships/hyperlink" Target="https://www.supremecourt.ohio.gov/docs/LegalResources/Rules/superintendence/Superintendence.pdf" TargetMode="External"/><Relationship Id="rId1157" Type="http://schemas.openxmlformats.org/officeDocument/2006/relationships/hyperlink" Target="https://codes.ohio.gov/ohio-revised-code/section-2743.75" TargetMode="External"/><Relationship Id="rId1364" Type="http://schemas.openxmlformats.org/officeDocument/2006/relationships/hyperlink" Target="http://www.supremecourt.ohio.gov/rod/docs/pdf/10/2017/2017-Ohio-756.pdf" TargetMode="External"/><Relationship Id="rId1571" Type="http://schemas.openxmlformats.org/officeDocument/2006/relationships/hyperlink" Target="https://codes.ohio.gov/ohio-revised-code/section-121.22" TargetMode="External"/><Relationship Id="rId70" Type="http://schemas.openxmlformats.org/officeDocument/2006/relationships/hyperlink" Target="http://www.supremecourt.ohio.gov/rod/docs/pdf/0/2008/2008-Ohio-4788.pdf" TargetMode="External"/><Relationship Id="rId801" Type="http://schemas.openxmlformats.org/officeDocument/2006/relationships/hyperlink" Target="https://codes.ohio.gov/ohio-revised-code/section-149.43" TargetMode="External"/><Relationship Id="rId1017" Type="http://schemas.openxmlformats.org/officeDocument/2006/relationships/hyperlink" Target="https://codes.ohio.gov/ohio-revised-code/section-149.43" TargetMode="External"/><Relationship Id="rId1224" Type="http://schemas.openxmlformats.org/officeDocument/2006/relationships/hyperlink" Target="http://www.supremecourt.ohio.gov/rod/docs/pdf/10/2015/2015-Ohio-4873.pdf" TargetMode="External"/><Relationship Id="rId1431" Type="http://schemas.openxmlformats.org/officeDocument/2006/relationships/hyperlink" Target="http://www.supremecourt.ohio.gov/rod/docs/pdf/0/1996/1996-Ohio-380.pdf" TargetMode="External"/><Relationship Id="rId1529" Type="http://schemas.openxmlformats.org/officeDocument/2006/relationships/hyperlink" Target="https://www.supremecourt.ohio.gov/rod/docs/pdf/0/2022/2022-Ohio-4237.pdf" TargetMode="External"/><Relationship Id="rId28" Type="http://schemas.openxmlformats.org/officeDocument/2006/relationships/hyperlink" Target="http://www.supremecourt.ohio.gov/rod/docs/pdf/0/2002/2002-Ohio-7117.pdf" TargetMode="External"/><Relationship Id="rId177" Type="http://schemas.openxmlformats.org/officeDocument/2006/relationships/hyperlink" Target="http://www.supremecourt.ohio.gov/rod/docs/pdf/5/2011/2011-Ohio-4749.pdf" TargetMode="External"/><Relationship Id="rId384" Type="http://schemas.openxmlformats.org/officeDocument/2006/relationships/hyperlink" Target="http://www.supremecourt.ohio.gov/rod/docs/pdf/0/1994/1994-Ohio-246.pdf" TargetMode="External"/><Relationship Id="rId591" Type="http://schemas.openxmlformats.org/officeDocument/2006/relationships/hyperlink" Target="https://codes.ohio.gov/ohio-revised-code/section-149.43" TargetMode="External"/><Relationship Id="rId244" Type="http://schemas.openxmlformats.org/officeDocument/2006/relationships/hyperlink" Target="http://www.supremecourt.ohio.gov/rod/docs/pdf/0/2002/2002-Ohio-5311.pdf" TargetMode="External"/><Relationship Id="rId689" Type="http://schemas.openxmlformats.org/officeDocument/2006/relationships/hyperlink" Target="http://www.supremecourt.ohio.gov/rod/docs/pdf/0/1996/1996-Ohio-214.pdf" TargetMode="External"/><Relationship Id="rId896" Type="http://schemas.openxmlformats.org/officeDocument/2006/relationships/hyperlink" Target="https://codes.ohio.gov/ohio-revised-code/section-109.576" TargetMode="External"/><Relationship Id="rId1081" Type="http://schemas.openxmlformats.org/officeDocument/2006/relationships/hyperlink" Target="http://www.supremecourt.ohio.gov/rod/docs/pdf/0/2007/2007-Ohio-3831.pdf" TargetMode="External"/><Relationship Id="rId451" Type="http://schemas.openxmlformats.org/officeDocument/2006/relationships/hyperlink" Target="https://codes.ohio.gov/ohio-revised-code/section-149.43" TargetMode="External"/><Relationship Id="rId549" Type="http://schemas.openxmlformats.org/officeDocument/2006/relationships/hyperlink" Target="https://codes.ohio.gov/ohio-revised-code/section-2151.14" TargetMode="External"/><Relationship Id="rId756" Type="http://schemas.openxmlformats.org/officeDocument/2006/relationships/hyperlink" Target="https://codes.ohio.gov/ohio-revised-code/section-149.43" TargetMode="External"/><Relationship Id="rId1179" Type="http://schemas.openxmlformats.org/officeDocument/2006/relationships/hyperlink" Target="https://codes.ohio.gov/ohio-revised-code/section-109.43" TargetMode="External"/><Relationship Id="rId1386" Type="http://schemas.openxmlformats.org/officeDocument/2006/relationships/hyperlink" Target="https://www.supremecourt.ohio.gov/rod/docs/pdf/0/2019/2019-ohio-3233.pdf" TargetMode="External"/><Relationship Id="rId104" Type="http://schemas.openxmlformats.org/officeDocument/2006/relationships/hyperlink" Target="http://www.supremecourt.ohio.gov/rod/docs/pdf/8/2010/2010-Ohio-2489.pdf" TargetMode="External"/><Relationship Id="rId311" Type="http://schemas.openxmlformats.org/officeDocument/2006/relationships/hyperlink" Target="https://codes.ohio.gov/ohio-revised-code/section-149.43" TargetMode="External"/><Relationship Id="rId409" Type="http://schemas.openxmlformats.org/officeDocument/2006/relationships/hyperlink" Target="https://codes.ohio.gov/ohio-revised-code/section-149.43" TargetMode="External"/><Relationship Id="rId963" Type="http://schemas.openxmlformats.org/officeDocument/2006/relationships/hyperlink" Target="http://www.supremecourt.ohio.gov/rod/docs/pdf/0/2004/2004-Ohio-4952.pdf" TargetMode="External"/><Relationship Id="rId1039" Type="http://schemas.openxmlformats.org/officeDocument/2006/relationships/hyperlink" Target="https://www.supremecourt.ohio.gov/rod/docs/pdf/0/2020/2020-ohio-5585.pdf" TargetMode="External"/><Relationship Id="rId1246" Type="http://schemas.openxmlformats.org/officeDocument/2006/relationships/hyperlink" Target="https://codes.ohio.gov/ohio-revised-code/section-149.351" TargetMode="External"/><Relationship Id="rId92" Type="http://schemas.openxmlformats.org/officeDocument/2006/relationships/hyperlink" Target="http://www.supremecourt.ohio.gov/rod/docs/pdf/0/1999/1999-Ohio-447.pdf" TargetMode="External"/><Relationship Id="rId616" Type="http://schemas.openxmlformats.org/officeDocument/2006/relationships/hyperlink" Target="https://www.supremecourt.ohio.gov/docs/LegalResources/Rules/evidence/evidence.pdf" TargetMode="External"/><Relationship Id="rId823" Type="http://schemas.openxmlformats.org/officeDocument/2006/relationships/hyperlink" Target="https://codes.ohio.gov/ohio-constitution/section-1.10a" TargetMode="External"/><Relationship Id="rId1453" Type="http://schemas.openxmlformats.org/officeDocument/2006/relationships/hyperlink" Target="https://codes.ohio.gov/ohio-revised-code/section-102.03" TargetMode="External"/><Relationship Id="rId1106" Type="http://schemas.openxmlformats.org/officeDocument/2006/relationships/hyperlink" Target="https://codes.ohio.gov/ohio-revised-code/section-149.43" TargetMode="External"/><Relationship Id="rId1313" Type="http://schemas.openxmlformats.org/officeDocument/2006/relationships/hyperlink" Target="https://codes.ohio.gov/ohio-revised-code/section-121.22" TargetMode="External"/><Relationship Id="rId1520" Type="http://schemas.openxmlformats.org/officeDocument/2006/relationships/hyperlink" Target="https://codes.ohio.gov/ohio-revised-code/section-121.22" TargetMode="External"/><Relationship Id="rId199" Type="http://schemas.openxmlformats.org/officeDocument/2006/relationships/hyperlink" Target="https://www.supremecourt.ohio.gov/rod/docs/pdf/13/2023/2023-Ohio-626.pdf" TargetMode="External"/><Relationship Id="rId266" Type="http://schemas.openxmlformats.org/officeDocument/2006/relationships/hyperlink" Target="https://codes.ohio.gov/ohio-revised-code/section-149.43" TargetMode="External"/><Relationship Id="rId473" Type="http://schemas.openxmlformats.org/officeDocument/2006/relationships/hyperlink" Target="https://codes.ohio.gov/ohio-revised-code/section-149.43" TargetMode="External"/><Relationship Id="rId680" Type="http://schemas.openxmlformats.org/officeDocument/2006/relationships/hyperlink" Target="http://www.supremecourt.ohio.gov/rod/docs/pdf/10/2005/2005-Ohio-3377.pdf" TargetMode="External"/><Relationship Id="rId126" Type="http://schemas.openxmlformats.org/officeDocument/2006/relationships/hyperlink" Target="http://www.supremecourt.ohio.gov/rod/docs/pdf/0/1998/1998-Ohio-49.pdf" TargetMode="External"/><Relationship Id="rId333" Type="http://schemas.openxmlformats.org/officeDocument/2006/relationships/hyperlink" Target="https://www.supremecourt.ohio.gov/rod/docs/pdf/0/2020/2020-Ohio-2766.pdf" TargetMode="External"/><Relationship Id="rId540" Type="http://schemas.openxmlformats.org/officeDocument/2006/relationships/hyperlink" Target="https://www.supremecourt.ohio.gov/rod/docs/pdf/10/2022/2022-Ohio-3399.pdf" TargetMode="External"/><Relationship Id="rId778" Type="http://schemas.openxmlformats.org/officeDocument/2006/relationships/hyperlink" Target="https://codes.ohio.gov/ohio-revised-code/section-149.43" TargetMode="External"/><Relationship Id="rId985" Type="http://schemas.openxmlformats.org/officeDocument/2006/relationships/hyperlink" Target="http://www.supremecourt.ohio.gov/rod/docs/pdf/0/2006/2006-Ohio-1215.pdf" TargetMode="External"/><Relationship Id="rId1170" Type="http://schemas.openxmlformats.org/officeDocument/2006/relationships/hyperlink" Target="https://codes.ohio.gov/ohio-revised-code/section-2743.75" TargetMode="External"/><Relationship Id="rId638" Type="http://schemas.openxmlformats.org/officeDocument/2006/relationships/hyperlink" Target="http://www.supremecourt.ohio.gov/rod/docs/pdf/0/2004/2004-Ohio-4952.pdf" TargetMode="External"/><Relationship Id="rId845" Type="http://schemas.openxmlformats.org/officeDocument/2006/relationships/hyperlink" Target="https://codes.ohio.gov/ohio-revised-code/section-2930.07" TargetMode="External"/><Relationship Id="rId1030" Type="http://schemas.openxmlformats.org/officeDocument/2006/relationships/hyperlink" Target="http://www.supremecourt.ohio.gov/rod/docs/pdf/0/2015/2015-Ohio-1310.pdf" TargetMode="External"/><Relationship Id="rId1268" Type="http://schemas.openxmlformats.org/officeDocument/2006/relationships/hyperlink" Target="https://codes.ohio.gov/ohio-revised-code/section-121.22" TargetMode="External"/><Relationship Id="rId1475" Type="http://schemas.openxmlformats.org/officeDocument/2006/relationships/hyperlink" Target="https://codes.ohio.gov/ohio-revised-code/section-121.22" TargetMode="External"/><Relationship Id="rId400" Type="http://schemas.openxmlformats.org/officeDocument/2006/relationships/hyperlink" Target="https://codes.ohio.gov/ohio-revised-code/section-149.43" TargetMode="External"/><Relationship Id="rId705" Type="http://schemas.openxmlformats.org/officeDocument/2006/relationships/hyperlink" Target="https://codes.ohio.gov/ohio-revised-code/section-313.10" TargetMode="External"/><Relationship Id="rId1128" Type="http://schemas.openxmlformats.org/officeDocument/2006/relationships/hyperlink" Target="https://codes.ohio.gov/ohio-revised-code/section-2743.75" TargetMode="External"/><Relationship Id="rId1335" Type="http://schemas.openxmlformats.org/officeDocument/2006/relationships/hyperlink" Target="https://codes.ohio.gov/ohio-revised-code/section-3345.82" TargetMode="External"/><Relationship Id="rId1542" Type="http://schemas.openxmlformats.org/officeDocument/2006/relationships/hyperlink" Target="https://www.supremecourt.ohio.gov/rod/docs/pdf/0/2016/2016-Ohio-5449.pdf" TargetMode="External"/><Relationship Id="rId912" Type="http://schemas.openxmlformats.org/officeDocument/2006/relationships/hyperlink" Target="https://codes.ohio.gov/ohio-revised-code/section-149.43" TargetMode="External"/><Relationship Id="rId41" Type="http://schemas.openxmlformats.org/officeDocument/2006/relationships/hyperlink" Target="https://www.ohioattorneygeneral.gov/getattachment/73e9e481-f937-4433-b91c-1237998fd520/2002-030.aspx" TargetMode="External"/><Relationship Id="rId1402" Type="http://schemas.openxmlformats.org/officeDocument/2006/relationships/hyperlink" Target="http://www.supremecourt.ohio.gov/rod/docs/pdf/2/2002/2002-Ohio-386.pdf" TargetMode="External"/><Relationship Id="rId190" Type="http://schemas.openxmlformats.org/officeDocument/2006/relationships/hyperlink" Target="http://www.supremecourt.ohio.gov/rod/docs/pdf/0/2018/2018-Ohio-5110.pdf" TargetMode="External"/><Relationship Id="rId288" Type="http://schemas.openxmlformats.org/officeDocument/2006/relationships/hyperlink" Target="https://www.supremecourt.ohio.gov/rod/docs/pdf/11/2003/2003-Ohio-1586.pdf" TargetMode="External"/><Relationship Id="rId495" Type="http://schemas.openxmlformats.org/officeDocument/2006/relationships/hyperlink" Target="http://www.supremecourt.ohio.gov/rod/docs/pdf/0/1999/1999-Ohio-264.pdf" TargetMode="External"/><Relationship Id="rId148" Type="http://schemas.openxmlformats.org/officeDocument/2006/relationships/hyperlink" Target="http://www.supremecourt.ohio.gov/rod/docs/pdf/1/2012/2012-Ohio-2074.pdf" TargetMode="External"/><Relationship Id="rId355" Type="http://schemas.openxmlformats.org/officeDocument/2006/relationships/hyperlink" Target="file:///C:\Users\hbuchanan\AppData\Local\Microsoft\Windows\INetCache\Content.Outlook\Q8V0RF6Q\R.C.%20313.10(D)" TargetMode="External"/><Relationship Id="rId562" Type="http://schemas.openxmlformats.org/officeDocument/2006/relationships/hyperlink" Target="https://codes.ohio.gov/ohio-revised-code/section-149.43" TargetMode="External"/><Relationship Id="rId1192" Type="http://schemas.openxmlformats.org/officeDocument/2006/relationships/hyperlink" Target="https://codes.ohio.gov/ohio-revised-code/section-149.38" TargetMode="External"/><Relationship Id="rId215" Type="http://schemas.openxmlformats.org/officeDocument/2006/relationships/hyperlink" Target="https://codes.ohio.gov/ohio-revised-code/section-149.43" TargetMode="External"/><Relationship Id="rId422" Type="http://schemas.openxmlformats.org/officeDocument/2006/relationships/hyperlink" Target="https://www.supremecourt.ohio.gov/rod/docs/pdf/0/2020/2020-ohio-5585.pdf" TargetMode="External"/><Relationship Id="rId867" Type="http://schemas.openxmlformats.org/officeDocument/2006/relationships/hyperlink" Target="http://www.supremecourt.ohio.gov/rod/docs/pdf/4/2014/2014-Ohio-4714.pdf" TargetMode="External"/><Relationship Id="rId1052" Type="http://schemas.openxmlformats.org/officeDocument/2006/relationships/hyperlink" Target="http://www.supremecourt.ohio.gov/rod/docs/pdf/0/2016/2016-Ohio-8394.pdf" TargetMode="External"/><Relationship Id="rId1497" Type="http://schemas.openxmlformats.org/officeDocument/2006/relationships/hyperlink" Target="http://www.supremecourt.ohio.gov/rod/docs/pdf/0/2001/2001-Ohio-130.pdf" TargetMode="External"/><Relationship Id="rId727" Type="http://schemas.openxmlformats.org/officeDocument/2006/relationships/hyperlink" Target="http://www.supremecourt.ohio.gov/rod/docs/pdf/0/1993/1993-Ohio-192.pdf" TargetMode="External"/><Relationship Id="rId934" Type="http://schemas.openxmlformats.org/officeDocument/2006/relationships/hyperlink" Target="http://www.supremecourt.ohio.gov/rod/docs/pdf/0/2012/2012-Ohio-3328.pdf" TargetMode="External"/><Relationship Id="rId1357" Type="http://schemas.openxmlformats.org/officeDocument/2006/relationships/hyperlink" Target="http://www.supremecourt.ohio.gov/rod/docs/pdf/1/2011/2011-Ohio-703.pdf" TargetMode="External"/><Relationship Id="rId1564" Type="http://schemas.openxmlformats.org/officeDocument/2006/relationships/hyperlink" Target="http://www.supremecourt.ohio.gov/rod/docs/pdf/0/2001/2001-Ohio-130.pdf" TargetMode="External"/><Relationship Id="rId63" Type="http://schemas.openxmlformats.org/officeDocument/2006/relationships/hyperlink" Target="http://www.supremecourt.ohio.gov/rod/docs/pdf/4/2011/2011-Ohio-2228.pdf" TargetMode="External"/><Relationship Id="rId1217" Type="http://schemas.openxmlformats.org/officeDocument/2006/relationships/hyperlink" Target="https://codes.ohio.gov/ohio-revised-code/section-149.351" TargetMode="External"/><Relationship Id="rId1424" Type="http://schemas.openxmlformats.org/officeDocument/2006/relationships/hyperlink" Target="http://www.supremecourt.ohio.gov/rod/docs/pdf/5/2013/2013-Ohio-2295.pdf" TargetMode="External"/><Relationship Id="rId377" Type="http://schemas.openxmlformats.org/officeDocument/2006/relationships/hyperlink" Target="http://www.supremecourt.ohio.gov/rod/docs/pdf/0/2002/2002-Ohio-7041.pdf" TargetMode="External"/><Relationship Id="rId584" Type="http://schemas.openxmlformats.org/officeDocument/2006/relationships/hyperlink" Target="https://www.supremecourt.ohio.gov/rod/docs/pdf/0/2018/2018-ohio-5111.pdf" TargetMode="External"/><Relationship Id="rId5" Type="http://schemas.openxmlformats.org/officeDocument/2006/relationships/hyperlink" Target="http://www.supremecourt.ohio.gov/rod/docs/pdf/0/2008/2008-Ohio-4788.pdf" TargetMode="External"/><Relationship Id="rId237" Type="http://schemas.openxmlformats.org/officeDocument/2006/relationships/hyperlink" Target="http://www.supremecourt.ohio.gov/rod/docs/pdf/0/2000/2000-Ohio-383.pdf" TargetMode="External"/><Relationship Id="rId791" Type="http://schemas.openxmlformats.org/officeDocument/2006/relationships/hyperlink" Target="https://codes.ohio.gov/ohio-revised-code/section-149.43" TargetMode="External"/><Relationship Id="rId889" Type="http://schemas.openxmlformats.org/officeDocument/2006/relationships/hyperlink" Target="http://www.supremecourt.ohio.gov/rod/docs/pdf/0/2000/2000-Ohio-214.pdf" TargetMode="External"/><Relationship Id="rId1074" Type="http://schemas.openxmlformats.org/officeDocument/2006/relationships/hyperlink" Target="http://www.supremecourt.ohio.gov/rod/docs/pdf/0/2018/2018-Ohio-5111.pdf" TargetMode="External"/><Relationship Id="rId444" Type="http://schemas.openxmlformats.org/officeDocument/2006/relationships/hyperlink" Target="https://codes.ohio.gov/ohio-revised-code/section-149.43" TargetMode="External"/><Relationship Id="rId651" Type="http://schemas.openxmlformats.org/officeDocument/2006/relationships/hyperlink" Target="http://www.supremecourt.ohio.gov/rod/docs/pdf/0/1997/1997-Ohio-353.pdf" TargetMode="External"/><Relationship Id="rId749" Type="http://schemas.openxmlformats.org/officeDocument/2006/relationships/hyperlink" Target="https://codes.ohio.gov/ohio-revised-code/section-2151.313" TargetMode="External"/><Relationship Id="rId1281" Type="http://schemas.openxmlformats.org/officeDocument/2006/relationships/hyperlink" Target="http://www.supremecourt.ohio.gov/rod/docs/pdf/10/2001/2001-Ohio-8751.pdf" TargetMode="External"/><Relationship Id="rId1379" Type="http://schemas.openxmlformats.org/officeDocument/2006/relationships/hyperlink" Target="http://www.supremecourt.ohio.gov/rod/docs/pdf/11/2013/2013-Ohio-881.pdf" TargetMode="External"/><Relationship Id="rId304" Type="http://schemas.openxmlformats.org/officeDocument/2006/relationships/hyperlink" Target="https://codes.ohio.gov/ohio-revised-code/chapter-1347" TargetMode="External"/><Relationship Id="rId511" Type="http://schemas.openxmlformats.org/officeDocument/2006/relationships/hyperlink" Target="https://codes.ohio.gov/ohio-revised-code/section-149.45" TargetMode="External"/><Relationship Id="rId609" Type="http://schemas.openxmlformats.org/officeDocument/2006/relationships/hyperlink" Target="https://codes.ohio.gov/ohio-revised-code/section-2301.24" TargetMode="External"/><Relationship Id="rId956" Type="http://schemas.openxmlformats.org/officeDocument/2006/relationships/hyperlink" Target="http://www.supremecourt.ohio.gov/rod/docs/pdf/0/1993/1993-Ohio-77.pdf" TargetMode="External"/><Relationship Id="rId1141" Type="http://schemas.openxmlformats.org/officeDocument/2006/relationships/hyperlink" Target="https://codes.ohio.gov/ohio-revised-code/section-2743.75" TargetMode="External"/><Relationship Id="rId1239" Type="http://schemas.openxmlformats.org/officeDocument/2006/relationships/hyperlink" Target="http://www.supremecourt.ohio.gov/rod/docs/pdf/0/2006/2006-Ohio-1244.pdf" TargetMode="External"/><Relationship Id="rId85" Type="http://schemas.openxmlformats.org/officeDocument/2006/relationships/hyperlink" Target="https://www.supremecourt.ohio.gov/rod/docs/pdf/0/2014/2014-Ohio-539.pdf" TargetMode="External"/><Relationship Id="rId816" Type="http://schemas.openxmlformats.org/officeDocument/2006/relationships/hyperlink" Target="https://codes.ohio.gov/ohio-revised-code/section-149.43" TargetMode="External"/><Relationship Id="rId1001" Type="http://schemas.openxmlformats.org/officeDocument/2006/relationships/hyperlink" Target="https://codes.ohio.gov/ohio-revised-code/section-1347.15" TargetMode="External"/><Relationship Id="rId1446" Type="http://schemas.openxmlformats.org/officeDocument/2006/relationships/hyperlink" Target="http://www.supremecourt.ohio.gov/rod/docs/pdf/11/2017/2017-Ohio-7957.pdf" TargetMode="External"/><Relationship Id="rId1306" Type="http://schemas.openxmlformats.org/officeDocument/2006/relationships/hyperlink" Target="https://codes.ohio.gov/ohio-revised-code/section-4729.16" TargetMode="External"/><Relationship Id="rId1513" Type="http://schemas.openxmlformats.org/officeDocument/2006/relationships/hyperlink" Target="https://www.supremecourt.ohio.gov/rod/docs/pdf/0/2022/2022-Ohio-4605.pdf" TargetMode="External"/><Relationship Id="rId12" Type="http://schemas.openxmlformats.org/officeDocument/2006/relationships/hyperlink" Target="https://www.supremecourt.ohio.gov/rod/docs/pdf/0/2022/2022-Ohio-2189.pdf" TargetMode="External"/><Relationship Id="rId108" Type="http://schemas.openxmlformats.org/officeDocument/2006/relationships/hyperlink" Target="http://www.supremecourt.ohio.gov/rod/docs/pdf/0/2011/2011-Ohio-2878.pdf" TargetMode="External"/><Relationship Id="rId315" Type="http://schemas.openxmlformats.org/officeDocument/2006/relationships/hyperlink" Target="https://codes.ohio.gov/ohio-revised-code/section-149.43" TargetMode="External"/><Relationship Id="rId522" Type="http://schemas.openxmlformats.org/officeDocument/2006/relationships/hyperlink" Target="http://www.supremecourt.ohio.gov/rod/docs/pdf/0/1996/1996-Ohio-214.pdf" TargetMode="External"/><Relationship Id="rId967" Type="http://schemas.openxmlformats.org/officeDocument/2006/relationships/hyperlink" Target="https://codes.ohio.gov/ohio-revised-code/section-2953.32" TargetMode="External"/><Relationship Id="rId1152" Type="http://schemas.openxmlformats.org/officeDocument/2006/relationships/hyperlink" Target="https://www.supremecourt.ohio.gov/rod/docs/pdf/0/2020/2020-ohio-5371.pdf" TargetMode="External"/><Relationship Id="rId96" Type="http://schemas.openxmlformats.org/officeDocument/2006/relationships/hyperlink" Target="https://www.supremecourt.ohio.gov/rod/docs/pdf/13/2022/2022-Ohio-2919.pdf" TargetMode="External"/><Relationship Id="rId161" Type="http://schemas.openxmlformats.org/officeDocument/2006/relationships/hyperlink" Target="http://www.supremecourt.ohio.gov/rod/docs/pdf/1/2011/2011-Ohio-312.pdf" TargetMode="External"/><Relationship Id="rId399" Type="http://schemas.openxmlformats.org/officeDocument/2006/relationships/hyperlink" Target="https://codes.ohio.gov/ohio-revised-code/section-2929.01" TargetMode="External"/><Relationship Id="rId827" Type="http://schemas.openxmlformats.org/officeDocument/2006/relationships/hyperlink" Target="https://codes.ohio.gov/ohio-revised-code/section-2930.02" TargetMode="External"/><Relationship Id="rId1012" Type="http://schemas.openxmlformats.org/officeDocument/2006/relationships/hyperlink" Target="http://www.supremecourt.ohio.gov/rod/docs/pdf/6/2015/2015-Ohio-3075.pdf" TargetMode="External"/><Relationship Id="rId1457" Type="http://schemas.openxmlformats.org/officeDocument/2006/relationships/hyperlink" Target="http://www.supremecourt.ohio.gov/rod/docs/pdf/1/2012/2012-Ohio-890.pdf" TargetMode="External"/><Relationship Id="rId259" Type="http://schemas.openxmlformats.org/officeDocument/2006/relationships/hyperlink" Target="https://codes.ohio.gov/ohio-revised-code/section-149.43" TargetMode="External"/><Relationship Id="rId466" Type="http://schemas.openxmlformats.org/officeDocument/2006/relationships/hyperlink" Target="https://codes.ohio.gov/ohio-revised-code/section-2949.221" TargetMode="External"/><Relationship Id="rId673" Type="http://schemas.openxmlformats.org/officeDocument/2006/relationships/hyperlink" Target="https://www.supremecourt.ohio.gov/rod/docs/pdf/0/2022/2022-Ohio-1765.pdf" TargetMode="External"/><Relationship Id="rId880" Type="http://schemas.openxmlformats.org/officeDocument/2006/relationships/hyperlink" Target="http://www.supremecourt.ohio.gov/rod/docs/pdf/0/1993/1993-Ohio-188.pdf" TargetMode="External"/><Relationship Id="rId1096" Type="http://schemas.openxmlformats.org/officeDocument/2006/relationships/hyperlink" Target="https://codes.ohio.gov/ohio-revised-code/section-149.43" TargetMode="External"/><Relationship Id="rId1317" Type="http://schemas.openxmlformats.org/officeDocument/2006/relationships/hyperlink" Target="https://codes.ohio.gov/ohio-revised-code/section-4755.64" TargetMode="External"/><Relationship Id="rId1524" Type="http://schemas.openxmlformats.org/officeDocument/2006/relationships/hyperlink" Target="http://www.supremecourt.ohio.gov/rod/docs/pdf/4/2007/2007-Ohio-4925.pdf" TargetMode="External"/><Relationship Id="rId23" Type="http://schemas.openxmlformats.org/officeDocument/2006/relationships/hyperlink" Target="http://www.supremecourt.ohio.gov/rod/docs/pdf/0/2005/2005-Ohio-4384.pdf" TargetMode="External"/><Relationship Id="rId119" Type="http://schemas.openxmlformats.org/officeDocument/2006/relationships/hyperlink" Target="https://codes.ohio.gov/ohio-revised-code/section-187.01" TargetMode="External"/><Relationship Id="rId326" Type="http://schemas.openxmlformats.org/officeDocument/2006/relationships/hyperlink" Target="http://www.supremecourt.ohio.gov/rod/docs/pdf/0/2002/2002-Ohio-7041.pdf" TargetMode="External"/><Relationship Id="rId533" Type="http://schemas.openxmlformats.org/officeDocument/2006/relationships/hyperlink" Target="https://www.ohioattorneygeneral.gov/getattachment/8ebab9b9-3731-4d38-9687-875946c8d2f1/1992-005.aspx" TargetMode="External"/><Relationship Id="rId978" Type="http://schemas.openxmlformats.org/officeDocument/2006/relationships/hyperlink" Target="http://www.hhs.gov/hipaa/for-professionals/special-topics/health-information-technology/index.html." TargetMode="External"/><Relationship Id="rId1163" Type="http://schemas.openxmlformats.org/officeDocument/2006/relationships/hyperlink" Target="https://codes.ohio.gov/ohio-revised-code/section-2743.75" TargetMode="External"/><Relationship Id="rId1370" Type="http://schemas.openxmlformats.org/officeDocument/2006/relationships/hyperlink" Target="https://www.supremecourt.ohio.gov/rod/docs/pdf/11/2017/2017-Ohio-2930.pdf" TargetMode="External"/><Relationship Id="rId740" Type="http://schemas.openxmlformats.org/officeDocument/2006/relationships/hyperlink" Target="https://codes.ohio.gov/ohio-revised-code/section-149.43" TargetMode="External"/><Relationship Id="rId838" Type="http://schemas.openxmlformats.org/officeDocument/2006/relationships/hyperlink" Target="https://codes.ohio.gov/ohio-revised-code/section-2930.07" TargetMode="External"/><Relationship Id="rId1023" Type="http://schemas.openxmlformats.org/officeDocument/2006/relationships/hyperlink" Target="http://www.supremecourt.ohio.gov/rod/docs/pdf/0/2013/2013-Ohio-199.pdf" TargetMode="External"/><Relationship Id="rId1468" Type="http://schemas.openxmlformats.org/officeDocument/2006/relationships/hyperlink" Target="https://codes.ohio.gov/ohio-revised-code/section-121.22" TargetMode="External"/><Relationship Id="rId172" Type="http://schemas.openxmlformats.org/officeDocument/2006/relationships/hyperlink" Target="https://www.supremecourt.ohio.gov/rod/docs/pdf/5/2017/2017-Ohio-7820.pdf" TargetMode="External"/><Relationship Id="rId477" Type="http://schemas.openxmlformats.org/officeDocument/2006/relationships/hyperlink" Target="https://codes.ohio.gov/ohio-revised-code/section-149.43" TargetMode="External"/><Relationship Id="rId600" Type="http://schemas.openxmlformats.org/officeDocument/2006/relationships/hyperlink" Target="https://www.supremecourt.ohio.gov/rod/docs/pdf/8/2021/2021-Ohio-3602.pdf" TargetMode="External"/><Relationship Id="rId684" Type="http://schemas.openxmlformats.org/officeDocument/2006/relationships/hyperlink" Target="http://www.supremecourt.ohio.gov/rod/docs/pdf/0/1995/1995-Ohio-248.pdf" TargetMode="External"/><Relationship Id="rId1230" Type="http://schemas.openxmlformats.org/officeDocument/2006/relationships/hyperlink" Target="http://www.supremecourt.ohio.gov/rod/docs/pdf/4/2013/2013-Ohio-5415.pdf" TargetMode="External"/><Relationship Id="rId1328" Type="http://schemas.openxmlformats.org/officeDocument/2006/relationships/hyperlink" Target="https://codes.ohio.gov/ohio-revised-code/section-121.22" TargetMode="External"/><Relationship Id="rId1535" Type="http://schemas.openxmlformats.org/officeDocument/2006/relationships/hyperlink" Target="http://www.supremecourt.ohio.gov/rod/docs/pdf/10/2001/2001-Ohio-8751.pdf" TargetMode="External"/><Relationship Id="rId337" Type="http://schemas.openxmlformats.org/officeDocument/2006/relationships/hyperlink" Target="https://codes.ohio.gov/ohio-revised-code/section-149.43" TargetMode="External"/><Relationship Id="rId891" Type="http://schemas.openxmlformats.org/officeDocument/2006/relationships/hyperlink" Target="https://codes.ohio.gov/ohio-revised-code/section-113.041" TargetMode="External"/><Relationship Id="rId905" Type="http://schemas.openxmlformats.org/officeDocument/2006/relationships/hyperlink" Target="https://codes.ohio.gov/ohio-revised-code/section-1347.15" TargetMode="External"/><Relationship Id="rId989" Type="http://schemas.openxmlformats.org/officeDocument/2006/relationships/hyperlink" Target="https://codes.ohio.gov/ohio-revised-code/section-1347.04" TargetMode="External"/><Relationship Id="rId34" Type="http://schemas.openxmlformats.org/officeDocument/2006/relationships/hyperlink" Target="http://www.supremecourt.ohio.gov/rod/docs/pdf/1/2018/2018-Ohio-2506.pdf" TargetMode="External"/><Relationship Id="rId544" Type="http://schemas.openxmlformats.org/officeDocument/2006/relationships/hyperlink" Target="https://www.supremecourt.ohio.gov/docs/LegalResources/Rules/juvenile/JuvenileProcedure.pdf" TargetMode="External"/><Relationship Id="rId751" Type="http://schemas.openxmlformats.org/officeDocument/2006/relationships/hyperlink" Target="https://codes.ohio.gov/ohio-revised-code/section-2151.355" TargetMode="External"/><Relationship Id="rId849" Type="http://schemas.openxmlformats.org/officeDocument/2006/relationships/hyperlink" Target="https://codes.ohio.gov/ohio-revised-code/section-2930.07" TargetMode="External"/><Relationship Id="rId1174" Type="http://schemas.openxmlformats.org/officeDocument/2006/relationships/hyperlink" Target="https://codes.ohio.gov/ohio-revised-code/section-149.351" TargetMode="External"/><Relationship Id="rId1381" Type="http://schemas.openxmlformats.org/officeDocument/2006/relationships/hyperlink" Target="https://www.ohioattorneygeneral.gov/getattachment/a110cfd0-4bb0-4cac-89fb-d4032e047c27/1992-032.aspx" TargetMode="External"/><Relationship Id="rId1479" Type="http://schemas.openxmlformats.org/officeDocument/2006/relationships/hyperlink" Target="https://www.supremecourt.ohio.gov/pdf_viewer/pdf_viewer.aspx?pdf=880968.pdf&amp;subdirectory=2020-0248\DocketItems&amp;source=DL_Clerk" TargetMode="External"/><Relationship Id="rId183" Type="http://schemas.openxmlformats.org/officeDocument/2006/relationships/hyperlink" Target="http://www.supremecourt.ohio.gov/rod/docs/pdf/0/1999/1999-Ohio-447.pdf" TargetMode="External"/><Relationship Id="rId390" Type="http://schemas.openxmlformats.org/officeDocument/2006/relationships/hyperlink" Target="https://codes.ohio.gov/ohio-revised-code/section-149.43" TargetMode="External"/><Relationship Id="rId404" Type="http://schemas.openxmlformats.org/officeDocument/2006/relationships/hyperlink" Target="https://codes.ohio.gov/ohio-revised-code/section-2151.05" TargetMode="External"/><Relationship Id="rId611" Type="http://schemas.openxmlformats.org/officeDocument/2006/relationships/hyperlink" Target="https://www.supremecourt.ohio.gov/docs/LegalResources/Rules/criminal/CriminalProcedure.pdf" TargetMode="External"/><Relationship Id="rId1034" Type="http://schemas.openxmlformats.org/officeDocument/2006/relationships/hyperlink" Target="http://www.supremecourt.ohio.gov/rod/docs/pdf/0/2006/2006-Ohio-5854.pdf" TargetMode="External"/><Relationship Id="rId1241" Type="http://schemas.openxmlformats.org/officeDocument/2006/relationships/hyperlink" Target="https://codes.ohio.gov/ohio-revised-code/section-149.351" TargetMode="External"/><Relationship Id="rId1339" Type="http://schemas.openxmlformats.org/officeDocument/2006/relationships/hyperlink" Target="https://codes.ohio.gov/ohio-revised-code/section-5126.0223" TargetMode="External"/><Relationship Id="rId250" Type="http://schemas.openxmlformats.org/officeDocument/2006/relationships/hyperlink" Target="http://www.supremecourt.ohio.gov/rod/docs/pdf/0/2014/2014-Ohio-2329.pdf" TargetMode="External"/><Relationship Id="rId488" Type="http://schemas.openxmlformats.org/officeDocument/2006/relationships/hyperlink" Target="https://codes.ohio.gov/ohio-revised-code/section-149.433" TargetMode="External"/><Relationship Id="rId695" Type="http://schemas.openxmlformats.org/officeDocument/2006/relationships/hyperlink" Target="http://www.supremecourt.ohio.gov/rod/docs/pdf/0/1996/1996-Ohio-300.pdf" TargetMode="External"/><Relationship Id="rId709" Type="http://schemas.openxmlformats.org/officeDocument/2006/relationships/hyperlink" Target="https://www.supremecourt.ohio.gov/rod/docs/pdf/0/2022/2022-ohio-1915.pdf" TargetMode="External"/><Relationship Id="rId916" Type="http://schemas.openxmlformats.org/officeDocument/2006/relationships/hyperlink" Target="https://codes.ohio.gov/ohio-revised-code/section-718.13" TargetMode="External"/><Relationship Id="rId1101" Type="http://schemas.openxmlformats.org/officeDocument/2006/relationships/hyperlink" Target="https://www.supremecourt.ohio.gov/rod/docs/pdf/0/2021/2021-Ohio-2724.pdf" TargetMode="External"/><Relationship Id="rId1546" Type="http://schemas.openxmlformats.org/officeDocument/2006/relationships/hyperlink" Target="https://codes.ohio.gov/ohio-revised-code/section-121.22" TargetMode="External"/><Relationship Id="rId45" Type="http://schemas.openxmlformats.org/officeDocument/2006/relationships/hyperlink" Target="http://www.supremecourt.ohio.gov/rod/docs/pdf/0/2013/2013-Ohio-761.pdf" TargetMode="External"/><Relationship Id="rId110" Type="http://schemas.openxmlformats.org/officeDocument/2006/relationships/hyperlink" Target="http://www.supremecourt.ohio.gov/rod/docs/pdf/0/2008/2008-Ohio-6253.pdf" TargetMode="External"/><Relationship Id="rId348" Type="http://schemas.openxmlformats.org/officeDocument/2006/relationships/hyperlink" Target="https://codes.ohio.gov/ohio-revised-code/section-149.43" TargetMode="External"/><Relationship Id="rId555" Type="http://schemas.openxmlformats.org/officeDocument/2006/relationships/hyperlink" Target="https://codes.ohio.gov/ohio-revised-code/section-5153.17" TargetMode="External"/><Relationship Id="rId762" Type="http://schemas.openxmlformats.org/officeDocument/2006/relationships/hyperlink" Target="https://codes.ohio.gov/ohio-revised-code/section-109.576" TargetMode="External"/><Relationship Id="rId1185" Type="http://schemas.openxmlformats.org/officeDocument/2006/relationships/hyperlink" Target="https://codes.ohio.gov/ohio-revised-code/section-149.38" TargetMode="External"/><Relationship Id="rId1392" Type="http://schemas.openxmlformats.org/officeDocument/2006/relationships/hyperlink" Target="https://www.ohioattorneygeneral.gov/getattachment/d9394429-88e8-456b-9b6d-ae88a2cdcbb0/1988-087.aspx" TargetMode="External"/><Relationship Id="rId1406" Type="http://schemas.openxmlformats.org/officeDocument/2006/relationships/hyperlink" Target="https://www.supremecourt.ohio.gov/rod/docs/pdf/7/2016/2016-Ohio-4663.pdf" TargetMode="External"/><Relationship Id="rId194" Type="http://schemas.openxmlformats.org/officeDocument/2006/relationships/hyperlink" Target="http://www.supremecourt.ohio.gov/rod/docs/pdf/10/2011/2011-Ohio-6560.pdf" TargetMode="External"/><Relationship Id="rId208" Type="http://schemas.openxmlformats.org/officeDocument/2006/relationships/hyperlink" Target="http://www.supremecourt.ohio.gov/rod/docs/pdf/0/2012/2012-Ohio-4228.pdf" TargetMode="External"/><Relationship Id="rId415" Type="http://schemas.openxmlformats.org/officeDocument/2006/relationships/hyperlink" Target="https://codes.ohio.gov/ohio-revised-code/section-3705.124" TargetMode="External"/><Relationship Id="rId622" Type="http://schemas.openxmlformats.org/officeDocument/2006/relationships/hyperlink" Target="http://www.supremecourt.ohio.gov/rod/docs/pdf/0/1998/1998-Ohio-290.pdf" TargetMode="External"/><Relationship Id="rId1045" Type="http://schemas.openxmlformats.org/officeDocument/2006/relationships/hyperlink" Target="https://codes.ohio.gov/ohio-revised-code/section-149.43" TargetMode="External"/><Relationship Id="rId1252" Type="http://schemas.openxmlformats.org/officeDocument/2006/relationships/hyperlink" Target="https://codes.ohio.gov/ohio-revised-code/section-149.43" TargetMode="External"/><Relationship Id="rId261" Type="http://schemas.openxmlformats.org/officeDocument/2006/relationships/hyperlink" Target="http://www.supremecourt.ohio.gov/rod/docs/pdf/0/2009/2009-Ohio-1901.pdf" TargetMode="External"/><Relationship Id="rId499" Type="http://schemas.openxmlformats.org/officeDocument/2006/relationships/hyperlink" Target="https://www.supremecourt.ohio.gov/rod/docs/pdf/13/2018/2018-Ohio-1539.pdf" TargetMode="External"/><Relationship Id="rId927" Type="http://schemas.openxmlformats.org/officeDocument/2006/relationships/hyperlink" Target="https://www.supremecourt.ohio.gov/docs/LegalResources/Rules/superintendence/Superintendence.pdf" TargetMode="External"/><Relationship Id="rId1112" Type="http://schemas.openxmlformats.org/officeDocument/2006/relationships/hyperlink" Target="https://codes.ohio.gov/ohio-revised-code/section-2323.51" TargetMode="External"/><Relationship Id="rId1557" Type="http://schemas.openxmlformats.org/officeDocument/2006/relationships/hyperlink" Target="http://www.supremecourt.ohio.gov/rod/docs/pdf/6/2002/2002-Ohio-4660.pdf" TargetMode="External"/><Relationship Id="rId56" Type="http://schemas.openxmlformats.org/officeDocument/2006/relationships/hyperlink" Target="http://www.supremecourt.ohio.gov/rod/docs/pdf/0/1999/1999-Ohio-446.pdf" TargetMode="External"/><Relationship Id="rId359" Type="http://schemas.openxmlformats.org/officeDocument/2006/relationships/hyperlink" Target="http://www.supremecourt.ohio.gov/rod/docs/pdf/0/2005/2005-Ohio-1508.pdf" TargetMode="External"/><Relationship Id="rId566" Type="http://schemas.openxmlformats.org/officeDocument/2006/relationships/hyperlink" Target="http://www.supremecourt.ohio.gov/rod/docs/pdf/0/2012/2012-Ohio-2690.pdf" TargetMode="External"/><Relationship Id="rId773" Type="http://schemas.openxmlformats.org/officeDocument/2006/relationships/hyperlink" Target="http://www.supremecourt.ohio.gov/rod/docs/pdf/0/1995/1995-Ohio-248.pdf" TargetMode="External"/><Relationship Id="rId1196" Type="http://schemas.openxmlformats.org/officeDocument/2006/relationships/hyperlink" Target="https://codes.ohio.gov/ohio-revised-code/section-149.381" TargetMode="External"/><Relationship Id="rId1417" Type="http://schemas.openxmlformats.org/officeDocument/2006/relationships/hyperlink" Target="http://www.supremecourt.ohio.gov/rod/docs/pdf/3/2014/2014-Ohio-2717.pdf" TargetMode="External"/><Relationship Id="rId121" Type="http://schemas.openxmlformats.org/officeDocument/2006/relationships/hyperlink" Target="https://codes.ohio.gov/ohio-revised-code/section-149.011" TargetMode="External"/><Relationship Id="rId219" Type="http://schemas.openxmlformats.org/officeDocument/2006/relationships/hyperlink" Target="http://www.supremecourt.ohio.gov/rod/docs/pdf/0/2012/2012-Ohio-4228.pdf" TargetMode="External"/><Relationship Id="rId426" Type="http://schemas.openxmlformats.org/officeDocument/2006/relationships/hyperlink" Target="https://codes.ohio.gov/ohio-revised-code/section-149.43" TargetMode="External"/><Relationship Id="rId633" Type="http://schemas.openxmlformats.org/officeDocument/2006/relationships/hyperlink" Target="http://www.supremecourt.ohio.gov/rod/docs/pdf/8/2014/2014-Ohio-4088.pdf" TargetMode="External"/><Relationship Id="rId980" Type="http://schemas.openxmlformats.org/officeDocument/2006/relationships/hyperlink" Target="https://www.supremecourt.ohio.gov/rod/docs/pdf/0/2006/2006-Ohio-1215.pdf" TargetMode="External"/><Relationship Id="rId1056" Type="http://schemas.openxmlformats.org/officeDocument/2006/relationships/hyperlink" Target="https://codes.ohio.gov/ohio-revised-code/section-149.43" TargetMode="External"/><Relationship Id="rId1263" Type="http://schemas.openxmlformats.org/officeDocument/2006/relationships/hyperlink" Target="https://codes.ohio.gov/ohio-revised-code/section-109.43" TargetMode="External"/><Relationship Id="rId840" Type="http://schemas.openxmlformats.org/officeDocument/2006/relationships/hyperlink" Target="https://codes.ohio.gov/ohio-revised-code/section-2930.04" TargetMode="External"/><Relationship Id="rId938" Type="http://schemas.openxmlformats.org/officeDocument/2006/relationships/hyperlink" Target="https://www.supremecourt.ohio.gov/docs/LegalResources/Rules/superintendence/Superintendence.pdf" TargetMode="External"/><Relationship Id="rId1470" Type="http://schemas.openxmlformats.org/officeDocument/2006/relationships/hyperlink" Target="https://www.ohioattorneygeneral.gov/getattachment/5eb726ed-505c-4683-bc3d-3484b453b710/1988-003.aspx" TargetMode="External"/><Relationship Id="rId1568" Type="http://schemas.openxmlformats.org/officeDocument/2006/relationships/hyperlink" Target="https://codes.ohio.gov/ohio-revised-code/section-121.22" TargetMode="External"/><Relationship Id="rId67" Type="http://schemas.openxmlformats.org/officeDocument/2006/relationships/hyperlink" Target="http://www.supremecourt.ohio.gov/rod/docs/pdf/0/1998/1998-Ohio-597.pdf" TargetMode="External"/><Relationship Id="rId272" Type="http://schemas.openxmlformats.org/officeDocument/2006/relationships/hyperlink" Target="http://www.supremecourt.ohio.gov/rod/docs/pdf/0/1994/1994-Ohio-5.pdf" TargetMode="External"/><Relationship Id="rId577" Type="http://schemas.openxmlformats.org/officeDocument/2006/relationships/hyperlink" Target="https://www.supremecourt.ohio.gov/rod/docs/pdf/0/2020/2020-ohio-5371.pdf" TargetMode="External"/><Relationship Id="rId700" Type="http://schemas.openxmlformats.org/officeDocument/2006/relationships/hyperlink" Target="http://www.supremecourt.ohio.gov/rod/docs/pdf/0/2010/2010-Ohio-3288.pdf" TargetMode="External"/><Relationship Id="rId1123" Type="http://schemas.openxmlformats.org/officeDocument/2006/relationships/hyperlink" Target="https://codes.ohio.gov/ohio-revised-code/section-2743.75" TargetMode="External"/><Relationship Id="rId1330" Type="http://schemas.openxmlformats.org/officeDocument/2006/relationships/hyperlink" Target="https://codes.ohio.gov/ohio-revised-code/section-339.02" TargetMode="External"/><Relationship Id="rId1428" Type="http://schemas.openxmlformats.org/officeDocument/2006/relationships/hyperlink" Target="https://codes.ohio.gov/ohio-revised-code/section-121.22" TargetMode="External"/><Relationship Id="rId132" Type="http://schemas.openxmlformats.org/officeDocument/2006/relationships/hyperlink" Target="http://www.supremecourt.ohio.gov/rod/docs/pdf/0/1997/1997-Ohio-349.pdf" TargetMode="External"/><Relationship Id="rId784" Type="http://schemas.openxmlformats.org/officeDocument/2006/relationships/hyperlink" Target="https://codes.ohio.gov/ohio-revised-code/section-149.43" TargetMode="External"/><Relationship Id="rId991" Type="http://schemas.openxmlformats.org/officeDocument/2006/relationships/hyperlink" Target="https://codes.ohio.gov/ohio-revised-code/section-1347.15" TargetMode="External"/><Relationship Id="rId1067" Type="http://schemas.openxmlformats.org/officeDocument/2006/relationships/hyperlink" Target="https://codes.ohio.gov/ohio-revised-code/section-149.43" TargetMode="External"/><Relationship Id="rId437" Type="http://schemas.openxmlformats.org/officeDocument/2006/relationships/hyperlink" Target="https://www.supremecourt.ohio.gov/rod/docs/pdf/13/2022/2022-Ohio-1195.pdf" TargetMode="External"/><Relationship Id="rId644" Type="http://schemas.openxmlformats.org/officeDocument/2006/relationships/hyperlink" Target="https://www.supremecourt.ohio.gov/docs/LegalResources/Rules/criminal/CriminalProcedure.pdf" TargetMode="External"/><Relationship Id="rId851" Type="http://schemas.openxmlformats.org/officeDocument/2006/relationships/hyperlink" Target="https://codes.ohio.gov/ohio-revised-code/section-2930.07" TargetMode="External"/><Relationship Id="rId1274" Type="http://schemas.openxmlformats.org/officeDocument/2006/relationships/hyperlink" Target="http://www.supremecourt.ohio.gov/rod/docs/pdf/0/2011/2011-Ohio-625.pdf" TargetMode="External"/><Relationship Id="rId1481" Type="http://schemas.openxmlformats.org/officeDocument/2006/relationships/hyperlink" Target="https://codes.ohio.gov/ohio-revised-code/section-121.22" TargetMode="External"/><Relationship Id="rId283" Type="http://schemas.openxmlformats.org/officeDocument/2006/relationships/hyperlink" Target="https://codes.ohio.gov/ohio-revised-code/section-149.43" TargetMode="External"/><Relationship Id="rId490" Type="http://schemas.openxmlformats.org/officeDocument/2006/relationships/hyperlink" Target="https://codes.ohio.gov/ohio-revised-code/section-149.43" TargetMode="External"/><Relationship Id="rId504" Type="http://schemas.openxmlformats.org/officeDocument/2006/relationships/hyperlink" Target="https://codes.ohio.gov/ohio-revised-code/section-149.45" TargetMode="External"/><Relationship Id="rId711" Type="http://schemas.openxmlformats.org/officeDocument/2006/relationships/hyperlink" Target="http://www.supremecourt.ohio.gov/rod/docs/pdf/12/2014/2014-Ohio-5745.pdf" TargetMode="External"/><Relationship Id="rId949" Type="http://schemas.openxmlformats.org/officeDocument/2006/relationships/hyperlink" Target="https://www.supremecourt.ohio.gov/docs/LegalResources/Rules/superintendence/Superintendence.pdf" TargetMode="External"/><Relationship Id="rId1134" Type="http://schemas.openxmlformats.org/officeDocument/2006/relationships/hyperlink" Target="https://codes.ohio.gov/ohio-revised-code/section-2743.75" TargetMode="External"/><Relationship Id="rId1341" Type="http://schemas.openxmlformats.org/officeDocument/2006/relationships/hyperlink" Target="http://www.supremecourt.ohio.gov/rod/docs/pdf/0/1996/1996-Ohio-372.pdf" TargetMode="External"/><Relationship Id="rId78" Type="http://schemas.openxmlformats.org/officeDocument/2006/relationships/hyperlink" Target="https://www.supremecourt.ohio.gov/rod/docs/pdf/5/2019/2019-Ohio-5435.pdf" TargetMode="External"/><Relationship Id="rId143" Type="http://schemas.openxmlformats.org/officeDocument/2006/relationships/hyperlink" Target="http://www.supremecourt.ohio.gov/rod/docs/pdf/0/2006/2006-Ohio-6713.pdf" TargetMode="External"/><Relationship Id="rId350" Type="http://schemas.openxmlformats.org/officeDocument/2006/relationships/hyperlink" Target="https://codes.ohio.gov/ohio-revised-code/section-313.10" TargetMode="External"/><Relationship Id="rId588" Type="http://schemas.openxmlformats.org/officeDocument/2006/relationships/hyperlink" Target="https://codes.ohio.gov/ohio-revised-code/section-1306.23" TargetMode="External"/><Relationship Id="rId795" Type="http://schemas.openxmlformats.org/officeDocument/2006/relationships/hyperlink" Target="https://codes.ohio.gov/ohio-revised-code/section-2945.39" TargetMode="External"/><Relationship Id="rId809" Type="http://schemas.openxmlformats.org/officeDocument/2006/relationships/hyperlink" Target="https://www.ohioattorneygeneral.gov/getattachment/b63aab56-9ad9-416e-9f60-f4b6236fd77a/2000-021.aspx" TargetMode="External"/><Relationship Id="rId1201" Type="http://schemas.openxmlformats.org/officeDocument/2006/relationships/hyperlink" Target="https://codes.ohio.gov/ohio-revised-code/section-149.333" TargetMode="External"/><Relationship Id="rId1439" Type="http://schemas.openxmlformats.org/officeDocument/2006/relationships/hyperlink" Target="https://codes.ohio.gov/ohio-revised-code/section-5502.21" TargetMode="External"/><Relationship Id="rId9" Type="http://schemas.openxmlformats.org/officeDocument/2006/relationships/hyperlink" Target="http://www.supremecourt.ohio.gov/rod/docs/pdf/0/1998/1998-Ohio-242.pdf" TargetMode="External"/><Relationship Id="rId210" Type="http://schemas.openxmlformats.org/officeDocument/2006/relationships/hyperlink" Target="http://www.supremecourt.ohio.gov/rod/docs/pdf/0/2008/2008-Ohio-4788.pdf" TargetMode="External"/><Relationship Id="rId448" Type="http://schemas.openxmlformats.org/officeDocument/2006/relationships/hyperlink" Target="https://codes.ohio.gov/ohio-revised-code/section-307.621" TargetMode="External"/><Relationship Id="rId655" Type="http://schemas.openxmlformats.org/officeDocument/2006/relationships/hyperlink" Target="http://www.supremecourt.ohio.gov/rod/docs/pdf/0/1998/1998-Ohio-334.pdf" TargetMode="External"/><Relationship Id="rId862" Type="http://schemas.openxmlformats.org/officeDocument/2006/relationships/hyperlink" Target="http://www.supremecourt.ohio.gov/rod/docs/pdf/8/2015/2015-Ohio-3237.pdf" TargetMode="External"/><Relationship Id="rId1078" Type="http://schemas.openxmlformats.org/officeDocument/2006/relationships/hyperlink" Target="http://www.supremecourt.ohio.gov/rod/docs/pdf/10/2013/2013-Ohio-5219.pdf" TargetMode="External"/><Relationship Id="rId1285" Type="http://schemas.openxmlformats.org/officeDocument/2006/relationships/hyperlink" Target="https://www.supremecourt.ohio.gov/rod/docs/pdf/1/2022/2022-Ohio-1109.pdf" TargetMode="External"/><Relationship Id="rId1492" Type="http://schemas.openxmlformats.org/officeDocument/2006/relationships/hyperlink" Target="https://codes.ohio.gov/ohio-revised-code/section-121.22" TargetMode="External"/><Relationship Id="rId1506" Type="http://schemas.openxmlformats.org/officeDocument/2006/relationships/hyperlink" Target="https://codes.ohio.gov/ohio-revised-code/section-121.22" TargetMode="External"/><Relationship Id="rId294" Type="http://schemas.openxmlformats.org/officeDocument/2006/relationships/hyperlink" Target="http://www.supremecourt.ohio.gov/rod/docs/pdf/0/2004/2004-Ohio-6589.pdf" TargetMode="External"/><Relationship Id="rId308" Type="http://schemas.openxmlformats.org/officeDocument/2006/relationships/hyperlink" Target="https://codes.ohio.gov/ohio-revised-code/section-149.43" TargetMode="External"/><Relationship Id="rId515" Type="http://schemas.openxmlformats.org/officeDocument/2006/relationships/hyperlink" Target="https://codes.ohio.gov/ohio-revised-code/section-149.43" TargetMode="External"/><Relationship Id="rId722" Type="http://schemas.openxmlformats.org/officeDocument/2006/relationships/hyperlink" Target="https://www.supremecourt.ohio.gov/rod/docs/pdf/0/2022/2022-ohio-1915.pdf" TargetMode="External"/><Relationship Id="rId1145" Type="http://schemas.openxmlformats.org/officeDocument/2006/relationships/hyperlink" Target="https://codes.ohio.gov/ohio-revised-code/section-2743.75" TargetMode="External"/><Relationship Id="rId1352" Type="http://schemas.openxmlformats.org/officeDocument/2006/relationships/hyperlink" Target="http://www.supremecourt.ohio.gov/rod/docs/pdf/11/2018/2018-Ohio-2888.pdf" TargetMode="External"/><Relationship Id="rId89" Type="http://schemas.openxmlformats.org/officeDocument/2006/relationships/hyperlink" Target="http://www.supremecourt.ohio.gov/rod/docs/pdf/0/2002/2002-Ohio-7041.pdf" TargetMode="External"/><Relationship Id="rId154" Type="http://schemas.openxmlformats.org/officeDocument/2006/relationships/hyperlink" Target="http://www.supremecourt.ohio.gov/rod/docs/pdf/0/2006/2006-Ohio-6714.pdf" TargetMode="External"/><Relationship Id="rId361" Type="http://schemas.openxmlformats.org/officeDocument/2006/relationships/hyperlink" Target="https://www.supremecourt.ohio.gov/rod/docs/pdf/0/2015/2015-Ohio-3425.pdf" TargetMode="External"/><Relationship Id="rId599" Type="http://schemas.openxmlformats.org/officeDocument/2006/relationships/hyperlink" Target="http://www.supremecourt.ohio.gov/rod/docs/pdf/0/1994/1994-Ohio-261.pdf" TargetMode="External"/><Relationship Id="rId1005" Type="http://schemas.openxmlformats.org/officeDocument/2006/relationships/hyperlink" Target="https://codes.ohio.gov/ohio-revised-code/section-1347.15" TargetMode="External"/><Relationship Id="rId1212" Type="http://schemas.openxmlformats.org/officeDocument/2006/relationships/hyperlink" Target="https://www.ohiohistory.org/research/local-government-records-program/local-retention-schedules-forms/" TargetMode="External"/><Relationship Id="rId459" Type="http://schemas.openxmlformats.org/officeDocument/2006/relationships/hyperlink" Target="https://codes.ohio.gov/ohio-revised-code/section-149.43" TargetMode="External"/><Relationship Id="rId666" Type="http://schemas.openxmlformats.org/officeDocument/2006/relationships/hyperlink" Target="http://www.supremecourt.ohio.gov/rod/docs/pdf/8/2014/2014-Ohio-3914.pdf" TargetMode="External"/><Relationship Id="rId873" Type="http://schemas.openxmlformats.org/officeDocument/2006/relationships/hyperlink" Target="https://www.supremecourt.ohio.gov/rod/docs/pdf/0/2023/2023-Ohio-651.pdf" TargetMode="External"/><Relationship Id="rId1089" Type="http://schemas.openxmlformats.org/officeDocument/2006/relationships/hyperlink" Target="https://www.supremecourt.ohio.gov/rod/docs/pdf/0/2020/2020-Ohio-5148.pdf" TargetMode="External"/><Relationship Id="rId1296" Type="http://schemas.openxmlformats.org/officeDocument/2006/relationships/hyperlink" Target="https://codes.ohio.gov/ohio-revised-code/section-121.22" TargetMode="External"/><Relationship Id="rId1517" Type="http://schemas.openxmlformats.org/officeDocument/2006/relationships/hyperlink" Target="http://www.supremecourt.ohio.gov/rod/docs/pdf/4/2006/2006-Ohio-6289.pdf" TargetMode="External"/><Relationship Id="rId16" Type="http://schemas.openxmlformats.org/officeDocument/2006/relationships/hyperlink" Target="http://www.supremecourt.ohio.gov/rod/docs/pdf/0/2001/2001-Ohio-1895.pdf" TargetMode="External"/><Relationship Id="rId221" Type="http://schemas.openxmlformats.org/officeDocument/2006/relationships/hyperlink" Target="http://www.supremecourt.ohio.gov/rod/docs/pdf/0/2012/2012-Ohio-4228.pdf" TargetMode="External"/><Relationship Id="rId319" Type="http://schemas.openxmlformats.org/officeDocument/2006/relationships/hyperlink" Target="https://www.supremecourt.ohio.gov/rod/docs/pdf/0/2011/2011-Ohio-959.pdf" TargetMode="External"/><Relationship Id="rId526" Type="http://schemas.openxmlformats.org/officeDocument/2006/relationships/hyperlink" Target="https://codes.ohio.gov/ohio-administrative-code/rule-4501:1-12-02" TargetMode="External"/><Relationship Id="rId1156" Type="http://schemas.openxmlformats.org/officeDocument/2006/relationships/hyperlink" Target="https://codes.ohio.gov/ohio-revised-code/section-2743.75" TargetMode="External"/><Relationship Id="rId1363" Type="http://schemas.openxmlformats.org/officeDocument/2006/relationships/hyperlink" Target="https://www.supremecourt.ohio.gov/rod/docs/pdf/5/2016/2016-Ohio-2652.pdf" TargetMode="External"/><Relationship Id="rId733" Type="http://schemas.openxmlformats.org/officeDocument/2006/relationships/hyperlink" Target="http://www.supremecourt.ohio.gov/rod/docs/pdf/0/2005/2005-Ohio-685.pdf" TargetMode="External"/><Relationship Id="rId940" Type="http://schemas.openxmlformats.org/officeDocument/2006/relationships/hyperlink" Target="https://www.supremecourt.ohio.gov/docs/LegalResources/Rules/superintendence/Superintendence.pdf" TargetMode="External"/><Relationship Id="rId1016" Type="http://schemas.openxmlformats.org/officeDocument/2006/relationships/hyperlink" Target="https://www.supremecourt.ohio.gov/rod/docs/pdf/0/2023/2023-Ohio-1177.pdf" TargetMode="External"/><Relationship Id="rId1570" Type="http://schemas.openxmlformats.org/officeDocument/2006/relationships/hyperlink" Target="https://www.supremecourt.ohio.gov/rod/docs/pdf/2/2020/2020-Ohio-4931.pdf" TargetMode="External"/><Relationship Id="rId165" Type="http://schemas.openxmlformats.org/officeDocument/2006/relationships/hyperlink" Target="https://codes.ohio.gov/ohio-revised-code/section-149.43" TargetMode="External"/><Relationship Id="rId372" Type="http://schemas.openxmlformats.org/officeDocument/2006/relationships/hyperlink" Target="http://www.supremecourt.ohio.gov/rod/docs/pdf/0/2007/2007-Ohio-4789.pdf" TargetMode="External"/><Relationship Id="rId677" Type="http://schemas.openxmlformats.org/officeDocument/2006/relationships/hyperlink" Target="http://www.supremecourt.ohio.gov/rod/docs/pdf/0/1995/1995-Ohio-248.pdf" TargetMode="External"/><Relationship Id="rId800" Type="http://schemas.openxmlformats.org/officeDocument/2006/relationships/hyperlink" Target="https://codes.ohio.gov/ohio-revised-code/section-149.43" TargetMode="External"/><Relationship Id="rId1223" Type="http://schemas.openxmlformats.org/officeDocument/2006/relationships/hyperlink" Target="http://www.supremecourt.ohio.gov/rod/docs/pdf/0/2011/2011-Ohio-3279.pdf" TargetMode="External"/><Relationship Id="rId1430" Type="http://schemas.openxmlformats.org/officeDocument/2006/relationships/hyperlink" Target="https://codes.ohio.gov/ohio-revised-code/section-121.22" TargetMode="External"/><Relationship Id="rId1528" Type="http://schemas.openxmlformats.org/officeDocument/2006/relationships/hyperlink" Target="https://www.supremecourt.ohio.gov/rod/docs/pdf/0/2022/2022-Ohio-4237.pdf" TargetMode="External"/><Relationship Id="rId232" Type="http://schemas.openxmlformats.org/officeDocument/2006/relationships/hyperlink" Target="http://www.supremecourt.ohio.gov/rod/docs/pdf/0/2005/2005-Ohio-685.pdf" TargetMode="External"/><Relationship Id="rId884" Type="http://schemas.openxmlformats.org/officeDocument/2006/relationships/hyperlink" Target="http://www.supremecourt.ohio.gov/rod/docs/pdf/0/2002/2002-Ohio-5311.pdf" TargetMode="External"/><Relationship Id="rId27" Type="http://schemas.openxmlformats.org/officeDocument/2006/relationships/hyperlink" Target="http://www.supremecourt.ohio.gov/rod/docs/pdf/0/2012/2012-Ohio-4246.pdf" TargetMode="External"/><Relationship Id="rId537" Type="http://schemas.openxmlformats.org/officeDocument/2006/relationships/hyperlink" Target="https://codes.ohio.gov/ohio-revised-code/section-3701.17" TargetMode="External"/><Relationship Id="rId744" Type="http://schemas.openxmlformats.org/officeDocument/2006/relationships/hyperlink" Target="https://www.ohioattorneygeneral.gov/getattachment/e7530147-8079-4206-9881-17f5854a8e16/2001-041.aspx" TargetMode="External"/><Relationship Id="rId951" Type="http://schemas.openxmlformats.org/officeDocument/2006/relationships/hyperlink" Target="https://www.supremecourt.ohio.gov/rod/docs/pdf/9/2021/2021-Ohio-4585.pdf" TargetMode="External"/><Relationship Id="rId1167" Type="http://schemas.openxmlformats.org/officeDocument/2006/relationships/hyperlink" Target="https://codes.ohio.gov/ohio-revised-code/section-2743.75" TargetMode="External"/><Relationship Id="rId1374" Type="http://schemas.openxmlformats.org/officeDocument/2006/relationships/hyperlink" Target="https://codes.ohio.gov/ohio-revised-code/section-121.22" TargetMode="External"/><Relationship Id="rId80" Type="http://schemas.openxmlformats.org/officeDocument/2006/relationships/hyperlink" Target="https://www.supremecourt.ohio.gov/rod/docs/pdf/5/2022/2022-Ohio-4382.pdf" TargetMode="External"/><Relationship Id="rId176" Type="http://schemas.openxmlformats.org/officeDocument/2006/relationships/hyperlink" Target="http://www.supremecourt.ohio.gov/rod/docs/pdf/0/2011/2011-Ohio-625.pdf" TargetMode="External"/><Relationship Id="rId383" Type="http://schemas.openxmlformats.org/officeDocument/2006/relationships/hyperlink" Target="http://www.supremecourt.ohio.gov/rod/docs/pdf/0/2010/2010-Ohio-3288.pdf" TargetMode="External"/><Relationship Id="rId590" Type="http://schemas.openxmlformats.org/officeDocument/2006/relationships/hyperlink" Target="http://www.supremecourt.ohio.gov/rod/docs/pdf/0/2005/2005-Ohio-1508.pdf" TargetMode="External"/><Relationship Id="rId604" Type="http://schemas.openxmlformats.org/officeDocument/2006/relationships/hyperlink" Target="https://www.supremecourt.ohio.gov/rod/docs/pdf/0/2020/2020-ohio-5585.pdf" TargetMode="External"/><Relationship Id="rId811" Type="http://schemas.openxmlformats.org/officeDocument/2006/relationships/hyperlink" Target="https://codes.ohio.gov/ohio-revised-code/section-149.43" TargetMode="External"/><Relationship Id="rId1027" Type="http://schemas.openxmlformats.org/officeDocument/2006/relationships/hyperlink" Target="https://www.supremecourt.ohio.gov/docs/LegalResources/Rules/civil/CivilProcedure.pdf" TargetMode="External"/><Relationship Id="rId1234" Type="http://schemas.openxmlformats.org/officeDocument/2006/relationships/hyperlink" Target="https://www.supremecourt.ohio.gov/rod/docs/pdf/8/2021/2021-Ohio-4433.pdf" TargetMode="External"/><Relationship Id="rId1441" Type="http://schemas.openxmlformats.org/officeDocument/2006/relationships/hyperlink" Target="https://codes.ohio.gov/ohio-revised-code/section-5502.24" TargetMode="External"/><Relationship Id="rId243" Type="http://schemas.openxmlformats.org/officeDocument/2006/relationships/hyperlink" Target="https://codes.ohio.gov/ohio-revised-code/section-149.43" TargetMode="External"/><Relationship Id="rId450" Type="http://schemas.openxmlformats.org/officeDocument/2006/relationships/hyperlink" Target="https://codes.ohio.gov/ohio-revised-code/section-5153.171" TargetMode="External"/><Relationship Id="rId688" Type="http://schemas.openxmlformats.org/officeDocument/2006/relationships/hyperlink" Target="http://www.supremecourt.ohio.gov/rod/docs/pdf/0/2001/2001-Ohio-193.pdf" TargetMode="External"/><Relationship Id="rId895" Type="http://schemas.openxmlformats.org/officeDocument/2006/relationships/hyperlink" Target="https://codes.ohio.gov/ohio-revised-code/section-109.576" TargetMode="External"/><Relationship Id="rId909" Type="http://schemas.openxmlformats.org/officeDocument/2006/relationships/hyperlink" Target="https://codes.ohio.gov/ohio-revised-code/section-3319.321" TargetMode="External"/><Relationship Id="rId1080" Type="http://schemas.openxmlformats.org/officeDocument/2006/relationships/hyperlink" Target="http://www.supremecourt.ohio.gov/rod/docs/pdf/0/2012/2012-Ohio-753.pdf" TargetMode="External"/><Relationship Id="rId1301" Type="http://schemas.openxmlformats.org/officeDocument/2006/relationships/hyperlink" Target="https://codes.ohio.gov/ohio-revised-code/section-4731.22" TargetMode="External"/><Relationship Id="rId1539" Type="http://schemas.openxmlformats.org/officeDocument/2006/relationships/hyperlink" Target="https://www.supremecourt.ohio.gov/rod/docs/pdf/0/2023/2023-Ohio-3382.pdf" TargetMode="External"/><Relationship Id="rId38" Type="http://schemas.openxmlformats.org/officeDocument/2006/relationships/hyperlink" Target="https://codes.ohio.gov/ohio-revised-code/section-149.43" TargetMode="External"/><Relationship Id="rId103" Type="http://schemas.openxmlformats.org/officeDocument/2006/relationships/hyperlink" Target="https://www.supremecourt.ohio.gov/rod/docs/pdf/13/2020/2020-Ohio-4559.pdf" TargetMode="External"/><Relationship Id="rId310" Type="http://schemas.openxmlformats.org/officeDocument/2006/relationships/hyperlink" Target="https://www.supremecourt.ohio.gov/rod/docs/pdf/0/2021/2021-Ohio-1762.pdf" TargetMode="External"/><Relationship Id="rId548" Type="http://schemas.openxmlformats.org/officeDocument/2006/relationships/hyperlink" Target="https://www.supremecourt.ohio.gov/docs/LegalResources/Rules/juvenile/JuvenileProcedure.pdf" TargetMode="External"/><Relationship Id="rId755" Type="http://schemas.openxmlformats.org/officeDocument/2006/relationships/hyperlink" Target="https://codes.ohio.gov/ohio-revised-code/section-2929.01" TargetMode="External"/><Relationship Id="rId962" Type="http://schemas.openxmlformats.org/officeDocument/2006/relationships/hyperlink" Target="http://www.supremecourt.ohio.gov/rod/docs/pdf/0/2013/2013-Ohio-4529.pdf" TargetMode="External"/><Relationship Id="rId1178" Type="http://schemas.openxmlformats.org/officeDocument/2006/relationships/hyperlink" Target="https://codes.ohio.gov/ohio-revised-code/section-149.43" TargetMode="External"/><Relationship Id="rId1385" Type="http://schemas.openxmlformats.org/officeDocument/2006/relationships/hyperlink" Target="https://www.ohioattorneygeneral.gov/getattachment/cd2416b6-3da6-418a-ba38-0f5d778915bf/2011-038.aspx" TargetMode="External"/><Relationship Id="rId91" Type="http://schemas.openxmlformats.org/officeDocument/2006/relationships/hyperlink" Target="http://www.supremecourt.ohio.gov/rod/docs/pdf/0/2000/2000-Ohio-142.pdf" TargetMode="External"/><Relationship Id="rId187" Type="http://schemas.openxmlformats.org/officeDocument/2006/relationships/hyperlink" Target="https://www.ohioattorneygeneral.gov/getattachment/17cee156-4072-4cd0-ac1d-766ef1801934/1990-050.aspx" TargetMode="External"/><Relationship Id="rId394" Type="http://schemas.openxmlformats.org/officeDocument/2006/relationships/hyperlink" Target="https://www.ohioattorneygeneral.gov/getattachment/1355ab02-1caa-432a-aa8a-1be324b5d543/1999-006.aspx" TargetMode="External"/><Relationship Id="rId408" Type="http://schemas.openxmlformats.org/officeDocument/2006/relationships/hyperlink" Target="https://codes.ohio.gov/ohio-revised-code/section-3107.52" TargetMode="External"/><Relationship Id="rId615" Type="http://schemas.openxmlformats.org/officeDocument/2006/relationships/hyperlink" Target="http://www.supremecourt.ohio.gov/rod/docs/pdf/10/2009/2009-Ohio-3614.pdf" TargetMode="External"/><Relationship Id="rId822" Type="http://schemas.openxmlformats.org/officeDocument/2006/relationships/hyperlink" Target="https://www.supremecourt.ohio.gov/rod/docs/pdf/0/2012/2012-Ohio-1999.pdf" TargetMode="External"/><Relationship Id="rId1038" Type="http://schemas.openxmlformats.org/officeDocument/2006/relationships/hyperlink" Target="https://codes.ohio.gov/ohio-revised-code/section-149.43" TargetMode="External"/><Relationship Id="rId1245" Type="http://schemas.openxmlformats.org/officeDocument/2006/relationships/hyperlink" Target="https://codes.ohio.gov/ohio-revised-code/section-149.331" TargetMode="External"/><Relationship Id="rId1452" Type="http://schemas.openxmlformats.org/officeDocument/2006/relationships/hyperlink" Target="https://codes.ohio.gov/ohio-revised-code/section-121.22" TargetMode="External"/><Relationship Id="rId254" Type="http://schemas.openxmlformats.org/officeDocument/2006/relationships/hyperlink" Target="http://www.supremecourt.ohio.gov/rod/docs/pdf/0/2014/2014-Ohio-538.pdf" TargetMode="External"/><Relationship Id="rId699" Type="http://schemas.openxmlformats.org/officeDocument/2006/relationships/hyperlink" Target="http://www.supremecourt.ohio.gov/rod/docs/pdf/0/2005/2005-Ohio-5521.pdf" TargetMode="External"/><Relationship Id="rId1091" Type="http://schemas.openxmlformats.org/officeDocument/2006/relationships/hyperlink" Target="https://www.supremecourt.ohio.gov/rod/docs/pdf/9/2021/2021-Ohio-4585.pdf" TargetMode="External"/><Relationship Id="rId1105" Type="http://schemas.openxmlformats.org/officeDocument/2006/relationships/hyperlink" Target="https://codes.ohio.gov/ohio-revised-code/section-149.43" TargetMode="External"/><Relationship Id="rId1312" Type="http://schemas.openxmlformats.org/officeDocument/2006/relationships/hyperlink" Target="https://codes.ohio.gov/ohio-revised-code/section-4729.86" TargetMode="External"/><Relationship Id="rId49" Type="http://schemas.openxmlformats.org/officeDocument/2006/relationships/hyperlink" Target="https://www.supremecourt.ohio.gov/rod/docs/pdf/12/2023/2023-Ohio-874.pdf" TargetMode="External"/><Relationship Id="rId114" Type="http://schemas.openxmlformats.org/officeDocument/2006/relationships/hyperlink" Target="https://www.supremecourt.ohio.gov/rod/docs/pdf/0/2023/2023-Ohio-3285.pdf" TargetMode="External"/><Relationship Id="rId461" Type="http://schemas.openxmlformats.org/officeDocument/2006/relationships/hyperlink" Target="https://codes.ohio.gov/ohio-revised-code/section-149.43" TargetMode="External"/><Relationship Id="rId559" Type="http://schemas.openxmlformats.org/officeDocument/2006/relationships/hyperlink" Target="http://www.supremecourt.ohio.gov/rod/docs/pdf/0/2004/2004-Ohio-6557.pdf" TargetMode="External"/><Relationship Id="rId766" Type="http://schemas.openxmlformats.org/officeDocument/2006/relationships/hyperlink" Target="http://www.supremecourt.ohio.gov/rod/docs/pdf/0/1995/1995-Ohio-248.pdf" TargetMode="External"/><Relationship Id="rId1189" Type="http://schemas.openxmlformats.org/officeDocument/2006/relationships/hyperlink" Target="https://codes.ohio.gov/ohio-revised-code/section-149.412" TargetMode="External"/><Relationship Id="rId1396" Type="http://schemas.openxmlformats.org/officeDocument/2006/relationships/hyperlink" Target="http://www.supremecourt.ohio.gov/rod/docs/pdf/3/2014/2014-Ohio-2717.pdf" TargetMode="External"/><Relationship Id="rId198" Type="http://schemas.openxmlformats.org/officeDocument/2006/relationships/hyperlink" Target="http://www.supremecourt.ohio.gov/rod/docs/pdf/0/2018/2018-Ohio-5133.pdf" TargetMode="External"/><Relationship Id="rId321" Type="http://schemas.openxmlformats.org/officeDocument/2006/relationships/hyperlink" Target="https://codes.ohio.gov/ohio-revised-code/section-149.43" TargetMode="External"/><Relationship Id="rId419" Type="http://schemas.openxmlformats.org/officeDocument/2006/relationships/hyperlink" Target="https://codes.ohio.gov/ohio-revised-code/section-3107.38" TargetMode="External"/><Relationship Id="rId626" Type="http://schemas.openxmlformats.org/officeDocument/2006/relationships/hyperlink" Target="https://www.supremecourt.ohio.gov/rod/docs/pdf/13/2020/2020-Ohio-4520.pdf" TargetMode="External"/><Relationship Id="rId973" Type="http://schemas.openxmlformats.org/officeDocument/2006/relationships/hyperlink" Target="http://www.supremecourt.ohio.gov/rod/docs/pdf/0/2012/2012-Ohio-3328.pdf" TargetMode="External"/><Relationship Id="rId1049" Type="http://schemas.openxmlformats.org/officeDocument/2006/relationships/hyperlink" Target="https://codes.ohio.gov/ohio-revised-code/section-149.43" TargetMode="External"/><Relationship Id="rId1256" Type="http://schemas.openxmlformats.org/officeDocument/2006/relationships/hyperlink" Target="https://codes.ohio.gov/ohio-revised-code/section-149.43" TargetMode="External"/><Relationship Id="rId833" Type="http://schemas.openxmlformats.org/officeDocument/2006/relationships/hyperlink" Target="https://codes.ohio.gov/ohio-revised-code/section-2930.04" TargetMode="External"/><Relationship Id="rId1116" Type="http://schemas.openxmlformats.org/officeDocument/2006/relationships/hyperlink" Target="http://www.supremecourt.ohio.gov/rod/docs/pdf/0/2015/2015-Ohio-4915.pdf" TargetMode="External"/><Relationship Id="rId1463" Type="http://schemas.openxmlformats.org/officeDocument/2006/relationships/hyperlink" Target="http://www.supremecourt.ohio.gov/rod/docs/pdf/2/2014/2014-Ohio-2312.pdf" TargetMode="External"/><Relationship Id="rId265" Type="http://schemas.openxmlformats.org/officeDocument/2006/relationships/hyperlink" Target="https://codes.ohio.gov/ohio-revised-code/section-149.43" TargetMode="External"/><Relationship Id="rId472" Type="http://schemas.openxmlformats.org/officeDocument/2006/relationships/hyperlink" Target="https://codes.ohio.gov/ohio-revised-code/section-149.43" TargetMode="External"/><Relationship Id="rId900" Type="http://schemas.openxmlformats.org/officeDocument/2006/relationships/hyperlink" Target="https://codes.ohio.gov/ohio-revised-code/section-124.88" TargetMode="External"/><Relationship Id="rId1323" Type="http://schemas.openxmlformats.org/officeDocument/2006/relationships/hyperlink" Target="https://codes.ohio.gov/ohio-revised-code/section-121.22" TargetMode="External"/><Relationship Id="rId1530" Type="http://schemas.openxmlformats.org/officeDocument/2006/relationships/hyperlink" Target="https://codes.ohio.gov/ohio-revised-code/section-121.22" TargetMode="External"/><Relationship Id="rId125" Type="http://schemas.openxmlformats.org/officeDocument/2006/relationships/hyperlink" Target="http://www.supremecourt.ohio.gov/rod/docs/pdf/0/2006/2006-Ohio-4854.pdf" TargetMode="External"/><Relationship Id="rId332" Type="http://schemas.openxmlformats.org/officeDocument/2006/relationships/hyperlink" Target="https://www.supremecourt.ohio.gov/docs/LegalResources/Rules/superintendence/Superintendence.pdf" TargetMode="External"/><Relationship Id="rId777" Type="http://schemas.openxmlformats.org/officeDocument/2006/relationships/hyperlink" Target="http://www.supremecourt.ohio.gov/rod/docs/pdf/0/2000/2000-Ohio-8.pdf" TargetMode="External"/><Relationship Id="rId984" Type="http://schemas.openxmlformats.org/officeDocument/2006/relationships/hyperlink" Target="http://www.supremecourt.ohio.gov/rod/docs/pdf/0/2006/2006-Ohio-1215.pdf" TargetMode="External"/><Relationship Id="rId637" Type="http://schemas.openxmlformats.org/officeDocument/2006/relationships/hyperlink" Target="https://www.supremecourt.ohio.gov/rod/docs/pdf/0/2015/2015-Ohio-235.pdf" TargetMode="External"/><Relationship Id="rId844" Type="http://schemas.openxmlformats.org/officeDocument/2006/relationships/hyperlink" Target="https://codes.ohio.gov/ohio-revised-code/section-149.43" TargetMode="External"/><Relationship Id="rId1267" Type="http://schemas.openxmlformats.org/officeDocument/2006/relationships/hyperlink" Target="https://codes.ohio.gov/ohio-revised-code/section-121.22" TargetMode="External"/><Relationship Id="rId1474" Type="http://schemas.openxmlformats.org/officeDocument/2006/relationships/hyperlink" Target="https://codes.ohio.gov/ohio-revised-code/section-121.22" TargetMode="External"/><Relationship Id="rId276" Type="http://schemas.openxmlformats.org/officeDocument/2006/relationships/hyperlink" Target="https://www.supremecourt.ohio.gov/rod/docs/pdf/0/2019/2019-Ohio-4130.pdf" TargetMode="External"/><Relationship Id="rId483" Type="http://schemas.openxmlformats.org/officeDocument/2006/relationships/hyperlink" Target="https://codes.ohio.gov/ohio-revised-code/section-149.43" TargetMode="External"/><Relationship Id="rId690" Type="http://schemas.openxmlformats.org/officeDocument/2006/relationships/hyperlink" Target="https://codes.ohio.gov/ohio-revised-code/section-149.43" TargetMode="External"/><Relationship Id="rId704" Type="http://schemas.openxmlformats.org/officeDocument/2006/relationships/hyperlink" Target="http://www.supremecourt.ohio.gov/rod/docs/pdf/0/1993/1993-Ohio-192.pdf" TargetMode="External"/><Relationship Id="rId911" Type="http://schemas.openxmlformats.org/officeDocument/2006/relationships/hyperlink" Target="https://codes.ohio.gov/ohio-revised-code/section-149.45" TargetMode="External"/><Relationship Id="rId1127" Type="http://schemas.openxmlformats.org/officeDocument/2006/relationships/hyperlink" Target="https://www.supremecourt.ohio.gov/rod/docs/pdf/0/2023/2023-Ohio-1177.pdf" TargetMode="External"/><Relationship Id="rId1334" Type="http://schemas.openxmlformats.org/officeDocument/2006/relationships/hyperlink" Target="https://codes.ohio.gov/ohio-revised-code/section-3316.05" TargetMode="External"/><Relationship Id="rId1541" Type="http://schemas.openxmlformats.org/officeDocument/2006/relationships/hyperlink" Target="https://codes.ohio.gov/ohio-revised-code/chapter-2733" TargetMode="External"/><Relationship Id="rId40" Type="http://schemas.openxmlformats.org/officeDocument/2006/relationships/hyperlink" Target="http://www.supremecourt.ohio.gov/rod/docs/pdf/5/2014/2014-Ohio-1222.pdf" TargetMode="External"/><Relationship Id="rId136" Type="http://schemas.openxmlformats.org/officeDocument/2006/relationships/hyperlink" Target="https://www.supremecourt.ohio.gov/rod/docs/pdf/0/2023/2023-Ohio-2667.pdf" TargetMode="External"/><Relationship Id="rId343" Type="http://schemas.openxmlformats.org/officeDocument/2006/relationships/hyperlink" Target="https://codes.ohio.gov/ohio-revised-code/section-149.43" TargetMode="External"/><Relationship Id="rId550" Type="http://schemas.openxmlformats.org/officeDocument/2006/relationships/hyperlink" Target="https://codes.ohio.gov/ohio-revised-code/section-5139.05" TargetMode="External"/><Relationship Id="rId788" Type="http://schemas.openxmlformats.org/officeDocument/2006/relationships/hyperlink" Target="https://codes.ohio.gov/ohio-revised-code/section-2945.39" TargetMode="External"/><Relationship Id="rId995" Type="http://schemas.openxmlformats.org/officeDocument/2006/relationships/hyperlink" Target="https://codes.ohio.gov/ohio-revised-code/section-1347.01" TargetMode="External"/><Relationship Id="rId1180" Type="http://schemas.openxmlformats.org/officeDocument/2006/relationships/hyperlink" Target="https://ohioauditor.gov/open/starshtml" TargetMode="External"/><Relationship Id="rId1401" Type="http://schemas.openxmlformats.org/officeDocument/2006/relationships/hyperlink" Target="https://codes.ohio.gov/ohio-revised-code/section-121.22" TargetMode="External"/><Relationship Id="rId203" Type="http://schemas.openxmlformats.org/officeDocument/2006/relationships/hyperlink" Target="https://codes.ohio.gov/ohio-revised-code/section-149.43" TargetMode="External"/><Relationship Id="rId648" Type="http://schemas.openxmlformats.org/officeDocument/2006/relationships/hyperlink" Target="http://www.supremecourt.ohio.gov/rod/docs/pdf/0/2002/2002-Ohio-7041.pdf" TargetMode="External"/><Relationship Id="rId855" Type="http://schemas.openxmlformats.org/officeDocument/2006/relationships/hyperlink" Target="http://www.supremecourt.ohio.gov/rod/docs/pdf/6/2016/2016-Ohio-3084.pdf" TargetMode="External"/><Relationship Id="rId1040" Type="http://schemas.openxmlformats.org/officeDocument/2006/relationships/hyperlink" Target="http://www.supremecourt.ohio.gov/rod/docs/pdf/0/1994/1994-Ohio-80.pdf" TargetMode="External"/><Relationship Id="rId1278" Type="http://schemas.openxmlformats.org/officeDocument/2006/relationships/hyperlink" Target="http://www.supremecourt.ohio.gov/rod/docs/pdf/0/2011/2011-Ohio-625.pdf" TargetMode="External"/><Relationship Id="rId1485" Type="http://schemas.openxmlformats.org/officeDocument/2006/relationships/hyperlink" Target="https://www.supremecourt.ohio.gov/pdf_viewer/pdf_viewer.aspx?pdf=880968.pdf&amp;subdirectory=2020-0248\DocketItems&amp;source=DL_Clerk" TargetMode="External"/><Relationship Id="rId287" Type="http://schemas.openxmlformats.org/officeDocument/2006/relationships/hyperlink" Target="http://www.supremecourt.ohio.gov/rod/docs/pdf/0/1994/1994-Ohio-5.pdf" TargetMode="External"/><Relationship Id="rId410" Type="http://schemas.openxmlformats.org/officeDocument/2006/relationships/hyperlink" Target="https://codes.ohio.gov/ohio-revised-code/section-3705.12" TargetMode="External"/><Relationship Id="rId494" Type="http://schemas.openxmlformats.org/officeDocument/2006/relationships/hyperlink" Target="http://www.supremecourt.ohio.gov/rod/docs/pdf/0/2004/2004-Ohio-1497.pdf" TargetMode="External"/><Relationship Id="rId508" Type="http://schemas.openxmlformats.org/officeDocument/2006/relationships/hyperlink" Target="https://codes.ohio.gov/ohio-revised-code/section-149.43" TargetMode="External"/><Relationship Id="rId715" Type="http://schemas.openxmlformats.org/officeDocument/2006/relationships/hyperlink" Target="http://www.supremecourt.ohio.gov/rod/docs/pdf/0/2000/2000-Ohio-214.pdf" TargetMode="External"/><Relationship Id="rId922" Type="http://schemas.openxmlformats.org/officeDocument/2006/relationships/hyperlink" Target="http://www.supremecourt.ohio.gov/rod/docs/pdf/0/2000/2000-Ohio-8.pdf" TargetMode="External"/><Relationship Id="rId1138" Type="http://schemas.openxmlformats.org/officeDocument/2006/relationships/hyperlink" Target="https://codes.ohio.gov/ohio-revised-code/section-2743.75" TargetMode="External"/><Relationship Id="rId1345" Type="http://schemas.openxmlformats.org/officeDocument/2006/relationships/hyperlink" Target="http://www.supremecourt.ohio.gov/rod/docs/pdf/10/2013/2013-Ohio-2751.pdf" TargetMode="External"/><Relationship Id="rId1552" Type="http://schemas.openxmlformats.org/officeDocument/2006/relationships/hyperlink" Target="https://codes.ohio.gov/ohio-revised-code/section-121.22" TargetMode="External"/><Relationship Id="rId147" Type="http://schemas.openxmlformats.org/officeDocument/2006/relationships/hyperlink" Target="http://www.supremecourt.ohio.gov/rod/docs/pdf/1/2011/2011-Ohio-312.pdf" TargetMode="External"/><Relationship Id="rId354" Type="http://schemas.openxmlformats.org/officeDocument/2006/relationships/hyperlink" Target="https://codes.ohio.gov/ohio-revised-code/section-313.10" TargetMode="External"/><Relationship Id="rId799" Type="http://schemas.openxmlformats.org/officeDocument/2006/relationships/hyperlink" Target="https://codes.ohio.gov/ohio-revised-code/section-5122.01" TargetMode="External"/><Relationship Id="rId1191" Type="http://schemas.openxmlformats.org/officeDocument/2006/relationships/hyperlink" Target="https://codes.ohio.gov/ohio-revised-code/section-149.412" TargetMode="External"/><Relationship Id="rId1205" Type="http://schemas.openxmlformats.org/officeDocument/2006/relationships/hyperlink" Target="https://codes.ohio.gov/ohio-revised-code/section-149.351" TargetMode="External"/><Relationship Id="rId51" Type="http://schemas.openxmlformats.org/officeDocument/2006/relationships/hyperlink" Target="http://www.supremecourt.ohio.gov/rod/docs/pdf/0/1998/1998-Ohio-180.pdf" TargetMode="External"/><Relationship Id="rId561" Type="http://schemas.openxmlformats.org/officeDocument/2006/relationships/hyperlink" Target="https://codes.ohio.gov/ohio-revised-code/section-5101.29" TargetMode="External"/><Relationship Id="rId659" Type="http://schemas.openxmlformats.org/officeDocument/2006/relationships/hyperlink" Target="https://codes.ohio.gov/ohio-revised-code/section-1333.61" TargetMode="External"/><Relationship Id="rId866" Type="http://schemas.openxmlformats.org/officeDocument/2006/relationships/hyperlink" Target="http://www.supremecourt.ohio.gov/rod/docs/pdf/0/2006/2006-Ohio-5858.pdf" TargetMode="External"/><Relationship Id="rId1289" Type="http://schemas.openxmlformats.org/officeDocument/2006/relationships/hyperlink" Target="https://codes.ohio.gov/ohio-revised-code/section-101.15" TargetMode="External"/><Relationship Id="rId1412" Type="http://schemas.openxmlformats.org/officeDocument/2006/relationships/hyperlink" Target="http://www.supremecourt.ohio.gov/rod/docs/pdf/11/2017/2017-Ohio-4237.pdf" TargetMode="External"/><Relationship Id="rId1496" Type="http://schemas.openxmlformats.org/officeDocument/2006/relationships/hyperlink" Target="http://www.supremecourt.ohio.gov/rod/docs/pdf/0/2001/2001-Ohio-130.pdf" TargetMode="External"/><Relationship Id="rId214" Type="http://schemas.openxmlformats.org/officeDocument/2006/relationships/hyperlink" Target="https://www.supremecourt.ohio.gov/rod/docs/pdf/0/2020/2020-ohio-5585.pdf" TargetMode="External"/><Relationship Id="rId298" Type="http://schemas.openxmlformats.org/officeDocument/2006/relationships/hyperlink" Target="https://codes.ohio.gov/ohio-revised-code/section-149.43" TargetMode="External"/><Relationship Id="rId421" Type="http://schemas.openxmlformats.org/officeDocument/2006/relationships/hyperlink" Target="http://www.supremecourt.ohio.gov/rod/docs/pdf/0/2008/2008-Ohio-6197.pdf" TargetMode="External"/><Relationship Id="rId519" Type="http://schemas.openxmlformats.org/officeDocument/2006/relationships/hyperlink" Target="https://codes.ohio.gov/ohio-revised-code/section-149.43" TargetMode="External"/><Relationship Id="rId1051" Type="http://schemas.openxmlformats.org/officeDocument/2006/relationships/hyperlink" Target="https://codes.ohio.gov/ohio-revised-code/section-149.43" TargetMode="External"/><Relationship Id="rId1149" Type="http://schemas.openxmlformats.org/officeDocument/2006/relationships/hyperlink" Target="https://codes.ohio.gov/ohio-revised-code/section-2743.75" TargetMode="External"/><Relationship Id="rId1356" Type="http://schemas.openxmlformats.org/officeDocument/2006/relationships/hyperlink" Target="http://www.supremecourt.ohio.gov/rod/docs/pdf/1/2011/2011-Ohio-703.pdf" TargetMode="External"/><Relationship Id="rId158" Type="http://schemas.openxmlformats.org/officeDocument/2006/relationships/hyperlink" Target="https://codes.ohio.gov/ohio-revised-code/section-1.59" TargetMode="External"/><Relationship Id="rId726" Type="http://schemas.openxmlformats.org/officeDocument/2006/relationships/hyperlink" Target="https://codes.ohio.gov/ohio-revised-code/section-149.43" TargetMode="External"/><Relationship Id="rId933" Type="http://schemas.openxmlformats.org/officeDocument/2006/relationships/hyperlink" Target="https://www.supremecourt.ohio.gov/docs/LegalResources/Rules/superintendence/Superintendence.pdf" TargetMode="External"/><Relationship Id="rId1009" Type="http://schemas.openxmlformats.org/officeDocument/2006/relationships/hyperlink" Target="http://www.supremecourt.ohio.gov/rod/docs/pdf/12/2012/2012-Ohio-3879.pdf" TargetMode="External"/><Relationship Id="rId1563" Type="http://schemas.openxmlformats.org/officeDocument/2006/relationships/hyperlink" Target="https://codes.ohio.gov/ohio-revised-code/section-121.22" TargetMode="External"/><Relationship Id="rId62" Type="http://schemas.openxmlformats.org/officeDocument/2006/relationships/hyperlink" Target="http://www.supremecourt.ohio.gov/rod/docs/pdf/0/2010/2010-Ohio-5680.pdf" TargetMode="External"/><Relationship Id="rId365" Type="http://schemas.openxmlformats.org/officeDocument/2006/relationships/hyperlink" Target="http://www.supremecourt.ohio.gov/rod/docs/pdf/0/1997/1997-Ohio-206.pdf" TargetMode="External"/><Relationship Id="rId572" Type="http://schemas.openxmlformats.org/officeDocument/2006/relationships/hyperlink" Target="http://www.supremecourt.ohio.gov/rod/docs/pdf/0/2016/2016-Ohio-5026.pdf" TargetMode="External"/><Relationship Id="rId1216" Type="http://schemas.openxmlformats.org/officeDocument/2006/relationships/hyperlink" Target="https://das.ohio.gov/static/buying-selling/state-printing-and-mail-services/records-management/RIMS%20Manual.pdf" TargetMode="External"/><Relationship Id="rId1423" Type="http://schemas.openxmlformats.org/officeDocument/2006/relationships/hyperlink" Target="http://www.supremecourt.ohio.gov/rod/docs/pdf/0/2007/2007-Ohio-5542.pdf" TargetMode="External"/><Relationship Id="rId225" Type="http://schemas.openxmlformats.org/officeDocument/2006/relationships/hyperlink" Target="http://www.supremecourt.ohio.gov/rod/docs/pdf/0/2004/2004-Ohio-7108.pdf" TargetMode="External"/><Relationship Id="rId432" Type="http://schemas.openxmlformats.org/officeDocument/2006/relationships/hyperlink" Target="https://codes.ohio.gov/ohio-revised-code/section-5139.05" TargetMode="External"/><Relationship Id="rId877" Type="http://schemas.openxmlformats.org/officeDocument/2006/relationships/hyperlink" Target="http://www.supremecourt.ohio.gov/rod/docs/pdf/0/2006/2006-Ohio-6365.pdf" TargetMode="External"/><Relationship Id="rId1062" Type="http://schemas.openxmlformats.org/officeDocument/2006/relationships/hyperlink" Target="http://www.supremecourt.ohio.gov/rod/docs/pdf/0/1998/1998-Ohio-638.pdf" TargetMode="External"/><Relationship Id="rId737" Type="http://schemas.openxmlformats.org/officeDocument/2006/relationships/hyperlink" Target="https://www.supremecourt.ohio.gov/rod/docs/pdf/0/2016/2016-Ohio-7987.pdf" TargetMode="External"/><Relationship Id="rId944" Type="http://schemas.openxmlformats.org/officeDocument/2006/relationships/hyperlink" Target="https://www.supremecourt.ohio.gov/rod/docs/pdf/0/2022/2022-Ohio-1627.pdf" TargetMode="External"/><Relationship Id="rId1367" Type="http://schemas.openxmlformats.org/officeDocument/2006/relationships/hyperlink" Target="http://www.supremecourt.ohio.gov/rod/docs/pdf/8/2013/2013-Ohio-5585.pdf" TargetMode="External"/><Relationship Id="rId73" Type="http://schemas.openxmlformats.org/officeDocument/2006/relationships/hyperlink" Target="http://www.supremecourt.ohio.gov/rod/docs/pdf/12/2012/2012-Ohio-3879.pdf" TargetMode="External"/><Relationship Id="rId169" Type="http://schemas.openxmlformats.org/officeDocument/2006/relationships/hyperlink" Target="http://www.supremecourt.ohio.gov/rod/docs/pdf/0/2001/2001-Ohio-1895.pdf" TargetMode="External"/><Relationship Id="rId376" Type="http://schemas.openxmlformats.org/officeDocument/2006/relationships/hyperlink" Target="https://www.supremecourt.ohio.gov/rod/docs/pdf/0/2021/2021-Ohio-2724.pdf" TargetMode="External"/><Relationship Id="rId583" Type="http://schemas.openxmlformats.org/officeDocument/2006/relationships/hyperlink" Target="https://codes.ohio.gov/ohio-revised-code/section-149.433" TargetMode="External"/><Relationship Id="rId790" Type="http://schemas.openxmlformats.org/officeDocument/2006/relationships/hyperlink" Target="https://codes.ohio.gov/ohio-revised-code/section-2945.402" TargetMode="External"/><Relationship Id="rId804" Type="http://schemas.openxmlformats.org/officeDocument/2006/relationships/hyperlink" Target="https://codes.ohio.gov/ohio-revised-code/section-2903.11" TargetMode="External"/><Relationship Id="rId1227" Type="http://schemas.openxmlformats.org/officeDocument/2006/relationships/hyperlink" Target="https://codes.ohio.gov/ohio-revised-code/section-149.351" TargetMode="External"/><Relationship Id="rId1434" Type="http://schemas.openxmlformats.org/officeDocument/2006/relationships/hyperlink" Target="https://codes.ohio.gov/ohio-revised-code/section-121.22" TargetMode="External"/><Relationship Id="rId4" Type="http://schemas.openxmlformats.org/officeDocument/2006/relationships/hyperlink" Target="http://www.supremecourt.ohio.gov/rod/docs/pdf/0/2012/2012-Ohio-753.pdf" TargetMode="External"/><Relationship Id="rId236" Type="http://schemas.openxmlformats.org/officeDocument/2006/relationships/hyperlink" Target="https://www.supremecourt.ohio.gov/rod/docs/pdf/0/2021/2021-Ohio-624.pdf" TargetMode="External"/><Relationship Id="rId443" Type="http://schemas.openxmlformats.org/officeDocument/2006/relationships/hyperlink" Target="https://codes.ohio.gov/ohio-revised-code/section-149.43" TargetMode="External"/><Relationship Id="rId650" Type="http://schemas.openxmlformats.org/officeDocument/2006/relationships/hyperlink" Target="http://www.supremecourt.ohio.gov/rod/docs/pdf/0/2003/2003-Ohio-5599.pdf" TargetMode="External"/><Relationship Id="rId888" Type="http://schemas.openxmlformats.org/officeDocument/2006/relationships/hyperlink" Target="http://www.supremecourt.ohio.gov/rod/docs/pdf/0/2003/2003-Ohio-2260.pdf" TargetMode="External"/><Relationship Id="rId1073" Type="http://schemas.openxmlformats.org/officeDocument/2006/relationships/hyperlink" Target="https://www.supremecourt.ohio.gov/rod/docs/pdf/0/2021/2021-Ohio-2724.pdf" TargetMode="External"/><Relationship Id="rId1280" Type="http://schemas.openxmlformats.org/officeDocument/2006/relationships/hyperlink" Target="http://www.supremecourt.ohio.gov/rod/docs/pdf/10/2001/2001-Ohio-8751.pdf" TargetMode="External"/><Relationship Id="rId1501" Type="http://schemas.openxmlformats.org/officeDocument/2006/relationships/hyperlink" Target="https://codes.ohio.gov/ohio-revised-code/section-121.22" TargetMode="External"/><Relationship Id="rId303" Type="http://schemas.openxmlformats.org/officeDocument/2006/relationships/hyperlink" Target="http://www.supremecourt.ohio.gov/rod/docs/pdf/0/1998/1998-Ohio-180.pdf" TargetMode="External"/><Relationship Id="rId748" Type="http://schemas.openxmlformats.org/officeDocument/2006/relationships/hyperlink" Target="https://codes.ohio.gov/ohio-revised-code/section-2151.313" TargetMode="External"/><Relationship Id="rId955" Type="http://schemas.openxmlformats.org/officeDocument/2006/relationships/hyperlink" Target="https://www.supremecourt.ohio.gov/docs/LegalResources/Rules/criminal/CriminalProcedure.pdf" TargetMode="External"/><Relationship Id="rId1140" Type="http://schemas.openxmlformats.org/officeDocument/2006/relationships/hyperlink" Target="https://codes.ohio.gov/ohio-revised-code/section-2743.75" TargetMode="External"/><Relationship Id="rId1378" Type="http://schemas.openxmlformats.org/officeDocument/2006/relationships/hyperlink" Target="http://www.supremecourt.ohio.gov/rod/docs/pdf/11/2013/2013-Ohio-881.pdf" TargetMode="External"/><Relationship Id="rId84" Type="http://schemas.openxmlformats.org/officeDocument/2006/relationships/hyperlink" Target="http://www.supremecourt.ohio.gov/rod/docs/pdf/0/2004/2004-Ohio-4884.pdf" TargetMode="External"/><Relationship Id="rId387" Type="http://schemas.openxmlformats.org/officeDocument/2006/relationships/hyperlink" Target="http://www.supremecourt.ohio.gov/rod/docs/pdf/0/2011/2011-Ohio-6009.pdf" TargetMode="External"/><Relationship Id="rId510" Type="http://schemas.openxmlformats.org/officeDocument/2006/relationships/hyperlink" Target="https://codes.ohio.gov/ohio-revised-code/section-149.45" TargetMode="External"/><Relationship Id="rId594" Type="http://schemas.openxmlformats.org/officeDocument/2006/relationships/hyperlink" Target="https://www.supremecourt.ohio.gov/rod/docs/pdf/13/2018/2018-Ohio-3652.pdf" TargetMode="External"/><Relationship Id="rId608" Type="http://schemas.openxmlformats.org/officeDocument/2006/relationships/hyperlink" Target="http://www.supremecourt.ohio.gov/rod/docs/pdf/0/2013/2013-Ohio-1956.pdf" TargetMode="External"/><Relationship Id="rId815" Type="http://schemas.openxmlformats.org/officeDocument/2006/relationships/hyperlink" Target="https://codes.ohio.gov/ohio-revised-code/section-149.43" TargetMode="External"/><Relationship Id="rId1238" Type="http://schemas.openxmlformats.org/officeDocument/2006/relationships/hyperlink" Target="https://codes.ohio.gov/ohio-revised-code/section-149.351" TargetMode="External"/><Relationship Id="rId1445" Type="http://schemas.openxmlformats.org/officeDocument/2006/relationships/hyperlink" Target="http://www.supremecourt.ohio.gov/rod/docs/pdf/8/2017/2017-Ohio-1038.pdf" TargetMode="External"/><Relationship Id="rId247" Type="http://schemas.openxmlformats.org/officeDocument/2006/relationships/hyperlink" Target="http://www.supremecourt.ohio.gov/rod/docs/pdf/0/2017/2017-Ohio-8988.pdf" TargetMode="External"/><Relationship Id="rId899" Type="http://schemas.openxmlformats.org/officeDocument/2006/relationships/hyperlink" Target="http://www.supremecourt.ohio.gov/rod/docs/pdf/0/1995/1995-Ohio-248.pdf" TargetMode="External"/><Relationship Id="rId1000" Type="http://schemas.openxmlformats.org/officeDocument/2006/relationships/hyperlink" Target="https://codes.ohio.gov/ohio-revised-code/section-1347.15" TargetMode="External"/><Relationship Id="rId1084" Type="http://schemas.openxmlformats.org/officeDocument/2006/relationships/hyperlink" Target="http://www.supremecourt.ohio.gov/rod/docs/pdf/8/2012/2012-Ohio-2396.pdf" TargetMode="External"/><Relationship Id="rId1305" Type="http://schemas.openxmlformats.org/officeDocument/2006/relationships/hyperlink" Target="https://codes.ohio.gov/ohio-revised-code/section-121.22" TargetMode="External"/><Relationship Id="rId107" Type="http://schemas.openxmlformats.org/officeDocument/2006/relationships/hyperlink" Target="http://www.supremecourt.ohio.gov/rod/docs/pdf/0/2013/2013-Ohio-761.pdf" TargetMode="External"/><Relationship Id="rId454" Type="http://schemas.openxmlformats.org/officeDocument/2006/relationships/hyperlink" Target="https://www.ohioattorneygeneral.gov/getattachment/b54a699e-2b9d-4335-b662-6bd586581f04/2000-036.aspx" TargetMode="External"/><Relationship Id="rId661" Type="http://schemas.openxmlformats.org/officeDocument/2006/relationships/hyperlink" Target="https://codes.ohio.gov/ohio-revised-code/section-149.43" TargetMode="External"/><Relationship Id="rId759" Type="http://schemas.openxmlformats.org/officeDocument/2006/relationships/hyperlink" Target="https://codes.ohio.gov/ohio-revised-code/section-109.5721" TargetMode="External"/><Relationship Id="rId966" Type="http://schemas.openxmlformats.org/officeDocument/2006/relationships/hyperlink" Target="http://www.supremecourt.ohio.gov/rod/docs/pdf/0/2015/2015-Ohio-235.pdf" TargetMode="External"/><Relationship Id="rId1291" Type="http://schemas.openxmlformats.org/officeDocument/2006/relationships/hyperlink" Target="https://codes.ohio.gov/ohio-revised-code/section-101.15" TargetMode="External"/><Relationship Id="rId1389" Type="http://schemas.openxmlformats.org/officeDocument/2006/relationships/hyperlink" Target="http://www.supremecourt.ohio.gov/rod/docs/pdf/11/2013/2013-Ohio-881.pdf" TargetMode="External"/><Relationship Id="rId1512" Type="http://schemas.openxmlformats.org/officeDocument/2006/relationships/hyperlink" Target="http://www.supremecourt.ohio.gov/rod/docs/pdf/10/2014/2014-Ohio-3307.pdf" TargetMode="External"/><Relationship Id="rId11" Type="http://schemas.openxmlformats.org/officeDocument/2006/relationships/hyperlink" Target="https://www.supremecourt.ohio.gov/rod/docs/pdf/13/2020/2020-Ohio-5283.pdf" TargetMode="External"/><Relationship Id="rId314" Type="http://schemas.openxmlformats.org/officeDocument/2006/relationships/hyperlink" Target="http://www.supremecourt.ohio.gov/rod/docs/pdf/0/2009/2009-Ohio-4090.pdf" TargetMode="External"/><Relationship Id="rId398" Type="http://schemas.openxmlformats.org/officeDocument/2006/relationships/hyperlink" Target="https://codes.ohio.gov/ohio-revised-code/section-149.43" TargetMode="External"/><Relationship Id="rId521" Type="http://schemas.openxmlformats.org/officeDocument/2006/relationships/hyperlink" Target="https://www.ohioattorneygeneral.gov/getattachment/d9e6b05d-a2bb-4e37-a8a5-0fee9df979ba/1996-034.aspx" TargetMode="External"/><Relationship Id="rId619" Type="http://schemas.openxmlformats.org/officeDocument/2006/relationships/hyperlink" Target="https://codes.ohio.gov/ohio-revised-code/section-149.43" TargetMode="External"/><Relationship Id="rId1151" Type="http://schemas.openxmlformats.org/officeDocument/2006/relationships/hyperlink" Target="https://www.supremecourt.ohio.gov/rod/docs/pdf/0/2020/2020-ohio-5371.pdf" TargetMode="External"/><Relationship Id="rId1249" Type="http://schemas.openxmlformats.org/officeDocument/2006/relationships/hyperlink" Target="https://codes.ohio.gov/ohio-revised-code/section-149.43" TargetMode="External"/><Relationship Id="rId95" Type="http://schemas.openxmlformats.org/officeDocument/2006/relationships/hyperlink" Target="http://www.supremecourt.ohio.gov/rod/docs/pdf/0/1998/1998-Ohio-242.pdf" TargetMode="External"/><Relationship Id="rId160" Type="http://schemas.openxmlformats.org/officeDocument/2006/relationships/hyperlink" Target="http://www.supremecourt.ohio.gov/rod/docs/pdf/0/2001/2001-Ohio-1895.pdf" TargetMode="External"/><Relationship Id="rId826" Type="http://schemas.openxmlformats.org/officeDocument/2006/relationships/hyperlink" Target="https://codes.ohio.gov/ohio-revised-code/section-2930.01" TargetMode="External"/><Relationship Id="rId1011" Type="http://schemas.openxmlformats.org/officeDocument/2006/relationships/hyperlink" Target="http://www.supremecourt.ohio.gov/rod/docs/pdf/1/2005/2005-Ohio-5719.pdf" TargetMode="External"/><Relationship Id="rId1109" Type="http://schemas.openxmlformats.org/officeDocument/2006/relationships/hyperlink" Target="http://www.supremecourt.ohio.gov/rod/docs/pdf/0/2008/2008-Ohio-6253.pdf" TargetMode="External"/><Relationship Id="rId1456" Type="http://schemas.openxmlformats.org/officeDocument/2006/relationships/hyperlink" Target="https://codes.ohio.gov/ohio-revised-code/section-121.22" TargetMode="External"/><Relationship Id="rId258" Type="http://schemas.openxmlformats.org/officeDocument/2006/relationships/hyperlink" Target="https://codes.ohio.gov/ohio-revised-code/section-149.43" TargetMode="External"/><Relationship Id="rId465" Type="http://schemas.openxmlformats.org/officeDocument/2006/relationships/hyperlink" Target="https://codes.ohio.gov/ohio-revised-code/section-149.43" TargetMode="External"/><Relationship Id="rId672" Type="http://schemas.openxmlformats.org/officeDocument/2006/relationships/hyperlink" Target="https://codes.ohio.gov/ohio-revised-code/section-5120.21" TargetMode="External"/><Relationship Id="rId1095" Type="http://schemas.openxmlformats.org/officeDocument/2006/relationships/hyperlink" Target="https://www.supremecourt.ohio.gov/rod/docs/pdf/0/2023/2023-Ohio-3382.pdf" TargetMode="External"/><Relationship Id="rId1316" Type="http://schemas.openxmlformats.org/officeDocument/2006/relationships/hyperlink" Target="https://codes.ohio.gov/ohio-revised-code/section-4755.47" TargetMode="External"/><Relationship Id="rId1523" Type="http://schemas.openxmlformats.org/officeDocument/2006/relationships/hyperlink" Target="http://www.supremecourt.ohio.gov/rod/docs/pdf/11/2010/2010-Ohio-2282.pdf" TargetMode="External"/><Relationship Id="rId22" Type="http://schemas.openxmlformats.org/officeDocument/2006/relationships/hyperlink" Target="http://www.supremecourt.ohio.gov/rod/docs/pdf/0/2000/2000-Ohio-345.pdf" TargetMode="External"/><Relationship Id="rId118" Type="http://schemas.openxmlformats.org/officeDocument/2006/relationships/hyperlink" Target="https://www.supremecourt.ohio.gov/rod/docs/pdf/0/2023/2023-Ohio-2667.pdf" TargetMode="External"/><Relationship Id="rId325" Type="http://schemas.openxmlformats.org/officeDocument/2006/relationships/hyperlink" Target="https://codes.ohio.gov/ohio-revised-code/section-149.433" TargetMode="External"/><Relationship Id="rId532" Type="http://schemas.openxmlformats.org/officeDocument/2006/relationships/hyperlink" Target="https://codes.ohio.gov/ohio-revised-code/section-718.13" TargetMode="External"/><Relationship Id="rId977" Type="http://schemas.openxmlformats.org/officeDocument/2006/relationships/hyperlink" Target="https://www.supremecourt.ohio.gov/rod/docs/pdf/0/2022/2022-ohio-3580.pdf" TargetMode="External"/><Relationship Id="rId1162" Type="http://schemas.openxmlformats.org/officeDocument/2006/relationships/hyperlink" Target="https://codes.ohio.gov/ohio-revised-code/section-2743.75" TargetMode="External"/><Relationship Id="rId171" Type="http://schemas.openxmlformats.org/officeDocument/2006/relationships/hyperlink" Target="http://www.supremecourt.ohio.gov/rod/docs/pdf/6/2009/2009-Ohio-520.pdf" TargetMode="External"/><Relationship Id="rId837" Type="http://schemas.openxmlformats.org/officeDocument/2006/relationships/hyperlink" Target="https://codes.ohio.gov/ohio-revised-code/section-2930.04" TargetMode="External"/><Relationship Id="rId1022" Type="http://schemas.openxmlformats.org/officeDocument/2006/relationships/hyperlink" Target="http://www.supremecourt.ohio.gov/rod/docs/pdf/0/2003/2003-Ohio-2181.pdf" TargetMode="External"/><Relationship Id="rId1467" Type="http://schemas.openxmlformats.org/officeDocument/2006/relationships/hyperlink" Target="http://www.supremecourt.ohio.gov/rod/docs/pdf/3/2014/2014-Ohio-2717.pdf" TargetMode="External"/><Relationship Id="rId269" Type="http://schemas.openxmlformats.org/officeDocument/2006/relationships/hyperlink" Target="https://www.supremecourt.ohio.gov/rod/docs/pdf/0/2021/2021-Ohio-624.pdf" TargetMode="External"/><Relationship Id="rId476" Type="http://schemas.openxmlformats.org/officeDocument/2006/relationships/hyperlink" Target="https://codes.ohio.gov/ohio-revised-code/section-149.43" TargetMode="External"/><Relationship Id="rId683" Type="http://schemas.openxmlformats.org/officeDocument/2006/relationships/hyperlink" Target="http://www.supremecourt.ohio.gov/rod/docs/pdf/0/2006/2006-Ohio-6365.pdf" TargetMode="External"/><Relationship Id="rId890" Type="http://schemas.openxmlformats.org/officeDocument/2006/relationships/hyperlink" Target="http://www.supremecourt.ohio.gov/rod/docs/pdf/0/1995/1995-Ohio-248.pdf" TargetMode="External"/><Relationship Id="rId904" Type="http://schemas.openxmlformats.org/officeDocument/2006/relationships/hyperlink" Target="https://codes.ohio.gov/ohio-revised-code/section-149.43" TargetMode="External"/><Relationship Id="rId1327" Type="http://schemas.openxmlformats.org/officeDocument/2006/relationships/hyperlink" Target="http://www.supremecourt.ohio.gov/rod/docs/pdf/0/2001/2001-Ohio-130.pdf" TargetMode="External"/><Relationship Id="rId1534" Type="http://schemas.openxmlformats.org/officeDocument/2006/relationships/hyperlink" Target="https://www.supremecourt.ohio.gov/rod/docs/pdf/7/2016/2016-Ohio-4663.pdf" TargetMode="External"/><Relationship Id="rId33" Type="http://schemas.openxmlformats.org/officeDocument/2006/relationships/hyperlink" Target="https://www.supremecourt.ohio.gov/rod/docs/pdf/5/2017/2017-Ohio-5564.pdf" TargetMode="External"/><Relationship Id="rId129" Type="http://schemas.openxmlformats.org/officeDocument/2006/relationships/hyperlink" Target="https://www.ohioattorneygeneral.gov/getattachment/fa61b444-5e38-49ab-8534-45f06549e1fa/1995-001.aspx" TargetMode="External"/><Relationship Id="rId336" Type="http://schemas.openxmlformats.org/officeDocument/2006/relationships/hyperlink" Target="https://codes.ohio.gov/ohio-revised-code/section-3319.321" TargetMode="External"/><Relationship Id="rId543" Type="http://schemas.openxmlformats.org/officeDocument/2006/relationships/hyperlink" Target="https://www.ohioattorneygeneral.gov/getattachment/89493001-4548-4b80-b371-a872e6b348d9/1990-101.aspx" TargetMode="External"/><Relationship Id="rId988" Type="http://schemas.openxmlformats.org/officeDocument/2006/relationships/hyperlink" Target="https://codes.ohio.gov/ohio-revised-code/section-1347.04" TargetMode="External"/><Relationship Id="rId1173" Type="http://schemas.openxmlformats.org/officeDocument/2006/relationships/hyperlink" Target="https://codes.ohio.gov/ohio-revised-code/section-149.43" TargetMode="External"/><Relationship Id="rId1380" Type="http://schemas.openxmlformats.org/officeDocument/2006/relationships/hyperlink" Target="https://www.ohioattorneygeneral.gov/getattachment/a110cfd0-4bb0-4cac-89fb-d4032e047c27/1992-032.aspx" TargetMode="External"/><Relationship Id="rId182" Type="http://schemas.openxmlformats.org/officeDocument/2006/relationships/hyperlink" Target="http://www.supremecourt.ohio.gov/rod/docs/pdf/0/2011/2011-Ohio-3093.pdf" TargetMode="External"/><Relationship Id="rId403" Type="http://schemas.openxmlformats.org/officeDocument/2006/relationships/hyperlink" Target="https://codes.ohio.gov/ohio-revised-code/section-149.43" TargetMode="External"/><Relationship Id="rId750" Type="http://schemas.openxmlformats.org/officeDocument/2006/relationships/hyperlink" Target="https://codes.ohio.gov/ohio-revised-code/section-2151.421" TargetMode="External"/><Relationship Id="rId848" Type="http://schemas.openxmlformats.org/officeDocument/2006/relationships/hyperlink" Target="https://codes.ohio.gov/ohio-revised-code/section-2930.07" TargetMode="External"/><Relationship Id="rId1033" Type="http://schemas.openxmlformats.org/officeDocument/2006/relationships/hyperlink" Target="http://www.supremecourt.ohio.gov/rod/docs/pdf/0/2007/2007-Ohio-609.pdf" TargetMode="External"/><Relationship Id="rId1478" Type="http://schemas.openxmlformats.org/officeDocument/2006/relationships/hyperlink" Target="http://www.supremecourt.ohio.gov/rod/docs/pdf/5/2013/2013-Ohio-2295.pdf" TargetMode="External"/><Relationship Id="rId487" Type="http://schemas.openxmlformats.org/officeDocument/2006/relationships/hyperlink" Target="https://codes.ohio.gov/ohio-revised-code/section-149.433" TargetMode="External"/><Relationship Id="rId610" Type="http://schemas.openxmlformats.org/officeDocument/2006/relationships/hyperlink" Target="http://www.supremecourt.ohio.gov/rod/docs/pdf/0/2013/2013-Ohio-1956.pdf" TargetMode="External"/><Relationship Id="rId694" Type="http://schemas.openxmlformats.org/officeDocument/2006/relationships/hyperlink" Target="http://www.supremecourt.ohio.gov/rod/docs/pdf/0/2010/2010-Ohio-3288.pdf" TargetMode="External"/><Relationship Id="rId708" Type="http://schemas.openxmlformats.org/officeDocument/2006/relationships/hyperlink" Target="https://codes.ohio.gov/ohio-revised-code/section-149.43" TargetMode="External"/><Relationship Id="rId915" Type="http://schemas.openxmlformats.org/officeDocument/2006/relationships/hyperlink" Target="https://codes.ohio.gov/ohio-revised-code/section-149.45" TargetMode="External"/><Relationship Id="rId1240" Type="http://schemas.openxmlformats.org/officeDocument/2006/relationships/hyperlink" Target="http://www.supremecourt.ohio.gov/rod/docs/pdf/5/2008/2008-Ohio-5011.pdf" TargetMode="External"/><Relationship Id="rId1338" Type="http://schemas.openxmlformats.org/officeDocument/2006/relationships/hyperlink" Target="https://codes.ohio.gov/ohio-revised-code/section-5123.35" TargetMode="External"/><Relationship Id="rId1545" Type="http://schemas.openxmlformats.org/officeDocument/2006/relationships/hyperlink" Target="https://codes.ohio.gov/ohio-revised-code/section-121.22" TargetMode="External"/><Relationship Id="rId347" Type="http://schemas.openxmlformats.org/officeDocument/2006/relationships/hyperlink" Target="https://codes.ohio.gov/ohio-revised-code/section-149.43" TargetMode="External"/><Relationship Id="rId999" Type="http://schemas.openxmlformats.org/officeDocument/2006/relationships/hyperlink" Target="https://codes.ohio.gov/ohio-revised-code/section-1347.15" TargetMode="External"/><Relationship Id="rId1100" Type="http://schemas.openxmlformats.org/officeDocument/2006/relationships/hyperlink" Target="http://www.supremecourt.ohio.gov/rod/docs/pdf/0/2018/2018-Ohio-5111.pdf" TargetMode="External"/><Relationship Id="rId1184" Type="http://schemas.openxmlformats.org/officeDocument/2006/relationships/hyperlink" Target="https://codes.ohio.gov/ohio-revised-code/section-149.40" TargetMode="External"/><Relationship Id="rId1405" Type="http://schemas.openxmlformats.org/officeDocument/2006/relationships/hyperlink" Target="https://www.ohioattorneygeneral.gov/getattachment/e70cfc3a-dea6-4a50-9ae5-1ec32256de85/1988-029.aspx" TargetMode="External"/><Relationship Id="rId44" Type="http://schemas.openxmlformats.org/officeDocument/2006/relationships/hyperlink" Target="https://portal-ohcoc.tylertech.cloud/Portal/DocumentViewer/Index/379F0EE7871C2EA782454332121AC616A5EDF6F045B60654F30B0C45DF47A87E2B487DBB6C7081464796553239236821BE7A836972986DD5AE8406934FCFEE67A30E04E75FCFCF72406602B7E7F04C5F?caseNum=2018-01426PQ&amp;docType=Unsecured%20Document&amp;docName=REPORT%20AND%20RECOMMENDATION%20OF%20SPECIAL%20MASTER&amp;eventName=REPORT%20AND%20RECOMMENDATION%20OF%20SPECIAL%20MASTER&amp;docTypeId=5&amp;isVersionId=False&amp;p=0" TargetMode="External"/><Relationship Id="rId554" Type="http://schemas.openxmlformats.org/officeDocument/2006/relationships/hyperlink" Target="http://www.supremecourt.ohio.gov/rod/docs/pdf/8/2005/2005-Ohio-5453.pdf" TargetMode="External"/><Relationship Id="rId761" Type="http://schemas.openxmlformats.org/officeDocument/2006/relationships/hyperlink" Target="https://codes.ohio.gov/ohio-revised-code/section-3319.39" TargetMode="External"/><Relationship Id="rId859" Type="http://schemas.openxmlformats.org/officeDocument/2006/relationships/hyperlink" Target="https://www.supremecourt.ohio.gov/rod/docs/pdf/0/2020/2020-ohio-5585.pdf" TargetMode="External"/><Relationship Id="rId1391" Type="http://schemas.openxmlformats.org/officeDocument/2006/relationships/hyperlink" Target="http://www.supremecourt.ohio.gov/rod/docs/pdf/4/2005/2005-Ohio-2869.pdf" TargetMode="External"/><Relationship Id="rId1489" Type="http://schemas.openxmlformats.org/officeDocument/2006/relationships/hyperlink" Target="https://codes.ohio.gov/ohio-revised-code/section-121.22" TargetMode="External"/><Relationship Id="rId193" Type="http://schemas.openxmlformats.org/officeDocument/2006/relationships/hyperlink" Target="http://www.supremecourt.ohio.gov/rod/docs/pdf/0/1999/1999-Ohio-447.pdf" TargetMode="External"/><Relationship Id="rId207" Type="http://schemas.openxmlformats.org/officeDocument/2006/relationships/hyperlink" Target="http://www.supremecourt.ohio.gov/rod/docs/pdf/13/2018/2018-Ohio-4592.pdf" TargetMode="External"/><Relationship Id="rId414" Type="http://schemas.openxmlformats.org/officeDocument/2006/relationships/hyperlink" Target="https://codes.ohio.gov/ohio-revised-code/section-3111.69" TargetMode="External"/><Relationship Id="rId498" Type="http://schemas.openxmlformats.org/officeDocument/2006/relationships/hyperlink" Target="https://www.supremecourt.ohio.gov/rod/docs/pdf/13/2021/2021-Ohio-4438.pdf" TargetMode="External"/><Relationship Id="rId621" Type="http://schemas.openxmlformats.org/officeDocument/2006/relationships/hyperlink" Target="http://www.supremecourt.ohio.gov/rod/docs/pdf/0/2008/2008-Ohio-6197.pdf" TargetMode="External"/><Relationship Id="rId1044" Type="http://schemas.openxmlformats.org/officeDocument/2006/relationships/hyperlink" Target="http://www.supremecourt.ohio.gov/rod/docs/pdf/0/2016/2016-Ohio-5725.pdf" TargetMode="External"/><Relationship Id="rId1251" Type="http://schemas.openxmlformats.org/officeDocument/2006/relationships/hyperlink" Target="https://www.ohioattorneygeneral.gov/Files/Government-Entities/Model-Public-Records-Policy.aspx" TargetMode="External"/><Relationship Id="rId1349" Type="http://schemas.openxmlformats.org/officeDocument/2006/relationships/hyperlink" Target="http://www.supremecourt.ohio.gov/rod/docs/pdf/4/2005/2005-Ohio-2868.pdf" TargetMode="External"/><Relationship Id="rId260" Type="http://schemas.openxmlformats.org/officeDocument/2006/relationships/hyperlink" Target="https://codes.ohio.gov/ohio-revised-code/section-149.43" TargetMode="External"/><Relationship Id="rId719" Type="http://schemas.openxmlformats.org/officeDocument/2006/relationships/hyperlink" Target="http://www.supremecourt.ohio.gov/rod/docs/pdf/0/2001/2001-Ohio-282.pdf" TargetMode="External"/><Relationship Id="rId926" Type="http://schemas.openxmlformats.org/officeDocument/2006/relationships/hyperlink" Target="https://www.supremecourt.ohio.gov/docs/LegalResources/Rules/superintendence/Superintendence.pdf" TargetMode="External"/><Relationship Id="rId1111" Type="http://schemas.openxmlformats.org/officeDocument/2006/relationships/hyperlink" Target="http://www.supremecourt.ohio.gov/rod/docs/pdf/0/2015/2015-Ohio-4915.pdf" TargetMode="External"/><Relationship Id="rId1556" Type="http://schemas.openxmlformats.org/officeDocument/2006/relationships/hyperlink" Target="http://www.supremecourt.ohio.gov/rod/docs/pdf/5/2013/2013-Ohio-2295.pdf" TargetMode="External"/><Relationship Id="rId55" Type="http://schemas.openxmlformats.org/officeDocument/2006/relationships/hyperlink" Target="http://www.supremecourt.ohio.gov/rod/docs/pdf/0/1998/1998-Ohio-180.pdf" TargetMode="External"/><Relationship Id="rId120" Type="http://schemas.openxmlformats.org/officeDocument/2006/relationships/hyperlink" Target="https://codes.ohio.gov/ohio-revised-code/section-187.03" TargetMode="External"/><Relationship Id="rId358" Type="http://schemas.openxmlformats.org/officeDocument/2006/relationships/hyperlink" Target="http://www.supremecourt.ohio.gov/rod/docs/pdf/0/2004/2004-Ohio-6557.pdf" TargetMode="External"/><Relationship Id="rId565" Type="http://schemas.openxmlformats.org/officeDocument/2006/relationships/hyperlink" Target="http://www.supremecourt.ohio.gov/rod/docs/pdf/0/2012/2012-Ohio-2690.pdf" TargetMode="External"/><Relationship Id="rId772" Type="http://schemas.openxmlformats.org/officeDocument/2006/relationships/hyperlink" Target="http://www.supremecourt.ohio.gov/rod/docs/pdf/0/1995/1995-Ohio-248.pdf" TargetMode="External"/><Relationship Id="rId1195" Type="http://schemas.openxmlformats.org/officeDocument/2006/relationships/hyperlink" Target="https://codes.ohio.gov/ohio-revised-code/section-149.381" TargetMode="External"/><Relationship Id="rId1209" Type="http://schemas.openxmlformats.org/officeDocument/2006/relationships/hyperlink" Target="https://codes.ohio.gov/ohio-revised-code/section-149.31" TargetMode="External"/><Relationship Id="rId1416" Type="http://schemas.openxmlformats.org/officeDocument/2006/relationships/hyperlink" Target="https://codes.ohio.gov/ohio-revised-code/section-121.22" TargetMode="External"/><Relationship Id="rId218" Type="http://schemas.openxmlformats.org/officeDocument/2006/relationships/hyperlink" Target="https://www.supremecourt.ohio.gov/rod/docs/pdf/13/2022/2022-Ohio-2661.pdf" TargetMode="External"/><Relationship Id="rId425" Type="http://schemas.openxmlformats.org/officeDocument/2006/relationships/hyperlink" Target="http://www.supremecourt.ohio.gov/rod/docs/pdf/8/2015/2015-Ohio-5139.pdf" TargetMode="External"/><Relationship Id="rId632" Type="http://schemas.openxmlformats.org/officeDocument/2006/relationships/hyperlink" Target="http://www.supremecourt.ohio.gov/rod/docs/pdf/1/2008/2008-Ohio-152.pdf" TargetMode="External"/><Relationship Id="rId1055" Type="http://schemas.openxmlformats.org/officeDocument/2006/relationships/hyperlink" Target="https://codes.ohio.gov/ohio-revised-code/section-149.43" TargetMode="External"/><Relationship Id="rId1262" Type="http://schemas.openxmlformats.org/officeDocument/2006/relationships/hyperlink" Target="https://codes.ohio.gov/ohio-revised-code/section-109.43" TargetMode="External"/><Relationship Id="rId271" Type="http://schemas.openxmlformats.org/officeDocument/2006/relationships/hyperlink" Target="https://codes.ohio.gov/ohio-revised-code/section-149.43" TargetMode="External"/><Relationship Id="rId937" Type="http://schemas.openxmlformats.org/officeDocument/2006/relationships/hyperlink" Target="https://www.supremecourt.ohio.gov/docs/LegalResources/Rules/superintendence/Superintendence.pdf" TargetMode="External"/><Relationship Id="rId1122" Type="http://schemas.openxmlformats.org/officeDocument/2006/relationships/hyperlink" Target="https://codes.ohio.gov/ohio-revised-code/section-2743.75" TargetMode="External"/><Relationship Id="rId1567" Type="http://schemas.openxmlformats.org/officeDocument/2006/relationships/hyperlink" Target="http://www.supremecourt.ohio.gov/rod/docs/pdf/5/2013/2013-Ohio-2295.pdf" TargetMode="External"/><Relationship Id="rId66" Type="http://schemas.openxmlformats.org/officeDocument/2006/relationships/hyperlink" Target="http://www.supremecourt.ohio.gov/rod/docs/pdf/4/2011/2011-Ohio-2228.pdf" TargetMode="External"/><Relationship Id="rId131" Type="http://schemas.openxmlformats.org/officeDocument/2006/relationships/hyperlink" Target="http://www.supremecourt.ohio.gov/rod/docs/pdf/0/2006/2006-Ohio-6713.pdf" TargetMode="External"/><Relationship Id="rId369" Type="http://schemas.openxmlformats.org/officeDocument/2006/relationships/hyperlink" Target="http://www.supremecourt.ohio.gov/rod/docs/pdf/0/2004/2004-Ohio-1497.pdf" TargetMode="External"/><Relationship Id="rId576" Type="http://schemas.openxmlformats.org/officeDocument/2006/relationships/hyperlink" Target="https://www.supremecourt.ohio.gov/rod/docs/pdf/0/2020/2020-Ohio-4268.pdf" TargetMode="External"/><Relationship Id="rId783" Type="http://schemas.openxmlformats.org/officeDocument/2006/relationships/hyperlink" Target="https://codes.ohio.gov/ohio-revised-code/section-149.43" TargetMode="External"/><Relationship Id="rId990" Type="http://schemas.openxmlformats.org/officeDocument/2006/relationships/hyperlink" Target="https://codes.ohio.gov/ohio-revised-code/section-1347.04" TargetMode="External"/><Relationship Id="rId1427" Type="http://schemas.openxmlformats.org/officeDocument/2006/relationships/hyperlink" Target="http://www.supremecourt.ohio.gov/rod/docs/pdf/8/2018/2018-Ohio-497.pdf" TargetMode="External"/><Relationship Id="rId229" Type="http://schemas.openxmlformats.org/officeDocument/2006/relationships/hyperlink" Target="https://codes.ohio.gov/ohio-revised-code/section-149.43" TargetMode="External"/><Relationship Id="rId436" Type="http://schemas.openxmlformats.org/officeDocument/2006/relationships/hyperlink" Target="http://www.supremecourt.ohio.gov/rod/docs/pdf/0/2006/2006-Ohio-903.pdf" TargetMode="External"/><Relationship Id="rId643" Type="http://schemas.openxmlformats.org/officeDocument/2006/relationships/hyperlink" Target="http://www.supremecourt.ohio.gov/rod/docs/pdf/0/1993/1993-Ohio-77.pdf" TargetMode="External"/><Relationship Id="rId1066" Type="http://schemas.openxmlformats.org/officeDocument/2006/relationships/hyperlink" Target="http://www.supremecourt.ohio.gov/rod/docs/pdf/0/2009/2009-Ohio-4942.pdf" TargetMode="External"/><Relationship Id="rId1273" Type="http://schemas.openxmlformats.org/officeDocument/2006/relationships/hyperlink" Target="https://codes.ohio.gov/ohio-revised-code/section-121.22" TargetMode="External"/><Relationship Id="rId1480" Type="http://schemas.openxmlformats.org/officeDocument/2006/relationships/hyperlink" Target="http://www.supremecourt.ohio.gov/rod/docs/pdf/10/2009/2009-Ohio-6993.pdf" TargetMode="External"/><Relationship Id="rId850" Type="http://schemas.openxmlformats.org/officeDocument/2006/relationships/hyperlink" Target="https://codes.ohio.gov/ohio-revised-code/section-2930.07" TargetMode="External"/><Relationship Id="rId948" Type="http://schemas.openxmlformats.org/officeDocument/2006/relationships/hyperlink" Target="https://www.supremecourt.ohio.gov/rod/docs/pdf/0/2020/2020-Ohio-2766.pdf" TargetMode="External"/><Relationship Id="rId1133" Type="http://schemas.openxmlformats.org/officeDocument/2006/relationships/hyperlink" Target="https://codes.ohio.gov/ohio-revised-code/section-2743.75" TargetMode="External"/><Relationship Id="rId77" Type="http://schemas.openxmlformats.org/officeDocument/2006/relationships/hyperlink" Target="http://www.supremecourt.ohio.gov/rod/docs/pdf/12/2015/2015-Ohio-2009.pdf" TargetMode="External"/><Relationship Id="rId282" Type="http://schemas.openxmlformats.org/officeDocument/2006/relationships/hyperlink" Target="https://www.supremecourt.ohio.gov/rod/docs/pdf/0/2021/2021-Ohio-624.pdf" TargetMode="External"/><Relationship Id="rId503" Type="http://schemas.openxmlformats.org/officeDocument/2006/relationships/hyperlink" Target="https://codes.ohio.gov/ohio-revised-code/section-149.45" TargetMode="External"/><Relationship Id="rId587" Type="http://schemas.openxmlformats.org/officeDocument/2006/relationships/hyperlink" Target="https://codes.ohio.gov/ohio-revised-code/section-149.433" TargetMode="External"/><Relationship Id="rId710" Type="http://schemas.openxmlformats.org/officeDocument/2006/relationships/hyperlink" Target="https://www.supremecourt.ohio.gov/rod/docs/pdf/0/2016/2016-Ohio-7987.pdf" TargetMode="External"/><Relationship Id="rId808" Type="http://schemas.openxmlformats.org/officeDocument/2006/relationships/hyperlink" Target="https://codes.ohio.gov/ohio-revised-code/section-149.43" TargetMode="External"/><Relationship Id="rId1340" Type="http://schemas.openxmlformats.org/officeDocument/2006/relationships/hyperlink" Target="https://codes.ohio.gov/ohio-revised-code/section-6133.041" TargetMode="External"/><Relationship Id="rId1438" Type="http://schemas.openxmlformats.org/officeDocument/2006/relationships/hyperlink" Target="https://www.ohioattorneygeneral.gov/getattachment/55d766de-c867-4ebc-b145-5b5298a7bdd7/2008-019.aspx" TargetMode="External"/><Relationship Id="rId8" Type="http://schemas.openxmlformats.org/officeDocument/2006/relationships/hyperlink" Target="https://www.supremecourt.ohio.gov/rod/docs/pdf/13/2019/2019-Ohio-1613.pdf" TargetMode="External"/><Relationship Id="rId142" Type="http://schemas.openxmlformats.org/officeDocument/2006/relationships/hyperlink" Target="http://www.supremecourt.ohio.gov/rod/docs/pdf/0/2006/2006-Ohio-4854.pdf" TargetMode="External"/><Relationship Id="rId447" Type="http://schemas.openxmlformats.org/officeDocument/2006/relationships/hyperlink" Target="https://codes.ohio.gov/ohio-revised-code/section-149.43" TargetMode="External"/><Relationship Id="rId794" Type="http://schemas.openxmlformats.org/officeDocument/2006/relationships/hyperlink" Target="https://codes.ohio.gov/ohio-revised-code/section-2945.38" TargetMode="External"/><Relationship Id="rId1077" Type="http://schemas.openxmlformats.org/officeDocument/2006/relationships/hyperlink" Target="http://www.supremecourt.ohio.gov/rod/docs/pdf/0/2004/2004-Ohio-6557.pdf" TargetMode="External"/><Relationship Id="rId1200" Type="http://schemas.openxmlformats.org/officeDocument/2006/relationships/hyperlink" Target="https://codes.ohio.gov/ohio-revised-code/section-149.331" TargetMode="External"/><Relationship Id="rId654" Type="http://schemas.openxmlformats.org/officeDocument/2006/relationships/hyperlink" Target="http://www.supremecourt.ohio.gov/rod/docs/pdf/0/2000/2000-Ohio-475.pdf" TargetMode="External"/><Relationship Id="rId861" Type="http://schemas.openxmlformats.org/officeDocument/2006/relationships/hyperlink" Target="http://www.supremecourt.ohio.gov/rod/docs/pdf/0/2017/2017-Ohio-9241.pdf" TargetMode="External"/><Relationship Id="rId959" Type="http://schemas.openxmlformats.org/officeDocument/2006/relationships/hyperlink" Target="http://www.supremecourt.ohio.gov/rod/docs/pdf/0/2004/2004-Ohio-1581.pdf" TargetMode="External"/><Relationship Id="rId1284" Type="http://schemas.openxmlformats.org/officeDocument/2006/relationships/hyperlink" Target="http://www.supremecourt.ohio.gov/rod/docs/pdf/10/2001/2001-Ohio-8751.pdf" TargetMode="External"/><Relationship Id="rId1491" Type="http://schemas.openxmlformats.org/officeDocument/2006/relationships/hyperlink" Target="https://codes.ohio.gov/ohio-revised-code/section-121.22" TargetMode="External"/><Relationship Id="rId1505" Type="http://schemas.openxmlformats.org/officeDocument/2006/relationships/hyperlink" Target="https://codes.ohio.gov/ohio-revised-code/section-121.22" TargetMode="External"/><Relationship Id="rId293" Type="http://schemas.openxmlformats.org/officeDocument/2006/relationships/hyperlink" Target="http://www.supremecourt.ohio.gov/rod/docs/pdf/0/2004/2004-Ohio-4354.pdf" TargetMode="External"/><Relationship Id="rId307" Type="http://schemas.openxmlformats.org/officeDocument/2006/relationships/hyperlink" Target="https://codes.ohio.gov/ohio-revised-code/section-149.43" TargetMode="External"/><Relationship Id="rId514" Type="http://schemas.openxmlformats.org/officeDocument/2006/relationships/hyperlink" Target="https://codes.ohio.gov/ohio-revised-code/section-319.28" TargetMode="External"/><Relationship Id="rId721" Type="http://schemas.openxmlformats.org/officeDocument/2006/relationships/hyperlink" Target="https://www.supremecourt.ohio.gov/rod/docs/pdf/0/2022/2022-ohio-1915.pdf" TargetMode="External"/><Relationship Id="rId1144" Type="http://schemas.openxmlformats.org/officeDocument/2006/relationships/hyperlink" Target="https://codes.ohio.gov/ohio-revised-code/section-2743.75" TargetMode="External"/><Relationship Id="rId1351" Type="http://schemas.openxmlformats.org/officeDocument/2006/relationships/hyperlink" Target="https://www.supremecourt.ohio.gov/rod/docs/pdf/1/2022/2022-Ohio-1109.pdf" TargetMode="External"/><Relationship Id="rId1449" Type="http://schemas.openxmlformats.org/officeDocument/2006/relationships/hyperlink" Target="https://codes.ohio.gov/ohio-revised-code/section-121.22" TargetMode="External"/><Relationship Id="rId88" Type="http://schemas.openxmlformats.org/officeDocument/2006/relationships/hyperlink" Target="http://www.supremecourt.ohio.gov/rod/docs/pdf/0/2006/2006-Ohio-1244.pdf" TargetMode="External"/><Relationship Id="rId153" Type="http://schemas.openxmlformats.org/officeDocument/2006/relationships/hyperlink" Target="https://www.supremecourt.ohio.gov/rod/docs/pdf/0/2021/2021-Ohio-1176.pdf" TargetMode="External"/><Relationship Id="rId360" Type="http://schemas.openxmlformats.org/officeDocument/2006/relationships/hyperlink" Target="https://www.ohioattorneygeneral.gov/getattachment/b54a699e-2b9d-4335-b662-6bd586581f04/2000-036.aspx" TargetMode="External"/><Relationship Id="rId598" Type="http://schemas.openxmlformats.org/officeDocument/2006/relationships/hyperlink" Target="http://www.supremecourt.ohio.gov/rod/docs/pdf/0/2009/2009-Ohio-1767.pdf" TargetMode="External"/><Relationship Id="rId819" Type="http://schemas.openxmlformats.org/officeDocument/2006/relationships/hyperlink" Target="https://codes.ohio.gov/ohio-revised-code/section-149.45" TargetMode="External"/><Relationship Id="rId1004" Type="http://schemas.openxmlformats.org/officeDocument/2006/relationships/hyperlink" Target="https://codes.ohio.gov/ohio-revised-code/section-1347.10" TargetMode="External"/><Relationship Id="rId1211" Type="http://schemas.openxmlformats.org/officeDocument/2006/relationships/hyperlink" Target="http://www.supremecourt.ohio.gov/rod/docs/pdf/0/2008/2008-Ohio-4788.pdf" TargetMode="External"/><Relationship Id="rId220" Type="http://schemas.openxmlformats.org/officeDocument/2006/relationships/hyperlink" Target="http://www.supremecourt.ohio.gov/rod/docs/pdf/0/2012/2012-Ohio-4228.pdf" TargetMode="External"/><Relationship Id="rId458" Type="http://schemas.openxmlformats.org/officeDocument/2006/relationships/hyperlink" Target="https://codes.ohio.gov/ohio-revised-code/section-149.43" TargetMode="External"/><Relationship Id="rId665" Type="http://schemas.openxmlformats.org/officeDocument/2006/relationships/hyperlink" Target="http://www.supremecourt.ohio.gov/rod/docs/pdf/0/2013/2013-Ohio-1532.pdf" TargetMode="External"/><Relationship Id="rId872" Type="http://schemas.openxmlformats.org/officeDocument/2006/relationships/hyperlink" Target="https://www.supremecourt.ohio.gov/rod/docs/pdf/0/2023/2023-Ohio-759.pdf" TargetMode="External"/><Relationship Id="rId1088" Type="http://schemas.openxmlformats.org/officeDocument/2006/relationships/hyperlink" Target="http://www.supremecourt.ohio.gov/rod/docs/pdf/0/2016/2016-Ohio-8394.pdf" TargetMode="External"/><Relationship Id="rId1295" Type="http://schemas.openxmlformats.org/officeDocument/2006/relationships/hyperlink" Target="https://codes.ohio.gov/ohio-revised-code/section-121.22" TargetMode="External"/><Relationship Id="rId1309" Type="http://schemas.openxmlformats.org/officeDocument/2006/relationships/hyperlink" Target="https://codes.ohio.gov/ohio-revised-code/section-3719.121" TargetMode="External"/><Relationship Id="rId1516" Type="http://schemas.openxmlformats.org/officeDocument/2006/relationships/hyperlink" Target="http://www.supremecourt.ohio.gov/rod/docs/pdf/2/2003/2003-Ohio-4084.pdf" TargetMode="External"/><Relationship Id="rId15" Type="http://schemas.openxmlformats.org/officeDocument/2006/relationships/hyperlink" Target="https://www.supremecourt.ohio.gov/rod/docs/pdf/8/2022/2022-Ohio-2700.pdf" TargetMode="External"/><Relationship Id="rId318" Type="http://schemas.openxmlformats.org/officeDocument/2006/relationships/hyperlink" Target="http://www.supremecourt.ohio.gov/rod/docs/pdf/0/1994/1994-Ohio-5.pdf" TargetMode="External"/><Relationship Id="rId525" Type="http://schemas.openxmlformats.org/officeDocument/2006/relationships/hyperlink" Target="https://codes.ohio.gov/ohio-revised-code/section-4501.27" TargetMode="External"/><Relationship Id="rId732" Type="http://schemas.openxmlformats.org/officeDocument/2006/relationships/hyperlink" Target="http://www.supremecourt.ohio.gov/rod/docs/pdf/0/2004/2004-Ohio-6557.pdf" TargetMode="External"/><Relationship Id="rId1155" Type="http://schemas.openxmlformats.org/officeDocument/2006/relationships/hyperlink" Target="https://www.supremecourt.ohio.gov/rod/docs/pdf/0/2020/2020-ohio-5371.pdf" TargetMode="External"/><Relationship Id="rId1362" Type="http://schemas.openxmlformats.org/officeDocument/2006/relationships/hyperlink" Target="http://www.supremecourt.ohio.gov/rod/docs/pdf/0/2010/2010-Ohio-2167.pdf" TargetMode="External"/><Relationship Id="rId99" Type="http://schemas.openxmlformats.org/officeDocument/2006/relationships/hyperlink" Target="https://www.supremecourt.ohio.gov/rod/docs/pdf/13/2018/2018-Ohio-1578.pdf" TargetMode="External"/><Relationship Id="rId164" Type="http://schemas.openxmlformats.org/officeDocument/2006/relationships/hyperlink" Target="http://www.supremecourt.ohio.gov/rod/docs/pdf/8/2018/2018-Ohio-5240.pdf" TargetMode="External"/><Relationship Id="rId371" Type="http://schemas.openxmlformats.org/officeDocument/2006/relationships/hyperlink" Target="http://www.supremecourt.ohio.gov/rod/docs/pdf/0/1998/1998-Ohio-290.pdf" TargetMode="External"/><Relationship Id="rId1015" Type="http://schemas.openxmlformats.org/officeDocument/2006/relationships/hyperlink" Target="https://codes.ohio.gov/ohio-revised-code/section-2743.75" TargetMode="External"/><Relationship Id="rId1222" Type="http://schemas.openxmlformats.org/officeDocument/2006/relationships/hyperlink" Target="https://codes.ohio.gov/ohio-revised-code/section-149.351" TargetMode="External"/><Relationship Id="rId469" Type="http://schemas.openxmlformats.org/officeDocument/2006/relationships/hyperlink" Target="https://codes.ohio.gov/ohio-revised-code/section-149.43" TargetMode="External"/><Relationship Id="rId676" Type="http://schemas.openxmlformats.org/officeDocument/2006/relationships/hyperlink" Target="https://codes.ohio.gov/ohio-revised-code/section-149.43" TargetMode="External"/><Relationship Id="rId883" Type="http://schemas.openxmlformats.org/officeDocument/2006/relationships/hyperlink" Target="https://codes.ohio.gov/ohio-revised-code/section-149.43" TargetMode="External"/><Relationship Id="rId1099" Type="http://schemas.openxmlformats.org/officeDocument/2006/relationships/hyperlink" Target="https://codes.ohio.gov/ohio-revised-code/section-149.43" TargetMode="External"/><Relationship Id="rId1527" Type="http://schemas.openxmlformats.org/officeDocument/2006/relationships/hyperlink" Target="http://www.supremecourt.ohio.gov/rod/docs/pdf/11/2017/2017-Ohio-2934.pdf" TargetMode="External"/><Relationship Id="rId26" Type="http://schemas.openxmlformats.org/officeDocument/2006/relationships/hyperlink" Target="https://www.supremecourt.ohio.gov/rod/docs/pdf/12/2023/2023-Ohio-874.pdf" TargetMode="External"/><Relationship Id="rId231" Type="http://schemas.openxmlformats.org/officeDocument/2006/relationships/hyperlink" Target="https://codes.ohio.gov/ohio-revised-code/section-149.43" TargetMode="External"/><Relationship Id="rId329" Type="http://schemas.openxmlformats.org/officeDocument/2006/relationships/hyperlink" Target="https://codes.ohio.gov/ohio-revised-code/section-5502.12" TargetMode="External"/><Relationship Id="rId536" Type="http://schemas.openxmlformats.org/officeDocument/2006/relationships/hyperlink" Target="https://www.ohioattorneygeneral.gov/getattachment/5d8e8c76-326f-4b44-abd9-eef358f4031e/1992-010.aspx" TargetMode="External"/><Relationship Id="rId1166" Type="http://schemas.openxmlformats.org/officeDocument/2006/relationships/hyperlink" Target="https://codes.ohio.gov/ohio-revised-code/section-2743.75" TargetMode="External"/><Relationship Id="rId1373" Type="http://schemas.openxmlformats.org/officeDocument/2006/relationships/hyperlink" Target="http://www.supremecourt.ohio.gov/rod/docs/pdf/12/2007/2007-Ohio-4218.pdf" TargetMode="External"/><Relationship Id="rId175" Type="http://schemas.openxmlformats.org/officeDocument/2006/relationships/hyperlink" Target="http://www.supremecourt.ohio.gov/rod/docs/pdf/8/2011/2011-Ohio-1754.pdf" TargetMode="External"/><Relationship Id="rId743" Type="http://schemas.openxmlformats.org/officeDocument/2006/relationships/hyperlink" Target="https://www.ohioattorneygeneral.gov/getattachment/1355ab02-1caa-432a-aa8a-1be324b5d543/1999-006.aspx" TargetMode="External"/><Relationship Id="rId950" Type="http://schemas.openxmlformats.org/officeDocument/2006/relationships/hyperlink" Target="https://www.supremecourt.ohio.gov/rod/docs/pdf/0/2014/2014-ohio-243.pdf" TargetMode="External"/><Relationship Id="rId1026" Type="http://schemas.openxmlformats.org/officeDocument/2006/relationships/hyperlink" Target="http://www.supremecourt.ohio.gov/rod/docs/pdf/0/2013/2013-Ohio-199.pdf" TargetMode="External"/><Relationship Id="rId382" Type="http://schemas.openxmlformats.org/officeDocument/2006/relationships/hyperlink" Target="https://www.supremecourt.ohio.gov/rod/docs/pdf/0/2016/2016-Ohio-2974.pdf" TargetMode="External"/><Relationship Id="rId603" Type="http://schemas.openxmlformats.org/officeDocument/2006/relationships/hyperlink" Target="http://www.supremecourt.ohio.gov/rod/docs/pdf/0/2016/2016-Ohio-2974.pdf" TargetMode="External"/><Relationship Id="rId687" Type="http://schemas.openxmlformats.org/officeDocument/2006/relationships/hyperlink" Target="http://www.supremecourt.ohio.gov/rod/docs/pdf/0/2006/2006-Ohio-6365.pdf" TargetMode="External"/><Relationship Id="rId810" Type="http://schemas.openxmlformats.org/officeDocument/2006/relationships/hyperlink" Target="https://codes.ohio.gov/ohio-revised-code/section-149.43" TargetMode="External"/><Relationship Id="rId908" Type="http://schemas.openxmlformats.org/officeDocument/2006/relationships/hyperlink" Target="http://www.supremecourt.ohio.gov/rod/docs/pdf/0/1997/1997-Ohio-349.pdf" TargetMode="External"/><Relationship Id="rId1233" Type="http://schemas.openxmlformats.org/officeDocument/2006/relationships/hyperlink" Target="https://www.supremecourt.ohio.gov/rod/docs/pdf/8/2021/2021-Ohio-4433.pdf" TargetMode="External"/><Relationship Id="rId1440" Type="http://schemas.openxmlformats.org/officeDocument/2006/relationships/hyperlink" Target="https://codes.ohio.gov/ohio-revised-code/section-5502.21" TargetMode="External"/><Relationship Id="rId1538" Type="http://schemas.openxmlformats.org/officeDocument/2006/relationships/hyperlink" Target="http://www.supremecourt.ohio.gov/rod/docs/pdf/0/2001/2001-Ohio-130.pdf" TargetMode="External"/><Relationship Id="rId242" Type="http://schemas.openxmlformats.org/officeDocument/2006/relationships/hyperlink" Target="https://codes.ohio.gov/ohio-revised-code/section-149.43" TargetMode="External"/><Relationship Id="rId894" Type="http://schemas.openxmlformats.org/officeDocument/2006/relationships/hyperlink" Target="https://codes.ohio.gov/ohio-revised-code/section-3319.39" TargetMode="External"/><Relationship Id="rId1177" Type="http://schemas.openxmlformats.org/officeDocument/2006/relationships/hyperlink" Target="https://codes.ohio.gov/ohio-revised-code/section-109.43" TargetMode="External"/><Relationship Id="rId1300" Type="http://schemas.openxmlformats.org/officeDocument/2006/relationships/hyperlink" Target="https://codes.ohio.gov/ohio-revised-code/section-4730.25" TargetMode="External"/><Relationship Id="rId37" Type="http://schemas.openxmlformats.org/officeDocument/2006/relationships/hyperlink" Target="https://codes.ohio.gov/ohio-revised-code/section-5101.09" TargetMode="External"/><Relationship Id="rId102" Type="http://schemas.openxmlformats.org/officeDocument/2006/relationships/hyperlink" Target="https://www.supremecourt.ohio.gov/rod/docs/pdf/13/2018/2018-Ohio-1578.pdf'" TargetMode="External"/><Relationship Id="rId547" Type="http://schemas.openxmlformats.org/officeDocument/2006/relationships/hyperlink" Target="http://www.supremecourt.ohio.gov/rod/docs/pdf/0/2006/2006-Ohio-4437.pdf" TargetMode="External"/><Relationship Id="rId754" Type="http://schemas.openxmlformats.org/officeDocument/2006/relationships/hyperlink" Target="https://codes.ohio.gov/ohio-revised-code/section-149.43" TargetMode="External"/><Relationship Id="rId961" Type="http://schemas.openxmlformats.org/officeDocument/2006/relationships/hyperlink" Target="https://codes.ohio.gov/ohio-revised-code/section-2953.36" TargetMode="External"/><Relationship Id="rId1384" Type="http://schemas.openxmlformats.org/officeDocument/2006/relationships/hyperlink" Target="https://www.supremecourt.ohio.gov/rod/docs/pdf/0/2019/2019-ohio-3233.pdf" TargetMode="External"/><Relationship Id="rId90" Type="http://schemas.openxmlformats.org/officeDocument/2006/relationships/hyperlink" Target="http://www.supremecourt.ohio.gov/rod/docs/pdf/0/1998/1998-Ohio-444.pdf" TargetMode="External"/><Relationship Id="rId186" Type="http://schemas.openxmlformats.org/officeDocument/2006/relationships/hyperlink" Target="https://codes.ohio.gov/ohio-revised-code/section-1.59" TargetMode="External"/><Relationship Id="rId393" Type="http://schemas.openxmlformats.org/officeDocument/2006/relationships/hyperlink" Target="http://www.supremecourt.ohio.gov/rod/docs/pdf/0/1997/1997-Ohio-349.pdf" TargetMode="External"/><Relationship Id="rId407" Type="http://schemas.openxmlformats.org/officeDocument/2006/relationships/hyperlink" Target="https://codes.ohio.gov/ohio-revised-code/section-149.43" TargetMode="External"/><Relationship Id="rId614" Type="http://schemas.openxmlformats.org/officeDocument/2006/relationships/hyperlink" Target="http://www.supremecourt.ohio.gov/rod/docs/pdf/0/2004/2004-Ohio-7108.pdf" TargetMode="External"/><Relationship Id="rId821" Type="http://schemas.openxmlformats.org/officeDocument/2006/relationships/hyperlink" Target="https://www.supremecourt.ohio.gov/rod/docs/pdf/0/1999/1999-Ohio-264.pdf" TargetMode="External"/><Relationship Id="rId1037" Type="http://schemas.openxmlformats.org/officeDocument/2006/relationships/hyperlink" Target="http://www.supremecourt.ohio.gov/rod/docs/pdf/0/2004/2004-Ohio-7108.pdf" TargetMode="External"/><Relationship Id="rId1244" Type="http://schemas.openxmlformats.org/officeDocument/2006/relationships/hyperlink" Target="https://codes.ohio.gov/ohio-revised-code/section-149.43" TargetMode="External"/><Relationship Id="rId1451" Type="http://schemas.openxmlformats.org/officeDocument/2006/relationships/hyperlink" Target="https://codes.ohio.gov/ohio-revised-code/section-121.22" TargetMode="External"/><Relationship Id="rId253" Type="http://schemas.openxmlformats.org/officeDocument/2006/relationships/hyperlink" Target="http://www.supremecourt.ohio.gov/rod/docs/pdf/0/2015/2015-Ohio-4914.pdf" TargetMode="External"/><Relationship Id="rId460" Type="http://schemas.openxmlformats.org/officeDocument/2006/relationships/hyperlink" Target="https://codes.ohio.gov/ohio-revised-code/section-5101.29" TargetMode="External"/><Relationship Id="rId698" Type="http://schemas.openxmlformats.org/officeDocument/2006/relationships/hyperlink" Target="https://www.supremecourt.ohio.gov/rod/docs/pdf/0/2022/2022-Ohio-3711.pdf" TargetMode="External"/><Relationship Id="rId919" Type="http://schemas.openxmlformats.org/officeDocument/2006/relationships/hyperlink" Target="https://codes.ohio.gov/ohio-revised-code/section-5747.18" TargetMode="External"/><Relationship Id="rId1090" Type="http://schemas.openxmlformats.org/officeDocument/2006/relationships/hyperlink" Target="https://www.supremecourt.ohio.gov/rod/docs/pdf/0/2020/2020-Ohio-3686.pdf" TargetMode="External"/><Relationship Id="rId1104" Type="http://schemas.openxmlformats.org/officeDocument/2006/relationships/hyperlink" Target="https://www.supremecourt.ohio.gov/rod/docs/pdf/11/2022/2022-Ohio-172.pdf" TargetMode="External"/><Relationship Id="rId1311" Type="http://schemas.openxmlformats.org/officeDocument/2006/relationships/hyperlink" Target="https://codes.ohio.gov/ohio-revised-code/section-4729.75" TargetMode="External"/><Relationship Id="rId1549" Type="http://schemas.openxmlformats.org/officeDocument/2006/relationships/hyperlink" Target="http://www.supremecourt.ohio.gov/rod/docs/pdf/4/2001/2001-Ohio-2372.pdf" TargetMode="External"/><Relationship Id="rId48" Type="http://schemas.openxmlformats.org/officeDocument/2006/relationships/hyperlink" Target="https://www.supremecourt.ohio.gov/rod/docs/pdf/13/2019/2019-Ohio-2627.pdf" TargetMode="External"/><Relationship Id="rId113" Type="http://schemas.openxmlformats.org/officeDocument/2006/relationships/hyperlink" Target="http://www.supremecourt.ohio.gov/rod/docs/pdf/0/2008/2008-Ohio-6253.pdf" TargetMode="External"/><Relationship Id="rId320" Type="http://schemas.openxmlformats.org/officeDocument/2006/relationships/hyperlink" Target="https://codes.ohio.gov/ohio-revised-code/section-109.573" TargetMode="External"/><Relationship Id="rId558" Type="http://schemas.openxmlformats.org/officeDocument/2006/relationships/hyperlink" Target="https://www.supremecourt.ohio.gov/rod/docs/pdf/0/2015/2015-Ohio-3425.pdf" TargetMode="External"/><Relationship Id="rId765" Type="http://schemas.openxmlformats.org/officeDocument/2006/relationships/hyperlink" Target="https://codes.ohio.gov/ohio-administrative-code/rule-4501:2-10-06" TargetMode="External"/><Relationship Id="rId972" Type="http://schemas.openxmlformats.org/officeDocument/2006/relationships/hyperlink" Target="https://www.supremecourt.ohio.gov/docs/LegalResources/Rules/superintendence/Superintendence.pdf" TargetMode="External"/><Relationship Id="rId1188" Type="http://schemas.openxmlformats.org/officeDocument/2006/relationships/hyperlink" Target="https://codes.ohio.gov/ohio-revised-code/section-149.411" TargetMode="External"/><Relationship Id="rId1395" Type="http://schemas.openxmlformats.org/officeDocument/2006/relationships/hyperlink" Target="https://codes.ohio.gov/ohio-revised-code/section-121.22" TargetMode="External"/><Relationship Id="rId1409" Type="http://schemas.openxmlformats.org/officeDocument/2006/relationships/hyperlink" Target="http://www.supremecourt.ohio.gov/rod/docs/pdf/2/2018/2018-Ohio-676.pdf" TargetMode="External"/><Relationship Id="rId197" Type="http://schemas.openxmlformats.org/officeDocument/2006/relationships/hyperlink" Target="http://www.supremecourt.ohio.gov/rod/docs/pdf/0/2014/2014-Ohio-869.pdf" TargetMode="External"/><Relationship Id="rId418" Type="http://schemas.openxmlformats.org/officeDocument/2006/relationships/hyperlink" Target="https://codes.ohio.gov/ohio-revised-code/section-149.43" TargetMode="External"/><Relationship Id="rId625" Type="http://schemas.openxmlformats.org/officeDocument/2006/relationships/hyperlink" Target="http://www.supremecourt.ohio.gov/rod/docs/pdf/8/2015/2015-Ohio-5139.pdf" TargetMode="External"/><Relationship Id="rId832" Type="http://schemas.openxmlformats.org/officeDocument/2006/relationships/hyperlink" Target="https://codes.ohio.gov/ohio-revised-code/section-2930.04" TargetMode="External"/><Relationship Id="rId1048" Type="http://schemas.openxmlformats.org/officeDocument/2006/relationships/hyperlink" Target="http://www.supremecourt.ohio.gov/rod/docs/pdf/10/2011/2011-Ohio-3484.pdf" TargetMode="External"/><Relationship Id="rId1255" Type="http://schemas.openxmlformats.org/officeDocument/2006/relationships/hyperlink" Target="https://codes.ohio.gov/ohio-revised-code/section-149.43" TargetMode="External"/><Relationship Id="rId1462" Type="http://schemas.openxmlformats.org/officeDocument/2006/relationships/hyperlink" Target="http://www.supremecourt.ohio.gov/rod/docs/pdf/5/2013/2013-Ohio-2295.pdf" TargetMode="External"/><Relationship Id="rId264" Type="http://schemas.openxmlformats.org/officeDocument/2006/relationships/hyperlink" Target="http://www.supremecourt.ohio.gov/rod/docs/pdf/0/2006/2006-Ohio-662.pdf" TargetMode="External"/><Relationship Id="rId471" Type="http://schemas.openxmlformats.org/officeDocument/2006/relationships/hyperlink" Target="https://codes.ohio.gov/ohio-revised-code/section-149.43" TargetMode="External"/><Relationship Id="rId1115" Type="http://schemas.openxmlformats.org/officeDocument/2006/relationships/hyperlink" Target="http://www.supremecourt.ohio.gov/rod/docs/pdf/5/2014/2014-Ohio-4555.pdf" TargetMode="External"/><Relationship Id="rId1322" Type="http://schemas.openxmlformats.org/officeDocument/2006/relationships/hyperlink" Target="https://codes.ohio.gov/ohio-revised-code/section-121.22" TargetMode="External"/><Relationship Id="rId59" Type="http://schemas.openxmlformats.org/officeDocument/2006/relationships/hyperlink" Target="https://www.supremecourt.ohio.gov/rod/docs/pdf/13/2019/2019-Ohio-2627.pdf" TargetMode="External"/><Relationship Id="rId124" Type="http://schemas.openxmlformats.org/officeDocument/2006/relationships/hyperlink" Target="http://www.supremecourt.ohio.gov/rod/docs/pdf/0/2015/2015-Ohio-1854.pdf" TargetMode="External"/><Relationship Id="rId569" Type="http://schemas.openxmlformats.org/officeDocument/2006/relationships/hyperlink" Target="https://codes.ohio.gov/ohio-revised-code/section-3319.321" TargetMode="External"/><Relationship Id="rId776" Type="http://schemas.openxmlformats.org/officeDocument/2006/relationships/hyperlink" Target="https://codes.ohio.gov/ohio-revised-code/section-1347.15" TargetMode="External"/><Relationship Id="rId983" Type="http://schemas.openxmlformats.org/officeDocument/2006/relationships/hyperlink" Target="https://codes.ohio.gov/ohio-revised-code/section-149.43" TargetMode="External"/><Relationship Id="rId1199" Type="http://schemas.openxmlformats.org/officeDocument/2006/relationships/hyperlink" Target="https://das.ohio.gov/static/buying-selling/state-printing-and-mail-services/records-management/RIMS%20Manual.pdf" TargetMode="External"/><Relationship Id="rId331" Type="http://schemas.openxmlformats.org/officeDocument/2006/relationships/hyperlink" Target="http://www.supremecourt.ohio.gov/rod/docs/pdf/0/1994/1994-Ohio-5.pdf" TargetMode="External"/><Relationship Id="rId429" Type="http://schemas.openxmlformats.org/officeDocument/2006/relationships/hyperlink" Target="https://codes.ohio.gov/ohio-revised-code/section-149.43" TargetMode="External"/><Relationship Id="rId636" Type="http://schemas.openxmlformats.org/officeDocument/2006/relationships/hyperlink" Target="https://codes.ohio.gov/ohio-revised-code/section-2953.36" TargetMode="External"/><Relationship Id="rId1059" Type="http://schemas.openxmlformats.org/officeDocument/2006/relationships/hyperlink" Target="https://www.supremecourt.ohio.gov/rod/docs/pdf/0/2023/2023-Ohio-1204.pdf" TargetMode="External"/><Relationship Id="rId1266" Type="http://schemas.openxmlformats.org/officeDocument/2006/relationships/hyperlink" Target="https://codes.ohio.gov/ohio-revised-code/section-109.43" TargetMode="External"/><Relationship Id="rId1473" Type="http://schemas.openxmlformats.org/officeDocument/2006/relationships/hyperlink" Target="https://www.ohioattorneygeneral.gov/getattachment/5eb726ed-505c-4683-bc3d-3484b453b710/1988-003.aspx" TargetMode="External"/><Relationship Id="rId843" Type="http://schemas.openxmlformats.org/officeDocument/2006/relationships/hyperlink" Target="https://codes.ohio.gov/ohio-revised-code/section-2930.07" TargetMode="External"/><Relationship Id="rId1126" Type="http://schemas.openxmlformats.org/officeDocument/2006/relationships/hyperlink" Target="https://www.supremecourt.ohio.gov/rod/docs/pdf/0/2020/2020-ohio-5371.pdf" TargetMode="External"/><Relationship Id="rId275" Type="http://schemas.openxmlformats.org/officeDocument/2006/relationships/hyperlink" Target="http://www.supremecourt.ohio.gov/rod/docs/pdf/13/2018/2018-Ohio-3475.pdf" TargetMode="External"/><Relationship Id="rId482" Type="http://schemas.openxmlformats.org/officeDocument/2006/relationships/hyperlink" Target="https://codes.ohio.gov/ohio-revised-code/section-149.43" TargetMode="External"/><Relationship Id="rId703" Type="http://schemas.openxmlformats.org/officeDocument/2006/relationships/hyperlink" Target="https://codes.ohio.gov/ohio-revised-code/section-149.43" TargetMode="External"/><Relationship Id="rId910" Type="http://schemas.openxmlformats.org/officeDocument/2006/relationships/hyperlink" Target="https://codes.ohio.gov/ohio-revised-code/section-149.43" TargetMode="External"/><Relationship Id="rId1333" Type="http://schemas.openxmlformats.org/officeDocument/2006/relationships/hyperlink" Target="https://codes.ohio.gov/ohio-revised-code/section-3307.091" TargetMode="External"/><Relationship Id="rId1540" Type="http://schemas.openxmlformats.org/officeDocument/2006/relationships/hyperlink" Target="https://codes.ohio.gov/ohio-revised-code/section-121.22" TargetMode="External"/><Relationship Id="rId135" Type="http://schemas.openxmlformats.org/officeDocument/2006/relationships/hyperlink" Target="https://www.supremecourt.ohio.gov/rod/docs/pdf/0/2023/2023-Ohio-2667.pdf" TargetMode="External"/><Relationship Id="rId342" Type="http://schemas.openxmlformats.org/officeDocument/2006/relationships/hyperlink" Target="https://codes.ohio.gov/ohio-revised-code/section-149.43" TargetMode="External"/><Relationship Id="rId787" Type="http://schemas.openxmlformats.org/officeDocument/2006/relationships/hyperlink" Target="https://codes.ohio.gov/ohio-revised-code/section-2945.38" TargetMode="External"/><Relationship Id="rId994" Type="http://schemas.openxmlformats.org/officeDocument/2006/relationships/hyperlink" Target="https://codes.ohio.gov/ohio-revised-code/section-1347.01" TargetMode="External"/><Relationship Id="rId1400" Type="http://schemas.openxmlformats.org/officeDocument/2006/relationships/hyperlink" Target="https://www.ohioattorneygeneral.gov/getattachment/e70cfc3a-dea6-4a50-9ae5-1ec32256de85/1988-029.aspx" TargetMode="External"/><Relationship Id="rId202" Type="http://schemas.openxmlformats.org/officeDocument/2006/relationships/hyperlink" Target="http://www.supremecourt.ohio.gov/rod/docs/pdf/0/2018/2018-Ohio-5110.pdf" TargetMode="External"/><Relationship Id="rId647" Type="http://schemas.openxmlformats.org/officeDocument/2006/relationships/hyperlink" Target="http://www.supremecourt.ohio.gov/rod/docs/pdf/13/2018/2018-Ohio-5014.pdf" TargetMode="External"/><Relationship Id="rId854" Type="http://schemas.openxmlformats.org/officeDocument/2006/relationships/hyperlink" Target="http://www.supremecourt.ohio.gov/rod/docs/pdf/5/2014/2014-Ohio-2989.pdf" TargetMode="External"/><Relationship Id="rId1277" Type="http://schemas.openxmlformats.org/officeDocument/2006/relationships/hyperlink" Target="https://www.supremecourt.ohio.gov/rod/docs/pdf/1/2022/2022-Ohio-1109.pdf" TargetMode="External"/><Relationship Id="rId1484" Type="http://schemas.openxmlformats.org/officeDocument/2006/relationships/hyperlink" Target="http://www.supremecourt.ohio.gov/rod/docs/pdf/12/2012/2012-Ohio-2569.pdf" TargetMode="External"/><Relationship Id="rId286" Type="http://schemas.openxmlformats.org/officeDocument/2006/relationships/hyperlink" Target="http://www.supremecourt.ohio.gov/rod/docs/pdf/0/2004/2004-Ohio-6589.pdf" TargetMode="External"/><Relationship Id="rId493" Type="http://schemas.openxmlformats.org/officeDocument/2006/relationships/hyperlink" Target="http://www.supremecourt.ohio.gov/rod/docs/pdf/10/2015/2015-Ohio-3569.pdf" TargetMode="External"/><Relationship Id="rId507" Type="http://schemas.openxmlformats.org/officeDocument/2006/relationships/hyperlink" Target="https://codes.ohio.gov/ohio-revised-code/section-149.45" TargetMode="External"/><Relationship Id="rId714" Type="http://schemas.openxmlformats.org/officeDocument/2006/relationships/hyperlink" Target="http://www.supremecourt.ohio.gov/rod/docs/pdf/0/1997/1997-Ohio-271.pdf" TargetMode="External"/><Relationship Id="rId921" Type="http://schemas.openxmlformats.org/officeDocument/2006/relationships/hyperlink" Target="https://codes.ohio.gov/ohio-revised-code/section-149.43" TargetMode="External"/><Relationship Id="rId1137" Type="http://schemas.openxmlformats.org/officeDocument/2006/relationships/hyperlink" Target="https://codes.ohio.gov/ohio-revised-code/section-2743.75" TargetMode="External"/><Relationship Id="rId1344" Type="http://schemas.openxmlformats.org/officeDocument/2006/relationships/hyperlink" Target="http://www.supremecourt.ohio.gov/rod/docs/pdf/0/1996/1996-Ohio-372.pdf" TargetMode="External"/><Relationship Id="rId1551" Type="http://schemas.openxmlformats.org/officeDocument/2006/relationships/hyperlink" Target="https://www.supremecourt.ohio.gov/rod/docs/pdf/7/2016/2016-Ohio-4663.pdf" TargetMode="External"/><Relationship Id="rId50" Type="http://schemas.openxmlformats.org/officeDocument/2006/relationships/hyperlink" Target="https://www.ohioattorneygeneral.gov/getattachment/a214ffc1-a8a3-41cf-a17a-05ca3f679ad7/2007-034.aspx" TargetMode="External"/><Relationship Id="rId146" Type="http://schemas.openxmlformats.org/officeDocument/2006/relationships/hyperlink" Target="http://www.supremecourt.ohio.gov/rod/docs/pdf/0/2011/2011-Ohio-4751.pdf" TargetMode="External"/><Relationship Id="rId353" Type="http://schemas.openxmlformats.org/officeDocument/2006/relationships/hyperlink" Target="http://www.supremecourt.ohio.gov/rod/docs/pdf/0/2017/2017-Ohio-8714.pdf" TargetMode="External"/><Relationship Id="rId560" Type="http://schemas.openxmlformats.org/officeDocument/2006/relationships/hyperlink" Target="https://codes.ohio.gov/ohio-revised-code/section-149.43" TargetMode="External"/><Relationship Id="rId798" Type="http://schemas.openxmlformats.org/officeDocument/2006/relationships/hyperlink" Target="https://codes.ohio.gov/ohio-revised-code/section-149.43" TargetMode="External"/><Relationship Id="rId1190" Type="http://schemas.openxmlformats.org/officeDocument/2006/relationships/hyperlink" Target="https://codes.ohio.gov/ohio-revised-code/section-149.412" TargetMode="External"/><Relationship Id="rId1204" Type="http://schemas.openxmlformats.org/officeDocument/2006/relationships/hyperlink" Target="https://codes.ohio.gov/ohio-revised-code/section-149.33" TargetMode="External"/><Relationship Id="rId1411" Type="http://schemas.openxmlformats.org/officeDocument/2006/relationships/hyperlink" Target="https://www.supremecourt.ohio.gov/rod/docs/pdf/0/2016/2016-Ohio-5449.pdf" TargetMode="External"/><Relationship Id="rId213" Type="http://schemas.openxmlformats.org/officeDocument/2006/relationships/hyperlink" Target="https://www.supremecourt.ohio.gov/rod/docs/pdf/0/2023/2023-Ohio-3112.pdf" TargetMode="External"/><Relationship Id="rId420" Type="http://schemas.openxmlformats.org/officeDocument/2006/relationships/hyperlink" Target="https://codes.ohio.gov/ohio-revised-code/section-149.43" TargetMode="External"/><Relationship Id="rId658" Type="http://schemas.openxmlformats.org/officeDocument/2006/relationships/hyperlink" Target="http://www.supremecourt.ohio.gov/rod/docs/pdf/8/2014/2014-Ohio-3914.pdf" TargetMode="External"/><Relationship Id="rId865" Type="http://schemas.openxmlformats.org/officeDocument/2006/relationships/hyperlink" Target="http://www.supremecourt.ohio.gov/rod/docs/pdf/5/2010/2010-Ohio-4261.pdf" TargetMode="External"/><Relationship Id="rId1050" Type="http://schemas.openxmlformats.org/officeDocument/2006/relationships/hyperlink" Target="https://codes.ohio.gov/ohio-revised-code/section-149.43" TargetMode="External"/><Relationship Id="rId1288" Type="http://schemas.openxmlformats.org/officeDocument/2006/relationships/hyperlink" Target="http://www.supremecourt.ohio.gov/rod/docs/pdf/10/2001/2001-Ohio-8751.pdf" TargetMode="External"/><Relationship Id="rId1495" Type="http://schemas.openxmlformats.org/officeDocument/2006/relationships/hyperlink" Target="https://codes.ohio.gov/ohio-revised-code/section-121.22" TargetMode="External"/><Relationship Id="rId1509" Type="http://schemas.openxmlformats.org/officeDocument/2006/relationships/hyperlink" Target="https://codes.ohio.gov/ohio-revised-code/section-121.22" TargetMode="External"/><Relationship Id="rId297" Type="http://schemas.openxmlformats.org/officeDocument/2006/relationships/hyperlink" Target="https://www.supremecourt.ohio.gov/rod/docs/pdf/0/2021/2021-Ohio-624.pdf" TargetMode="External"/><Relationship Id="rId518" Type="http://schemas.openxmlformats.org/officeDocument/2006/relationships/hyperlink" Target="https://codes.ohio.gov/ohio-revised-code/section-319.28" TargetMode="External"/><Relationship Id="rId725" Type="http://schemas.openxmlformats.org/officeDocument/2006/relationships/hyperlink" Target="http://www.supremecourt.ohio.gov/rod/docs/pdf/0/1993/1993-Ohio-192.pdf" TargetMode="External"/><Relationship Id="rId932" Type="http://schemas.openxmlformats.org/officeDocument/2006/relationships/hyperlink" Target="https://www.supremecourt.ohio.gov/rod/docs/pdf/0/2020/2020-Ohio-2766.pdf" TargetMode="External"/><Relationship Id="rId1148" Type="http://schemas.openxmlformats.org/officeDocument/2006/relationships/hyperlink" Target="https://codes.ohio.gov/ohio-revised-code/section-2743.75" TargetMode="External"/><Relationship Id="rId1355" Type="http://schemas.openxmlformats.org/officeDocument/2006/relationships/hyperlink" Target="https://www.supremecourt.ohio.gov/rod/docs/pdf/11/2023/2023-Ohio-2256.pdf" TargetMode="External"/><Relationship Id="rId1562" Type="http://schemas.openxmlformats.org/officeDocument/2006/relationships/hyperlink" Target="https://codes.ohio.gov/ohio-revised-code/section-121.22" TargetMode="External"/><Relationship Id="rId157" Type="http://schemas.openxmlformats.org/officeDocument/2006/relationships/hyperlink" Target="https://www.supremecourt.ohio.gov/rod/docs/pdf/0/2022/2022-Ohio-3990.pdf" TargetMode="External"/><Relationship Id="rId364" Type="http://schemas.openxmlformats.org/officeDocument/2006/relationships/hyperlink" Target="http://www.supremecourt.ohio.gov/rod/docs/pdf/0/2004/2004-Ohio-6557.pdf" TargetMode="External"/><Relationship Id="rId1008" Type="http://schemas.openxmlformats.org/officeDocument/2006/relationships/hyperlink" Target="http://www.supremecourt.ohio.gov/rod/docs/pdf/0/2008/2008-Ohio-4788.pdf" TargetMode="External"/><Relationship Id="rId1215" Type="http://schemas.openxmlformats.org/officeDocument/2006/relationships/hyperlink" Target="https://codes.ohio.gov/ohio-revised-code/section-149.381" TargetMode="External"/><Relationship Id="rId1422" Type="http://schemas.openxmlformats.org/officeDocument/2006/relationships/hyperlink" Target="https://codes.ohio.gov/ohio-revised-code/section-121.22" TargetMode="External"/><Relationship Id="rId61" Type="http://schemas.openxmlformats.org/officeDocument/2006/relationships/hyperlink" Target="https://www.supremecourt.ohio.gov/rod/docs/pdf/11/2023/2023-Ohio-4371.pdf" TargetMode="External"/><Relationship Id="rId571" Type="http://schemas.openxmlformats.org/officeDocument/2006/relationships/hyperlink" Target="https://codes.ohio.gov/ohio-revised-code/section-3319.321" TargetMode="External"/><Relationship Id="rId669" Type="http://schemas.openxmlformats.org/officeDocument/2006/relationships/hyperlink" Target="http://www.supremecourt.ohio.gov/rod/docs/pdf/0/1997/1997-Ohio-206.pdf" TargetMode="External"/><Relationship Id="rId876" Type="http://schemas.openxmlformats.org/officeDocument/2006/relationships/hyperlink" Target="https://www.ohioattorneygeneral.gov/getattachment/72cc0ea0-f671-4160-b871-43fd8b640706/2007-026.aspx" TargetMode="External"/><Relationship Id="rId1299" Type="http://schemas.openxmlformats.org/officeDocument/2006/relationships/hyperlink" Target="https://codes.ohio.gov/ohio-revised-code/section-121.22" TargetMode="External"/><Relationship Id="rId19" Type="http://schemas.openxmlformats.org/officeDocument/2006/relationships/hyperlink" Target="http://www.supremecourt.ohio.gov/rod/docs/pdf/0/1993/1993-Ohio-188.pdf" TargetMode="External"/><Relationship Id="rId224" Type="http://schemas.openxmlformats.org/officeDocument/2006/relationships/hyperlink" Target="https://codes.ohio.gov/ohio-revised-code/section-149.43" TargetMode="External"/><Relationship Id="rId431" Type="http://schemas.openxmlformats.org/officeDocument/2006/relationships/hyperlink" Target="https://codes.ohio.gov/ohio-revised-code/section-5139.05" TargetMode="External"/><Relationship Id="rId529" Type="http://schemas.openxmlformats.org/officeDocument/2006/relationships/hyperlink" Target="https://codes.ohio.gov/ohio-revised-code/section-5747.18" TargetMode="External"/><Relationship Id="rId736" Type="http://schemas.openxmlformats.org/officeDocument/2006/relationships/hyperlink" Target="https://codes.ohio.gov/ohio-revised-code/section-128.96" TargetMode="External"/><Relationship Id="rId1061" Type="http://schemas.openxmlformats.org/officeDocument/2006/relationships/hyperlink" Target="https://codes.ohio.gov/ohio-revised-code/section-149.43" TargetMode="External"/><Relationship Id="rId1159" Type="http://schemas.openxmlformats.org/officeDocument/2006/relationships/hyperlink" Target="https://codes.ohio.gov/ohio-revised-code/section-2743.75" TargetMode="External"/><Relationship Id="rId1366" Type="http://schemas.openxmlformats.org/officeDocument/2006/relationships/hyperlink" Target="http://www.supremecourt.ohio.gov/rod/docs/pdf/6/2013/2013-Ohio-722.pdf" TargetMode="External"/><Relationship Id="rId168" Type="http://schemas.openxmlformats.org/officeDocument/2006/relationships/hyperlink" Target="http://www.supremecourt.ohio.gov/rod/docs/pdf/0/1997/1997-Ohio-206.pdf" TargetMode="External"/><Relationship Id="rId943" Type="http://schemas.openxmlformats.org/officeDocument/2006/relationships/hyperlink" Target="https://www.supremecourt.ohio.gov/docs/LegalResources/Rules/superintendence/Superintendence.pdf" TargetMode="External"/><Relationship Id="rId1019" Type="http://schemas.openxmlformats.org/officeDocument/2006/relationships/hyperlink" Target="https://codes.ohio.gov/ohio-revised-code/section-2305.14" TargetMode="External"/><Relationship Id="rId1573" Type="http://schemas.openxmlformats.org/officeDocument/2006/relationships/hyperlink" Target="http://www.supremecourt.ohio.gov/rod/docs/pdf/12/2014/2014-Ohio-252.pdf" TargetMode="External"/><Relationship Id="rId72" Type="http://schemas.openxmlformats.org/officeDocument/2006/relationships/hyperlink" Target="https://www.supremecourt.ohio.gov/rod/docs/pdf/13/2019/2019-Ohio-2624.pdf" TargetMode="External"/><Relationship Id="rId375" Type="http://schemas.openxmlformats.org/officeDocument/2006/relationships/hyperlink" Target="http://www.supremecourt.ohio.gov/rod/docs/pdf/0/2000/2000-Ohio-213.pdf" TargetMode="External"/><Relationship Id="rId582" Type="http://schemas.openxmlformats.org/officeDocument/2006/relationships/hyperlink" Target="https://www.supremecourt.ohio.gov/rod/docs/pdf/0/2020/2020-Ohio-4268.pdf" TargetMode="External"/><Relationship Id="rId803" Type="http://schemas.openxmlformats.org/officeDocument/2006/relationships/hyperlink" Target="https://codes.ohio.gov/ohio-revised-code/section-149.43" TargetMode="External"/><Relationship Id="rId1226" Type="http://schemas.openxmlformats.org/officeDocument/2006/relationships/hyperlink" Target="http://www.supremecourt.ohio.gov/rod/docs/pdf/7/2014/2014-Ohio-569.pdf" TargetMode="External"/><Relationship Id="rId1433" Type="http://schemas.openxmlformats.org/officeDocument/2006/relationships/hyperlink" Target="http://www.supremecourt.ohio.gov/rod/docs/pdf/12/2013/2013-Ohio-1111.pdf" TargetMode="External"/><Relationship Id="rId3" Type="http://schemas.openxmlformats.org/officeDocument/2006/relationships/hyperlink" Target="https://codes.ohio.gov/ohio-revised-code/section-149.43" TargetMode="External"/><Relationship Id="rId235" Type="http://schemas.openxmlformats.org/officeDocument/2006/relationships/hyperlink" Target="https://codes.ohio.gov/ohio-revised-code/section-149.43" TargetMode="External"/><Relationship Id="rId442" Type="http://schemas.openxmlformats.org/officeDocument/2006/relationships/hyperlink" Target="https://codes.ohio.gov/ohio-revised-code/section-149.43" TargetMode="External"/><Relationship Id="rId887" Type="http://schemas.openxmlformats.org/officeDocument/2006/relationships/hyperlink" Target="http://www.supremecourt.ohio.gov/rod/docs/pdf/0/1997/1997-Ohio-206.pdf" TargetMode="External"/><Relationship Id="rId1072" Type="http://schemas.openxmlformats.org/officeDocument/2006/relationships/hyperlink" Target="http://www.supremecourt.ohio.gov/rod/docs/pdf/0/2009/2009-Ohio-4149.pdf" TargetMode="External"/><Relationship Id="rId1500" Type="http://schemas.openxmlformats.org/officeDocument/2006/relationships/hyperlink" Target="https://www.supremecourt.ohio.gov/rod/docs/pdf/0/2022/2022-Ohio-4237.pdf" TargetMode="External"/><Relationship Id="rId302" Type="http://schemas.openxmlformats.org/officeDocument/2006/relationships/hyperlink" Target="http://www.supremecourt.ohio.gov/rod/docs/pdf/0/1998/1998-Ohio-180.pdf" TargetMode="External"/><Relationship Id="rId747" Type="http://schemas.openxmlformats.org/officeDocument/2006/relationships/hyperlink" Target="https://www.ohioattorneygeneral.gov/getattachment/89493001-4548-4b80-b371-a872e6b348d9/1990-101.aspx" TargetMode="External"/><Relationship Id="rId954" Type="http://schemas.openxmlformats.org/officeDocument/2006/relationships/hyperlink" Target="http://www.supremecourt.ohio.gov/rod/docs/pdf/0/1993/1993-Ohio-77.pdf" TargetMode="External"/><Relationship Id="rId1377" Type="http://schemas.openxmlformats.org/officeDocument/2006/relationships/hyperlink" Target="http://www.supremecourt.ohio.gov/rod/docs/pdf/0/1993/1993-Ohio-204.pdf" TargetMode="External"/><Relationship Id="rId83" Type="http://schemas.openxmlformats.org/officeDocument/2006/relationships/hyperlink" Target="https://www.supremecourt.ohio.gov/rod/docs/pdf/0/2020/2020-ohio-5585.pdf" TargetMode="External"/><Relationship Id="rId179" Type="http://schemas.openxmlformats.org/officeDocument/2006/relationships/hyperlink" Target="http://www.supremecourt.ohio.gov/rod/docs/pdf/0/2012/2012-Ohio-4228.pdf" TargetMode="External"/><Relationship Id="rId386" Type="http://schemas.openxmlformats.org/officeDocument/2006/relationships/hyperlink" Target="http://www.supremecourt.ohio.gov/rod/docs/pdf/0/2013/2013-Ohio-761.pdf" TargetMode="External"/><Relationship Id="rId593" Type="http://schemas.openxmlformats.org/officeDocument/2006/relationships/hyperlink" Target="http://www.supremecourt.ohio.gov/rod/docs/pdf/0/2013/2013-Ohio-199.pdf" TargetMode="External"/><Relationship Id="rId607" Type="http://schemas.openxmlformats.org/officeDocument/2006/relationships/hyperlink" Target="https://www.supremecourt.ohio.gov/rod/docs/pdf/0/2020/2020-ohio-5585.pdf" TargetMode="External"/><Relationship Id="rId814" Type="http://schemas.openxmlformats.org/officeDocument/2006/relationships/hyperlink" Target="https://codes.ohio.gov/ohio-revised-code/section-149.43" TargetMode="External"/><Relationship Id="rId1237" Type="http://schemas.openxmlformats.org/officeDocument/2006/relationships/hyperlink" Target="http://www.supremecourt.ohio.gov/rod/docs/pdf/12/2009/2009-Ohio-2448.pdf" TargetMode="External"/><Relationship Id="rId1444" Type="http://schemas.openxmlformats.org/officeDocument/2006/relationships/hyperlink" Target="https://codes.ohio.gov/ohio-constitution/article-18" TargetMode="External"/><Relationship Id="rId246" Type="http://schemas.openxmlformats.org/officeDocument/2006/relationships/hyperlink" Target="https://codes.ohio.gov/ohio-revised-code/section-149.43" TargetMode="External"/><Relationship Id="rId453" Type="http://schemas.openxmlformats.org/officeDocument/2006/relationships/hyperlink" Target="https://codes.ohio.gov/ohio-revised-code/section-149.43" TargetMode="External"/><Relationship Id="rId660" Type="http://schemas.openxmlformats.org/officeDocument/2006/relationships/hyperlink" Target="https://codes.ohio.gov/ohio-revised-code/section-149.43" TargetMode="External"/><Relationship Id="rId898" Type="http://schemas.openxmlformats.org/officeDocument/2006/relationships/hyperlink" Target="http://www.supremecourt.ohio.gov/rod/docs/pdf/0/1998/1998-Ohio-411.pdf" TargetMode="External"/><Relationship Id="rId1083" Type="http://schemas.openxmlformats.org/officeDocument/2006/relationships/hyperlink" Target="https://www.supremecourt.ohio.gov/rod/docs/pdf/0/2020/2020-Ohio-3686.pdf" TargetMode="External"/><Relationship Id="rId1290" Type="http://schemas.openxmlformats.org/officeDocument/2006/relationships/hyperlink" Target="https://codes.ohio.gov/ohio-revised-code/section-101.15" TargetMode="External"/><Relationship Id="rId1304" Type="http://schemas.openxmlformats.org/officeDocument/2006/relationships/hyperlink" Target="https://codes.ohio.gov/ohio-revised-code/section-121.22" TargetMode="External"/><Relationship Id="rId1511" Type="http://schemas.openxmlformats.org/officeDocument/2006/relationships/hyperlink" Target="http://www.supremecourt.ohio.gov/rod/docs/pdf/5/2013/2013-Ohio-2295.pdf" TargetMode="External"/><Relationship Id="rId106" Type="http://schemas.openxmlformats.org/officeDocument/2006/relationships/hyperlink" Target="https://www.supremecourt.ohio.gov/rod/docs/pdf/13/2019/2019-Ohio-2623.pdf" TargetMode="External"/><Relationship Id="rId313" Type="http://schemas.openxmlformats.org/officeDocument/2006/relationships/hyperlink" Target="https://codes.ohio.gov/ohio-revised-code/section-149.43" TargetMode="External"/><Relationship Id="rId758" Type="http://schemas.openxmlformats.org/officeDocument/2006/relationships/hyperlink" Target="https://codes.ohio.gov/ohio-revised-code/section-113.041" TargetMode="External"/><Relationship Id="rId965" Type="http://schemas.openxmlformats.org/officeDocument/2006/relationships/hyperlink" Target="http://www.supremecourt.ohio.gov/rod/docs/pdf/0/2015/2015-Ohio-235.pdf" TargetMode="External"/><Relationship Id="rId1150" Type="http://schemas.openxmlformats.org/officeDocument/2006/relationships/hyperlink" Target="https://www.supremecourt.ohio.gov/rod/docs/pdf/0/2020/2020-ohio-5371.pdf" TargetMode="External"/><Relationship Id="rId1388" Type="http://schemas.openxmlformats.org/officeDocument/2006/relationships/hyperlink" Target="https://www.supremecourt.ohio.gov/rod/docs/pdf/0/2021/2021-Ohio-2374.pdf" TargetMode="External"/><Relationship Id="rId10" Type="http://schemas.openxmlformats.org/officeDocument/2006/relationships/hyperlink" Target="http://www.supremecourt.ohio.gov/rod/docs/pdf/0/1997/1997-Ohio-104.pdf" TargetMode="External"/><Relationship Id="rId94" Type="http://schemas.openxmlformats.org/officeDocument/2006/relationships/hyperlink" Target="https://www.supremecourt.ohio.gov/rod/docs/pdf/13/2019/2019-Ohio-5457.pdf" TargetMode="External"/><Relationship Id="rId397" Type="http://schemas.openxmlformats.org/officeDocument/2006/relationships/hyperlink" Target="http://www.supremecourt.ohio.gov/rod/docs/pdf/0/1995/1995-Ohio-248.pdf" TargetMode="External"/><Relationship Id="rId520" Type="http://schemas.openxmlformats.org/officeDocument/2006/relationships/hyperlink" Target="http://www.supremecourt.ohio.gov/rod/docs/pdf/0/2002/2002-Ohio-7117.pdf" TargetMode="External"/><Relationship Id="rId618" Type="http://schemas.openxmlformats.org/officeDocument/2006/relationships/hyperlink" Target="http://www.supremecourt.ohio.gov/rod/docs/pdf/0/2004/2004-Ohio-7108.pdf" TargetMode="External"/><Relationship Id="rId825" Type="http://schemas.openxmlformats.org/officeDocument/2006/relationships/hyperlink" Target="https://codes.ohio.gov/ohio-constitution/section-1.10a" TargetMode="External"/><Relationship Id="rId1248" Type="http://schemas.openxmlformats.org/officeDocument/2006/relationships/hyperlink" Target="https://codes.ohio.gov/ohio-revised-code/section-149.34" TargetMode="External"/><Relationship Id="rId1455" Type="http://schemas.openxmlformats.org/officeDocument/2006/relationships/hyperlink" Target="http://www.supremecourt.ohio.gov/rod/docs/pdf/0/1997/1997-Ohio-353.pdf" TargetMode="External"/><Relationship Id="rId257" Type="http://schemas.openxmlformats.org/officeDocument/2006/relationships/hyperlink" Target="http://www.supremecourt.ohio.gov/rod/docs/pdf/0/2002/2002-Ohio-5311.pdf" TargetMode="External"/><Relationship Id="rId464" Type="http://schemas.openxmlformats.org/officeDocument/2006/relationships/hyperlink" Target="https://codes.ohio.gov/ohio-revised-code/section-149.43" TargetMode="External"/><Relationship Id="rId1010" Type="http://schemas.openxmlformats.org/officeDocument/2006/relationships/hyperlink" Target="http://www.supremecourt.ohio.gov/rod/docs/pdf/0/2004/2004-Ohio-4952.pdf" TargetMode="External"/><Relationship Id="rId1094" Type="http://schemas.openxmlformats.org/officeDocument/2006/relationships/hyperlink" Target="https://www.supremecourt.ohio.gov/rod/docs/pdf/0/2023/2023-Ohio-3382.pdf" TargetMode="External"/><Relationship Id="rId1108" Type="http://schemas.openxmlformats.org/officeDocument/2006/relationships/hyperlink" Target="http://www.supremecourt.ohio.gov/rod/docs/pdf/0/2008/2008-Ohio-6253.pdf" TargetMode="External"/><Relationship Id="rId1315" Type="http://schemas.openxmlformats.org/officeDocument/2006/relationships/hyperlink" Target="https://codes.ohio.gov/ohio-revised-code/section-4755.11" TargetMode="External"/><Relationship Id="rId117" Type="http://schemas.openxmlformats.org/officeDocument/2006/relationships/hyperlink" Target="https://codes.ohio.gov/ohio-revised-code/section-149.011" TargetMode="External"/><Relationship Id="rId671" Type="http://schemas.openxmlformats.org/officeDocument/2006/relationships/hyperlink" Target="https://codes.ohio.gov/ohio-revised-code/section-5120.21" TargetMode="External"/><Relationship Id="rId769" Type="http://schemas.openxmlformats.org/officeDocument/2006/relationships/hyperlink" Target="https://codes.ohio.gov/ohio-revised-code/section-149.43" TargetMode="External"/><Relationship Id="rId976" Type="http://schemas.openxmlformats.org/officeDocument/2006/relationships/hyperlink" Target="https://www.supremecourt.ohio.gov/rod/docs/pdf/0/2022/2022-ohio-3580.pdf" TargetMode="External"/><Relationship Id="rId1399" Type="http://schemas.openxmlformats.org/officeDocument/2006/relationships/hyperlink" Target="https://codes.ohio.gov/ohio-revised-code/section-121.22" TargetMode="External"/><Relationship Id="rId324" Type="http://schemas.openxmlformats.org/officeDocument/2006/relationships/hyperlink" Target="https://codes.ohio.gov/ohio-revised-code/section-2950.13" TargetMode="External"/><Relationship Id="rId531" Type="http://schemas.openxmlformats.org/officeDocument/2006/relationships/hyperlink" Target="https://www.supremecourt.ohio.gov/rod/docs/pdf/13/2019/2019-Ohio-2760.pdf" TargetMode="External"/><Relationship Id="rId629" Type="http://schemas.openxmlformats.org/officeDocument/2006/relationships/hyperlink" Target="https://codes.ohio.gov/ohio-revised-code/section-2953.33" TargetMode="External"/><Relationship Id="rId1161" Type="http://schemas.openxmlformats.org/officeDocument/2006/relationships/hyperlink" Target="https://codes.ohio.gov/ohio-revised-code/section-2743.75" TargetMode="External"/><Relationship Id="rId1259" Type="http://schemas.openxmlformats.org/officeDocument/2006/relationships/hyperlink" Target="https://codes.ohio.gov/ohio-revised-code/section-109.43" TargetMode="External"/><Relationship Id="rId1466" Type="http://schemas.openxmlformats.org/officeDocument/2006/relationships/hyperlink" Target="http://www.supremecourt.ohio.gov/rod/docs/pdf/12/2014/2014-Ohio-3291.pdf" TargetMode="External"/><Relationship Id="rId836" Type="http://schemas.openxmlformats.org/officeDocument/2006/relationships/hyperlink" Target="https://codes.ohio.gov/ohio-revised-code/section-2930.04" TargetMode="External"/><Relationship Id="rId1021" Type="http://schemas.openxmlformats.org/officeDocument/2006/relationships/hyperlink" Target="https://www.supremecourt.ohio.gov/docs/LegalResources/Rules/civil/CivilProcedure.pdf" TargetMode="External"/><Relationship Id="rId1119" Type="http://schemas.openxmlformats.org/officeDocument/2006/relationships/hyperlink" Target="http://www.supremecourt.ohio.gov/rod/docs/pdf/0/2015/2015-Ohio-4915.pdf" TargetMode="External"/><Relationship Id="rId903" Type="http://schemas.openxmlformats.org/officeDocument/2006/relationships/hyperlink" Target="https://www.supremecourt.ohio.gov/rod/docs/pdf/0/2010/2010-Ohio-5995.pdf" TargetMode="External"/><Relationship Id="rId1326" Type="http://schemas.openxmlformats.org/officeDocument/2006/relationships/hyperlink" Target="https://www.supremecourt.ohio.gov/rod/docs/pdf/0/2016/2016-Ohio-2770.pdf" TargetMode="External"/><Relationship Id="rId1533" Type="http://schemas.openxmlformats.org/officeDocument/2006/relationships/hyperlink" Target="http://www.supremecourt.ohio.gov/rod/docs/pdf/4/2005/2005-Ohio-2869.pdf" TargetMode="External"/><Relationship Id="rId32" Type="http://schemas.openxmlformats.org/officeDocument/2006/relationships/hyperlink" Target="http://www.supremecourt.ohio.gov/rod/docs/pdf/0/1993/1993-Ohio-188.pdf" TargetMode="External"/><Relationship Id="rId181" Type="http://schemas.openxmlformats.org/officeDocument/2006/relationships/hyperlink" Target="http://www.supremecourt.ohio.gov/rod/docs/pdf/8/2003/2003-Ohio-1159.pdf" TargetMode="External"/><Relationship Id="rId279" Type="http://schemas.openxmlformats.org/officeDocument/2006/relationships/hyperlink" Target="https://codes.ohio.gov/ohio-revised-code/section-149.43" TargetMode="External"/><Relationship Id="rId486" Type="http://schemas.openxmlformats.org/officeDocument/2006/relationships/hyperlink" Target="https://codes.ohio.gov/ohio-revised-code/section-2923.122" TargetMode="External"/><Relationship Id="rId693" Type="http://schemas.openxmlformats.org/officeDocument/2006/relationships/hyperlink" Target="http://www.supremecourt.ohio.gov/rod/docs/pdf/0/1996/1996-Ohio-300.pdf" TargetMode="External"/><Relationship Id="rId139" Type="http://schemas.openxmlformats.org/officeDocument/2006/relationships/hyperlink" Target="http://www.supremecourt.ohio.gov/rod/docs/pdf/8/2018/2018-Ohio-5240.pdf" TargetMode="External"/><Relationship Id="rId346" Type="http://schemas.openxmlformats.org/officeDocument/2006/relationships/hyperlink" Target="https://codes.ohio.gov/ohio-revised-code/section-149.43" TargetMode="External"/><Relationship Id="rId553" Type="http://schemas.openxmlformats.org/officeDocument/2006/relationships/hyperlink" Target="https://codes.ohio.gov/ohio-revised-code/section-5153.17" TargetMode="External"/><Relationship Id="rId760" Type="http://schemas.openxmlformats.org/officeDocument/2006/relationships/hyperlink" Target="https://codes.ohio.gov/ohio-revised-code/section-2151.86" TargetMode="External"/><Relationship Id="rId998" Type="http://schemas.openxmlformats.org/officeDocument/2006/relationships/hyperlink" Target="https://www.ohioattorneygeneral.gov/getattachment/ef07e39e-b6f2-4b5a-85c5-6a5d9fa69ecc/2010-016.aspx" TargetMode="External"/><Relationship Id="rId1183" Type="http://schemas.openxmlformats.org/officeDocument/2006/relationships/hyperlink" Target="https://codes.ohio.gov/ohio-revised-code/section-149.351" TargetMode="External"/><Relationship Id="rId1390" Type="http://schemas.openxmlformats.org/officeDocument/2006/relationships/hyperlink" Target="https://www.supremecourt.ohio.gov/rod/docs/pdf/10/2016/2016-Ohio-1035.pdf" TargetMode="External"/><Relationship Id="rId206" Type="http://schemas.openxmlformats.org/officeDocument/2006/relationships/hyperlink" Target="http://www.supremecourt.ohio.gov/rod/docs/pdf/0/2001/2001-Ohio-193.pdf" TargetMode="External"/><Relationship Id="rId413" Type="http://schemas.openxmlformats.org/officeDocument/2006/relationships/hyperlink" Target="https://codes.ohio.gov/ohio-revised-code/section-3107.062" TargetMode="External"/><Relationship Id="rId858" Type="http://schemas.openxmlformats.org/officeDocument/2006/relationships/hyperlink" Target="https://www.supremecourt.ohio.gov/rod/docs/pdf/0/2020/2020-ohio-5585.pdf" TargetMode="External"/><Relationship Id="rId1043" Type="http://schemas.openxmlformats.org/officeDocument/2006/relationships/hyperlink" Target="http://www.supremecourt.ohio.gov/rod/docs/pdf/0/2010/2010-Ohio-5073.pdf" TargetMode="External"/><Relationship Id="rId1488" Type="http://schemas.openxmlformats.org/officeDocument/2006/relationships/hyperlink" Target="https://codes.ohio.gov/ohio-revised-code/section-121.22" TargetMode="External"/><Relationship Id="rId620" Type="http://schemas.openxmlformats.org/officeDocument/2006/relationships/hyperlink" Target="https://www.supremecourt.ohio.gov/rod/docs/pdf/13/2019/2019-Ohio-3268.pdf" TargetMode="External"/><Relationship Id="rId718" Type="http://schemas.openxmlformats.org/officeDocument/2006/relationships/hyperlink" Target="http://www.supremecourt.ohio.gov/rod/docs/pdf/0/2007/2007-Ohio-609.pdf" TargetMode="External"/><Relationship Id="rId925" Type="http://schemas.openxmlformats.org/officeDocument/2006/relationships/hyperlink" Target="http://www.supremecourt.ohio.gov/rod/docs/pdf/0/2004/2004-Ohio-1581.pdf" TargetMode="External"/><Relationship Id="rId1250" Type="http://schemas.openxmlformats.org/officeDocument/2006/relationships/hyperlink" Target="https://codes.ohio.gov/ohio-revised-code/section-109.43" TargetMode="External"/><Relationship Id="rId1348" Type="http://schemas.openxmlformats.org/officeDocument/2006/relationships/hyperlink" Target="https://www.supremecourt.ohio.gov/rod/docs/pdf/1/2022/2022-Ohio-1109.pdf" TargetMode="External"/><Relationship Id="rId1555" Type="http://schemas.openxmlformats.org/officeDocument/2006/relationships/hyperlink" Target="https://codes.ohio.gov/ohio-revised-code/section-121.22" TargetMode="External"/><Relationship Id="rId1110" Type="http://schemas.openxmlformats.org/officeDocument/2006/relationships/hyperlink" Target="https://codes.ohio.gov/ohio-revised-code/section-149.43" TargetMode="External"/><Relationship Id="rId1208" Type="http://schemas.openxmlformats.org/officeDocument/2006/relationships/hyperlink" Target="https://codes.ohio.gov/ohio-revised-code/section-149.34" TargetMode="External"/><Relationship Id="rId1415" Type="http://schemas.openxmlformats.org/officeDocument/2006/relationships/hyperlink" Target="https://www.supremecourt.ohio.gov/rod/docs/pdf/11/2023/2023-Ohio-2252.pdf" TargetMode="External"/><Relationship Id="rId54" Type="http://schemas.openxmlformats.org/officeDocument/2006/relationships/hyperlink" Target="http://www.supremecourt.ohio.gov/rod/docs/pdf/0/2004/2004-Ohio-1497.pdf" TargetMode="External"/><Relationship Id="rId270" Type="http://schemas.openxmlformats.org/officeDocument/2006/relationships/hyperlink" Target="https://codes.ohio.gov/ohio-revised-code/section-149.43" TargetMode="External"/><Relationship Id="rId130" Type="http://schemas.openxmlformats.org/officeDocument/2006/relationships/hyperlink" Target="http://www.supremecourt.ohio.gov/rod/docs/pdf/0/2005/2005-Ohio-3549.pdf" TargetMode="External"/><Relationship Id="rId368" Type="http://schemas.openxmlformats.org/officeDocument/2006/relationships/hyperlink" Target="http://www.supremecourt.ohio.gov/rod/docs/pdf/0/1997/1997-Ohio-353.pdf" TargetMode="External"/><Relationship Id="rId575" Type="http://schemas.openxmlformats.org/officeDocument/2006/relationships/hyperlink" Target="https://www.supremecourt.ohio.gov/rod/docs/pdf/0/2014/2014-Ohio-3679.pdf" TargetMode="External"/><Relationship Id="rId782" Type="http://schemas.openxmlformats.org/officeDocument/2006/relationships/hyperlink" Target="https://codes.ohio.gov/ohio-revised-code/section-149.43" TargetMode="External"/><Relationship Id="rId228" Type="http://schemas.openxmlformats.org/officeDocument/2006/relationships/hyperlink" Target="https://codes.ohio.gov/ohio-revised-code/section-149.43" TargetMode="External"/><Relationship Id="rId435" Type="http://schemas.openxmlformats.org/officeDocument/2006/relationships/hyperlink" Target="https://www.supremecourt.ohio.gov/rod/docs/pdf/13/2021/2021-Ohio-2704.pdf" TargetMode="External"/><Relationship Id="rId642" Type="http://schemas.openxmlformats.org/officeDocument/2006/relationships/hyperlink" Target="https://www.supremecourt.ohio.gov/docs/LegalResources/Rules/criminal/CriminalProcedure.pdf" TargetMode="External"/><Relationship Id="rId1065" Type="http://schemas.openxmlformats.org/officeDocument/2006/relationships/hyperlink" Target="https://codes.ohio.gov/ohio-revised-code/section-149.43" TargetMode="External"/><Relationship Id="rId1272" Type="http://schemas.openxmlformats.org/officeDocument/2006/relationships/hyperlink" Target="https://codes.ohio.gov/ohio-revised-code/section-121.22" TargetMode="External"/><Relationship Id="rId502" Type="http://schemas.openxmlformats.org/officeDocument/2006/relationships/hyperlink" Target="https://codes.ohio.gov/ohio-revised-code/section-149.43" TargetMode="External"/><Relationship Id="rId947" Type="http://schemas.openxmlformats.org/officeDocument/2006/relationships/hyperlink" Target="https://www.supremecourt.ohio.gov/rod/docs/pdf/0/2014/2014-ohio-243.pdf" TargetMode="External"/><Relationship Id="rId1132" Type="http://schemas.openxmlformats.org/officeDocument/2006/relationships/hyperlink" Target="https://codes.ohio.gov/ohio-revised-code/section-2743.75" TargetMode="External"/><Relationship Id="rId76" Type="http://schemas.openxmlformats.org/officeDocument/2006/relationships/hyperlink" Target="http://www.supremecourt.ohio.gov/rod/docs/pdf/12/2012/2012-Ohio-3879.pdf" TargetMode="External"/><Relationship Id="rId807" Type="http://schemas.openxmlformats.org/officeDocument/2006/relationships/hyperlink" Target="https://codes.ohio.gov/ohio-revised-code/section-4765.01" TargetMode="External"/><Relationship Id="rId1437" Type="http://schemas.openxmlformats.org/officeDocument/2006/relationships/hyperlink" Target="http://www.supremecourt.ohio.gov/rod/docs/pdf/0/2001/2001-Ohio-130.pdf" TargetMode="External"/><Relationship Id="rId1504" Type="http://schemas.openxmlformats.org/officeDocument/2006/relationships/hyperlink" Target="http://www.supremecourt.ohio.gov/rod/docs/pdf/8/2017/2017-Ohio-8484.pdf" TargetMode="External"/><Relationship Id="rId292" Type="http://schemas.openxmlformats.org/officeDocument/2006/relationships/hyperlink" Target="http://www.supremecourt.ohio.gov/rod/docs/pdf/0/2004/2004-Ohio-4354.pdf" TargetMode="External"/><Relationship Id="rId597" Type="http://schemas.openxmlformats.org/officeDocument/2006/relationships/hyperlink" Target="http://www.supremecourt.ohio.gov/rod/docs/pdf/10/2017/2017-Ohio-816.pdf" TargetMode="External"/><Relationship Id="rId152" Type="http://schemas.openxmlformats.org/officeDocument/2006/relationships/hyperlink" Target="https://www.supremecourt.ohio.gov/rod/docs/pdf/0/1997/1997-Ohio-206.pdf" TargetMode="External"/><Relationship Id="rId457" Type="http://schemas.openxmlformats.org/officeDocument/2006/relationships/hyperlink" Target="https://codes.ohio.gov/ohio-revised-code/section-150.01" TargetMode="External"/><Relationship Id="rId1087" Type="http://schemas.openxmlformats.org/officeDocument/2006/relationships/hyperlink" Target="https://codes.ohio.gov/ohio-revised-code/section-149.43" TargetMode="External"/><Relationship Id="rId1294" Type="http://schemas.openxmlformats.org/officeDocument/2006/relationships/hyperlink" Target="https://codes.ohio.gov/ohio-revised-code/section-121.22" TargetMode="External"/><Relationship Id="rId664" Type="http://schemas.openxmlformats.org/officeDocument/2006/relationships/hyperlink" Target="http://www.supremecourt.ohio.gov/rod/docs/pdf/0/2000/2000-Ohio-207.pdf" TargetMode="External"/><Relationship Id="rId871" Type="http://schemas.openxmlformats.org/officeDocument/2006/relationships/hyperlink" Target="https://www.supremecourt.ohio.gov/rod/docs/pdf/0/2006/2006-ohio-5858.pdf" TargetMode="External"/><Relationship Id="rId969" Type="http://schemas.openxmlformats.org/officeDocument/2006/relationships/hyperlink" Target="https://www.supremecourt.ohio.gov/docs/LegalResources/Rules/superintendence/Superintendence.pdf" TargetMode="External"/><Relationship Id="rId317" Type="http://schemas.openxmlformats.org/officeDocument/2006/relationships/hyperlink" Target="http://www.supremecourt.ohio.gov/rod/docs/pdf/0/2011/2011-Ohio-959.pdf" TargetMode="External"/><Relationship Id="rId524" Type="http://schemas.openxmlformats.org/officeDocument/2006/relationships/hyperlink" Target="http://www.supremecourt.ohio.gov/rod/docs/pdf/0/1996/1996-Ohio-214.pdf" TargetMode="External"/><Relationship Id="rId731" Type="http://schemas.openxmlformats.org/officeDocument/2006/relationships/hyperlink" Target="https://www.supremecourt.ohio.gov/rod/docs/pdf/10/2019/2019-Ohio-4009.pdf" TargetMode="External"/><Relationship Id="rId1154" Type="http://schemas.openxmlformats.org/officeDocument/2006/relationships/hyperlink" Target="https://www.supremecourt.ohio.gov/rod/docs/pdf/0/2020/2020-ohio-5371.pdf" TargetMode="External"/><Relationship Id="rId1361" Type="http://schemas.openxmlformats.org/officeDocument/2006/relationships/hyperlink" Target="http://www.supremecourt.ohio.gov/rod/docs/pdf/0/1998/1998-Ohio-445.pdf" TargetMode="External"/><Relationship Id="rId1459" Type="http://schemas.openxmlformats.org/officeDocument/2006/relationships/hyperlink" Target="https://codes.ohio.gov/ohio-revised-code/section-121.22" TargetMode="External"/><Relationship Id="rId98" Type="http://schemas.openxmlformats.org/officeDocument/2006/relationships/hyperlink" Target="https://www.supremecourt.ohio.gov/rod/docs/pdf/0/2012/2012-Ohio-4246.pdf" TargetMode="External"/><Relationship Id="rId829" Type="http://schemas.openxmlformats.org/officeDocument/2006/relationships/hyperlink" Target="https://codes.ohio.gov/ohio-revised-code/section-2930.02" TargetMode="External"/><Relationship Id="rId1014" Type="http://schemas.openxmlformats.org/officeDocument/2006/relationships/hyperlink" Target="https://codes.ohio.gov/ohio-revised-code/section-149.43" TargetMode="External"/><Relationship Id="rId1221" Type="http://schemas.openxmlformats.org/officeDocument/2006/relationships/hyperlink" Target="https://codes.ohio.gov/ohio-revised-code/section-149.351" TargetMode="External"/><Relationship Id="rId1319" Type="http://schemas.openxmlformats.org/officeDocument/2006/relationships/hyperlink" Target="https://codes.ohio.gov/ohio-revised-code/section-121.22" TargetMode="External"/><Relationship Id="rId1526" Type="http://schemas.openxmlformats.org/officeDocument/2006/relationships/hyperlink" Target="http://www.supremecourt.ohio.gov/rod/docs/pdf/11/2013/2013-Ohio-881.pdf" TargetMode="External"/><Relationship Id="rId25" Type="http://schemas.openxmlformats.org/officeDocument/2006/relationships/hyperlink" Target="http://www.supremecourt.ohio.gov/rod/docs/pdf/0/1999/1999-Ohio-114.pdf" TargetMode="External"/><Relationship Id="rId174" Type="http://schemas.openxmlformats.org/officeDocument/2006/relationships/hyperlink" Target="https://www.supremecourt.ohio.gov/rod/docs/pdf/13/2023/2023-Ohio-3958.pdf" TargetMode="External"/><Relationship Id="rId381" Type="http://schemas.openxmlformats.org/officeDocument/2006/relationships/hyperlink" Target="http://www.supremecourt.ohio.gov/rod/docs/pdf/0/2005/2005-Ohio-5521.pdf" TargetMode="External"/><Relationship Id="rId241" Type="http://schemas.openxmlformats.org/officeDocument/2006/relationships/hyperlink" Target="https://www.ohioattorneygeneral.gov/Files/Legal/Opinions/2014-Opinions/2014-009" TargetMode="External"/><Relationship Id="rId479" Type="http://schemas.openxmlformats.org/officeDocument/2006/relationships/hyperlink" Target="https://codes.ohio.gov/ohio-revised-code/section-149.43" TargetMode="External"/><Relationship Id="rId686" Type="http://schemas.openxmlformats.org/officeDocument/2006/relationships/hyperlink" Target="http://www.supremecourt.ohio.gov/rod/docs/pdf/0/1997/1997-Ohio-349.pdf" TargetMode="External"/><Relationship Id="rId893" Type="http://schemas.openxmlformats.org/officeDocument/2006/relationships/hyperlink" Target="https://codes.ohio.gov/ohio-revised-code/section-2151.86" TargetMode="External"/><Relationship Id="rId339" Type="http://schemas.openxmlformats.org/officeDocument/2006/relationships/hyperlink" Target="https://codes.ohio.gov/ohio-revised-code/section-3319.321" TargetMode="External"/><Relationship Id="rId546" Type="http://schemas.openxmlformats.org/officeDocument/2006/relationships/hyperlink" Target="https://www.ohioattorneygeneral.gov/getattachment/599603d3-3ff2-4939-a08f-686ec72a14eb/2017-042.aspx" TargetMode="External"/><Relationship Id="rId753" Type="http://schemas.openxmlformats.org/officeDocument/2006/relationships/hyperlink" Target="https://codes.ohio.gov/ohio-revised-code/section-2151.14" TargetMode="External"/><Relationship Id="rId1176" Type="http://schemas.openxmlformats.org/officeDocument/2006/relationships/hyperlink" Target="https://codes.ohio.gov/ohio-revised-code/section-149.43" TargetMode="External"/><Relationship Id="rId1383" Type="http://schemas.openxmlformats.org/officeDocument/2006/relationships/hyperlink" Target="https://codes.ohio.gov/ohio-revised-code/section-121.22" TargetMode="External"/><Relationship Id="rId101" Type="http://schemas.openxmlformats.org/officeDocument/2006/relationships/hyperlink" Target="https://www.supremecourt.ohio.gov/rod/docs/pdf/0/2012/2012-Ohio-4246.pdf" TargetMode="External"/><Relationship Id="rId406" Type="http://schemas.openxmlformats.org/officeDocument/2006/relationships/hyperlink" Target="https://codes.ohio.gov/ohio-revised-code/section-149.43" TargetMode="External"/><Relationship Id="rId960" Type="http://schemas.openxmlformats.org/officeDocument/2006/relationships/hyperlink" Target="http://www.supremecourt.ohio.gov/rod/docs/pdf/0/2009/2009-Ohio-4149.pdf" TargetMode="External"/><Relationship Id="rId1036" Type="http://schemas.openxmlformats.org/officeDocument/2006/relationships/hyperlink" Target="http://www.supremecourt.ohio.gov/rod/docs/pdf/0/2006/2006-Ohio-6365.pdf" TargetMode="External"/><Relationship Id="rId1243" Type="http://schemas.openxmlformats.org/officeDocument/2006/relationships/hyperlink" Target="https://codes.ohio.gov/ohio-revised-code/section-149.351" TargetMode="External"/><Relationship Id="rId613" Type="http://schemas.openxmlformats.org/officeDocument/2006/relationships/hyperlink" Target="http://www.supremecourt.ohio.gov/rod/docs/pdf/0/1997/1997-Ohio-271.pdf" TargetMode="External"/><Relationship Id="rId820" Type="http://schemas.openxmlformats.org/officeDocument/2006/relationships/hyperlink" Target="http://www.OhioAttorneyGeneral.gov/Sunshine" TargetMode="External"/><Relationship Id="rId918" Type="http://schemas.openxmlformats.org/officeDocument/2006/relationships/hyperlink" Target="https://www.ohioattorneygeneral.gov/getattachment/8ebab9b9-3731-4d38-9687-875946c8d2f1/1992-005.aspx" TargetMode="External"/><Relationship Id="rId1450" Type="http://schemas.openxmlformats.org/officeDocument/2006/relationships/hyperlink" Target="https://codes.ohio.gov/ohio-revised-code/section-121.22" TargetMode="External"/><Relationship Id="rId1548" Type="http://schemas.openxmlformats.org/officeDocument/2006/relationships/hyperlink" Target="http://www.supremecourt.ohio.gov/rod/docs/pdf/7/2016/2016-Ohio-4663.pdf" TargetMode="External"/><Relationship Id="rId1103" Type="http://schemas.openxmlformats.org/officeDocument/2006/relationships/hyperlink" Target="https://codes.ohio.gov/ohio-revised-code/section-149.43" TargetMode="External"/><Relationship Id="rId1310" Type="http://schemas.openxmlformats.org/officeDocument/2006/relationships/hyperlink" Target="https://codes.ohio.gov/ohio-revised-code/section-121.22" TargetMode="External"/><Relationship Id="rId1408" Type="http://schemas.openxmlformats.org/officeDocument/2006/relationships/hyperlink" Target="https://www.supremecourt.ohio.gov/pdf_viewer/pdf_viewer.aspx?pdf=880968.pdf&amp;subdirectory=2020-0248\DocketItems&amp;source=DL_Clerk" TargetMode="External"/><Relationship Id="rId47" Type="http://schemas.openxmlformats.org/officeDocument/2006/relationships/hyperlink" Target="http://www.supremecourt.ohio.gov/rod/docs/pdf/0/1998/1998-Ohio-597.pdf" TargetMode="External"/><Relationship Id="rId196" Type="http://schemas.openxmlformats.org/officeDocument/2006/relationships/hyperlink" Target="http://www.supremecourt.ohio.gov/rod/docs/pdf/0/2012/2012-Ohio-1862.pdf" TargetMode="External"/><Relationship Id="rId263" Type="http://schemas.openxmlformats.org/officeDocument/2006/relationships/hyperlink" Target="https://codes.ohio.gov/ohio-revised-code/section-149.43" TargetMode="External"/><Relationship Id="rId470" Type="http://schemas.openxmlformats.org/officeDocument/2006/relationships/hyperlink" Target="https://codes.ohio.gov/ohio-revised-code/section-149.45" TargetMode="External"/><Relationship Id="rId123" Type="http://schemas.openxmlformats.org/officeDocument/2006/relationships/hyperlink" Target="http://www.supremecourt.ohio.gov/rod/docs/pdf/0/2011/2011-Ohio-625.pdf" TargetMode="External"/><Relationship Id="rId330" Type="http://schemas.openxmlformats.org/officeDocument/2006/relationships/hyperlink" Target="https://codes.ohio.gov/ohio-revised-code/section-313.10" TargetMode="External"/><Relationship Id="rId568" Type="http://schemas.openxmlformats.org/officeDocument/2006/relationships/hyperlink" Target="https://codes.ohio.gov/ohio-revised-code/section-3319.321" TargetMode="External"/><Relationship Id="rId775" Type="http://schemas.openxmlformats.org/officeDocument/2006/relationships/hyperlink" Target="https://codes.ohio.gov/ohio-revised-code/section-149.43" TargetMode="External"/><Relationship Id="rId982" Type="http://schemas.openxmlformats.org/officeDocument/2006/relationships/hyperlink" Target="https://www.supremecourt.ohio.gov/rod/docs/pdf/0/2006/2006-Ohio-1215.pdf" TargetMode="External"/><Relationship Id="rId1198" Type="http://schemas.openxmlformats.org/officeDocument/2006/relationships/hyperlink" Target="https://codes.ohio.gov/ohio-revised-code/section-149.332" TargetMode="External"/><Relationship Id="rId428" Type="http://schemas.openxmlformats.org/officeDocument/2006/relationships/hyperlink" Target="https://codes.ohio.gov/ohio-revised-code/section-149.43" TargetMode="External"/><Relationship Id="rId635" Type="http://schemas.openxmlformats.org/officeDocument/2006/relationships/hyperlink" Target="http://www.supremecourt.ohio.gov/rod/docs/pdf/0/2009/2009-Ohio-4149.pdf" TargetMode="External"/><Relationship Id="rId842" Type="http://schemas.openxmlformats.org/officeDocument/2006/relationships/hyperlink" Target="https://codes.ohio.gov/ohio-revised-code/section-2930.07" TargetMode="External"/><Relationship Id="rId1058" Type="http://schemas.openxmlformats.org/officeDocument/2006/relationships/hyperlink" Target="https://codes.ohio.gov/ohio-revised-code/section-149.43" TargetMode="External"/><Relationship Id="rId1265" Type="http://schemas.openxmlformats.org/officeDocument/2006/relationships/hyperlink" Target="https://codes.ohio.gov/ohio-revised-code/section-109.43" TargetMode="External"/><Relationship Id="rId1472" Type="http://schemas.openxmlformats.org/officeDocument/2006/relationships/hyperlink" Target="https://codes.ohio.gov/ohio-revised-code/section-121.22" TargetMode="External"/><Relationship Id="rId702" Type="http://schemas.openxmlformats.org/officeDocument/2006/relationships/hyperlink" Target="http://www.supremecourt.ohio.gov/rod/docs/pdf/0/2005/2005-Ohio-5521.pdf" TargetMode="External"/><Relationship Id="rId1125" Type="http://schemas.openxmlformats.org/officeDocument/2006/relationships/hyperlink" Target="https://codes.ohio.gov/ohio-revised-code/section-2743.75" TargetMode="External"/><Relationship Id="rId1332" Type="http://schemas.openxmlformats.org/officeDocument/2006/relationships/hyperlink" Target="https://codes.ohio.gov/ohio-revised-code/section-940.39" TargetMode="External"/><Relationship Id="rId69" Type="http://schemas.openxmlformats.org/officeDocument/2006/relationships/hyperlink" Target="https://www.supremecourt.ohio.gov/rod/docs/pdf/13/2019/2019-Ohio-2624.pdf" TargetMode="External"/><Relationship Id="rId285" Type="http://schemas.openxmlformats.org/officeDocument/2006/relationships/hyperlink" Target="https://codes.ohio.gov/ohio-revised-code/section-149.43" TargetMode="External"/><Relationship Id="rId492" Type="http://schemas.openxmlformats.org/officeDocument/2006/relationships/hyperlink" Target="https://infosec.ohio.gov/Government.aspx" TargetMode="External"/><Relationship Id="rId797" Type="http://schemas.openxmlformats.org/officeDocument/2006/relationships/hyperlink" Target="https://codes.ohio.gov/ohio-revised-code/section-2945.402" TargetMode="External"/><Relationship Id="rId145" Type="http://schemas.openxmlformats.org/officeDocument/2006/relationships/hyperlink" Target="http://www.supremecourt.ohio.gov/rod/docs/pdf/0/2011/2011-Ohio-4897.pdf" TargetMode="External"/><Relationship Id="rId352" Type="http://schemas.openxmlformats.org/officeDocument/2006/relationships/hyperlink" Target="https://codes.ohio.gov/ohio-revised-code/section-313.10" TargetMode="External"/><Relationship Id="rId1287" Type="http://schemas.openxmlformats.org/officeDocument/2006/relationships/hyperlink" Target="https://www.ohioattorneygeneral.gov/getattachment/7eecfe53-365c-4fd3-bfb0-d923796f1431/1994-096.aspx" TargetMode="External"/><Relationship Id="rId212" Type="http://schemas.openxmlformats.org/officeDocument/2006/relationships/hyperlink" Target="https://www.supremecourt.ohio.gov/rod/docs/pdf/13/2021/2021-Ohio-4180.pdf" TargetMode="External"/><Relationship Id="rId657" Type="http://schemas.openxmlformats.org/officeDocument/2006/relationships/hyperlink" Target="http://www.supremecourt.ohio.gov/rod/docs/pdf/8/2015/2015-Ohio-4981.pdf" TargetMode="External"/><Relationship Id="rId864" Type="http://schemas.openxmlformats.org/officeDocument/2006/relationships/hyperlink" Target="http://www.supremecourt.ohio.gov/rod/docs/pdf/6/2009/2009-Ohio-3215.pdf" TargetMode="External"/><Relationship Id="rId1494" Type="http://schemas.openxmlformats.org/officeDocument/2006/relationships/hyperlink" Target="https://codes.ohio.gov/ohio-revised-code/section-121.22" TargetMode="External"/><Relationship Id="rId517" Type="http://schemas.openxmlformats.org/officeDocument/2006/relationships/hyperlink" Target="https://codes.ohio.gov/ohio-revised-code/section-319.28" TargetMode="External"/><Relationship Id="rId724" Type="http://schemas.openxmlformats.org/officeDocument/2006/relationships/hyperlink" Target="http://www.supremecourt.ohio.gov/rod/docs/pdf/0/2005/2005-Ohio-5521.pdf" TargetMode="External"/><Relationship Id="rId931" Type="http://schemas.openxmlformats.org/officeDocument/2006/relationships/hyperlink" Target="https://www.supremecourt.ohio.gov/rod/docs/pdf/0/2019/2019-ohio-5157.pdf" TargetMode="External"/><Relationship Id="rId1147" Type="http://schemas.openxmlformats.org/officeDocument/2006/relationships/hyperlink" Target="https://codes.ohio.gov/ohio-revised-code/section-2743.75" TargetMode="External"/><Relationship Id="rId1354" Type="http://schemas.openxmlformats.org/officeDocument/2006/relationships/hyperlink" Target="https://www.supremecourt.ohio.gov/rod/docs/pdf/11/2021/2021-Ohio-786.pdf" TargetMode="External"/><Relationship Id="rId1561" Type="http://schemas.openxmlformats.org/officeDocument/2006/relationships/hyperlink" Target="https://www.supremecourt.ohio.gov/rod/docs/pdf/0/2022/2022-Ohio-4605.pdf" TargetMode="External"/><Relationship Id="rId60" Type="http://schemas.openxmlformats.org/officeDocument/2006/relationships/hyperlink" Target="https://www.supremecourt.ohio.gov/rod/docs/pdf/13/2022/2022-Ohio-2661.pdf" TargetMode="External"/><Relationship Id="rId1007" Type="http://schemas.openxmlformats.org/officeDocument/2006/relationships/hyperlink" Target="https://codes.ohio.gov/ohio-revised-code/section-149.43" TargetMode="External"/><Relationship Id="rId1214" Type="http://schemas.openxmlformats.org/officeDocument/2006/relationships/hyperlink" Target="https://codes.ohio.gov/ohio-revised-code/section-149.381" TargetMode="External"/><Relationship Id="rId1421" Type="http://schemas.openxmlformats.org/officeDocument/2006/relationships/hyperlink" Target="http://www.supremecourt.ohio.gov/rod/docs/pdf/3/2003/2003-Ohio-6288.pdf" TargetMode="External"/><Relationship Id="rId1519" Type="http://schemas.openxmlformats.org/officeDocument/2006/relationships/hyperlink" Target="http://www.supremecourt.ohio.gov/rod/docs/pdf/9/2012/2012-Ohio-1787.pdf" TargetMode="External"/><Relationship Id="rId18" Type="http://schemas.openxmlformats.org/officeDocument/2006/relationships/hyperlink" Target="http://www.supremecourt.ohio.gov/rod/docs/pdf/0/2005/2005-Ohio-4384.pdf" TargetMode="External"/><Relationship Id="rId167" Type="http://schemas.openxmlformats.org/officeDocument/2006/relationships/hyperlink" Target="http://www.supremecourt.ohio.gov/rod/docs/pdf/0/2006/2006-Ohio-6714.pdf" TargetMode="External"/><Relationship Id="rId374" Type="http://schemas.openxmlformats.org/officeDocument/2006/relationships/hyperlink" Target="https://www.ohioattorneygeneral.gov/getattachment/e7530147-8079-4206-9881-17f5854a8e16/2001-041.aspx" TargetMode="External"/><Relationship Id="rId581" Type="http://schemas.openxmlformats.org/officeDocument/2006/relationships/hyperlink" Target="https://codes.ohio.gov/ohio-revised-code/section-149.433" TargetMode="External"/><Relationship Id="rId234" Type="http://schemas.openxmlformats.org/officeDocument/2006/relationships/hyperlink" Target="https://www.supremecourt.ohio.gov/rod/docs/pdf/0/2022/2022-Ohio-2105.pdf" TargetMode="External"/><Relationship Id="rId679" Type="http://schemas.openxmlformats.org/officeDocument/2006/relationships/hyperlink" Target="http://www.supremecourt.ohio.gov/rod/docs/pdf/10/2005/2005-Ohio-3377.pdf" TargetMode="External"/><Relationship Id="rId886" Type="http://schemas.openxmlformats.org/officeDocument/2006/relationships/hyperlink" Target="http://www.supremecourt.ohio.gov/rod/docs/pdf/0/2002/2002-Ohio-5311.pdf" TargetMode="External"/><Relationship Id="rId2" Type="http://schemas.openxmlformats.org/officeDocument/2006/relationships/hyperlink" Target="http://www.supremecourt.ohio.gov/rod/docs/pdf/0/2012/2012-Ohio-115.pdf" TargetMode="External"/><Relationship Id="rId441" Type="http://schemas.openxmlformats.org/officeDocument/2006/relationships/hyperlink" Target="https://codes.ohio.gov/ohio-revised-code/section-3121.894" TargetMode="External"/><Relationship Id="rId539" Type="http://schemas.openxmlformats.org/officeDocument/2006/relationships/hyperlink" Target="https://www.supremecourt.ohio.gov/rod/docs/pdf/10/2022/2022-Ohio-272.pdf" TargetMode="External"/><Relationship Id="rId746" Type="http://schemas.openxmlformats.org/officeDocument/2006/relationships/hyperlink" Target="https://www.ohioattorneygeneral.gov/getattachment/e7530147-8079-4206-9881-17f5854a8e16/2001-041.aspx" TargetMode="External"/><Relationship Id="rId1071" Type="http://schemas.openxmlformats.org/officeDocument/2006/relationships/hyperlink" Target="http://www.supremecourt.ohio.gov/rod/docs/pdf/0/2012/2012-Ohio-5320.pdf" TargetMode="External"/><Relationship Id="rId1169" Type="http://schemas.openxmlformats.org/officeDocument/2006/relationships/hyperlink" Target="http://www.supremecourt.ohio.gov/rod/docs/pdf/8/2018/2018-Ohio-5240.pdf" TargetMode="External"/><Relationship Id="rId1376" Type="http://schemas.openxmlformats.org/officeDocument/2006/relationships/hyperlink" Target="https://codes.ohio.gov/ohio-revised-code/section-121.22" TargetMode="External"/><Relationship Id="rId301" Type="http://schemas.openxmlformats.org/officeDocument/2006/relationships/hyperlink" Target="http://www.supremecourt.ohio.gov/rod/docs/pdf/0/1998/1998-Ohio-597.pdf" TargetMode="External"/><Relationship Id="rId953" Type="http://schemas.openxmlformats.org/officeDocument/2006/relationships/hyperlink" Target="https://www.supremecourt.ohio.gov/docs/LegalResources/Rules/superintendence/Superintendence.pdf" TargetMode="External"/><Relationship Id="rId1029" Type="http://schemas.openxmlformats.org/officeDocument/2006/relationships/hyperlink" Target="http://www.supremecourt.ohio.gov/rod/docs/pdf/0/2013/2013-Ohio-199.pdf" TargetMode="External"/><Relationship Id="rId1236" Type="http://schemas.openxmlformats.org/officeDocument/2006/relationships/hyperlink" Target="http://www.supremecourt.ohio.gov/rod/docs/pdf/8/2008/2008-Ohio-5095.pdf" TargetMode="External"/><Relationship Id="rId82" Type="http://schemas.openxmlformats.org/officeDocument/2006/relationships/hyperlink" Target="https://www.supremecourt.ohio.gov/rod/docs/pdf/5/2019/2019-Ohio-5435.pdf" TargetMode="External"/><Relationship Id="rId606" Type="http://schemas.openxmlformats.org/officeDocument/2006/relationships/hyperlink" Target="https://www.supremecourt.ohio.gov/rod/docs/pdf/0/2020/2020-ohio-5585.pdf" TargetMode="External"/><Relationship Id="rId813" Type="http://schemas.openxmlformats.org/officeDocument/2006/relationships/hyperlink" Target="https://codes.ohio.gov/ohio-revised-code/section-149.43" TargetMode="External"/><Relationship Id="rId1443" Type="http://schemas.openxmlformats.org/officeDocument/2006/relationships/hyperlink" Target="https://codes.ohio.gov/ohio-revised-code/section-5502.24" TargetMode="External"/><Relationship Id="rId1303" Type="http://schemas.openxmlformats.org/officeDocument/2006/relationships/hyperlink" Target="https://codes.ohio.gov/ohio-revised-code/section-4734.37" TargetMode="External"/><Relationship Id="rId1510" Type="http://schemas.openxmlformats.org/officeDocument/2006/relationships/hyperlink" Target="http://www.supremecourt.ohio.gov/rod/docs/pdf/4/2008/2008-Ohio-6342.pdf" TargetMode="External"/><Relationship Id="rId189" Type="http://schemas.openxmlformats.org/officeDocument/2006/relationships/hyperlink" Target="https://www.supremecourt.ohio.gov/rod/docs/pdf/0/2008/2008-Ohio-6253.pdf" TargetMode="External"/><Relationship Id="rId396" Type="http://schemas.openxmlformats.org/officeDocument/2006/relationships/hyperlink" Target="http://www.supremecourt.ohio.gov/rod/docs/pdf/0/2012/2012-Ohio-115.pdf" TargetMode="External"/><Relationship Id="rId256" Type="http://schemas.openxmlformats.org/officeDocument/2006/relationships/hyperlink" Target="http://www.supremecourt.ohio.gov/rod/docs/pdf/0/2006/2006-Ohio-662.pdf" TargetMode="External"/><Relationship Id="rId463" Type="http://schemas.openxmlformats.org/officeDocument/2006/relationships/hyperlink" Target="https://codes.ohio.gov/ohio-revised-code/section-149.43" TargetMode="External"/><Relationship Id="rId670" Type="http://schemas.openxmlformats.org/officeDocument/2006/relationships/hyperlink" Target="http://www.supremecourt.ohio.gov/rod/docs/pdf/0/2013/2013-Ohio-761.pdf" TargetMode="External"/><Relationship Id="rId1093" Type="http://schemas.openxmlformats.org/officeDocument/2006/relationships/hyperlink" Target="https://www.supremecourt.ohio.gov/rod/docs/pdf/0/2021/2021-Ohio-624.pdf" TargetMode="External"/><Relationship Id="rId116" Type="http://schemas.openxmlformats.org/officeDocument/2006/relationships/hyperlink" Target="https://www.supremecourt.ohio.gov/rod/docs/pdf/13/2019/2019-Ohio-2623.pdf" TargetMode="External"/><Relationship Id="rId323" Type="http://schemas.openxmlformats.org/officeDocument/2006/relationships/hyperlink" Target="https://codes.ohio.gov/ohio-revised-code/section-2950.08" TargetMode="External"/><Relationship Id="rId530" Type="http://schemas.openxmlformats.org/officeDocument/2006/relationships/hyperlink" Target="https://codes.ohio.gov/ohio-revised-code/section-718.13" TargetMode="External"/><Relationship Id="rId768" Type="http://schemas.openxmlformats.org/officeDocument/2006/relationships/hyperlink" Target="https://codes.ohio.gov/ohio-revised-code/section-149.43" TargetMode="External"/><Relationship Id="rId975" Type="http://schemas.openxmlformats.org/officeDocument/2006/relationships/hyperlink" Target="https://www.supremecourt.ohio.gov/rod/docs/pdf/0/2022/2022-Ohio-448.pdf" TargetMode="External"/><Relationship Id="rId1160" Type="http://schemas.openxmlformats.org/officeDocument/2006/relationships/hyperlink" Target="https://codes.ohio.gov/ohio-revised-code/section-2743.75" TargetMode="External"/><Relationship Id="rId1398" Type="http://schemas.openxmlformats.org/officeDocument/2006/relationships/hyperlink" Target="https://www.ohioattorneygeneral.gov/getattachment/e70cfc3a-dea6-4a50-9ae5-1ec32256de85/1988-029.aspx" TargetMode="External"/><Relationship Id="rId628" Type="http://schemas.openxmlformats.org/officeDocument/2006/relationships/hyperlink" Target="https://codes.ohio.gov/ohio-revised-code/section-2953.32" TargetMode="External"/><Relationship Id="rId835" Type="http://schemas.openxmlformats.org/officeDocument/2006/relationships/hyperlink" Target="https://codes.ohio.gov/ohio-revised-code/section-2930.04" TargetMode="External"/><Relationship Id="rId1258" Type="http://schemas.openxmlformats.org/officeDocument/2006/relationships/hyperlink" Target="https://codes.ohio.gov/ohio-revised-code/section-109.43" TargetMode="External"/><Relationship Id="rId1465" Type="http://schemas.openxmlformats.org/officeDocument/2006/relationships/hyperlink" Target="https://codes.ohio.gov/ohio-revised-code/section-121.22" TargetMode="External"/><Relationship Id="rId1020" Type="http://schemas.openxmlformats.org/officeDocument/2006/relationships/hyperlink" Target="http://www.supremecourt.ohio.gov/rod/docs/pdf/8/2014/2014-Ohio-4469.pdf" TargetMode="External"/><Relationship Id="rId1118" Type="http://schemas.openxmlformats.org/officeDocument/2006/relationships/hyperlink" Target="http://www.supremecourt.ohio.gov/rod/docs/pdf/4/2013/2013-Ohio-5414.pdf" TargetMode="External"/><Relationship Id="rId1325" Type="http://schemas.openxmlformats.org/officeDocument/2006/relationships/hyperlink" Target="http://www.supremecourt.ohio.gov/rod/docs/pdf/1/2005/2005-Ohio-3489.pdf" TargetMode="External"/><Relationship Id="rId1532" Type="http://schemas.openxmlformats.org/officeDocument/2006/relationships/hyperlink" Target="http://www.supremecourt.ohio.gov/rod/docs/pdf/2/2003/2003-Ohio-4084.pdf" TargetMode="External"/><Relationship Id="rId902" Type="http://schemas.openxmlformats.org/officeDocument/2006/relationships/hyperlink" Target="https://www.supremecourt.ohio.gov/rod/docs/pdf/0/1995/1995-Ohio-248.pdf" TargetMode="External"/><Relationship Id="rId31" Type="http://schemas.openxmlformats.org/officeDocument/2006/relationships/hyperlink" Target="http://www.supremecourt.ohio.gov/rod/docs/pdf/0/2012/2012-Ohio-115.pdf" TargetMode="External"/><Relationship Id="rId180" Type="http://schemas.openxmlformats.org/officeDocument/2006/relationships/hyperlink" Target="http://www.supremecourt.ohio.gov/rod/docs/pdf/0/2010/2010-Ohio-3267.pdf" TargetMode="External"/><Relationship Id="rId278" Type="http://schemas.openxmlformats.org/officeDocument/2006/relationships/hyperlink" Target="https://www.ohioattorneygeneral.gov/getattachment/02077ea7-bd46-41a4-86e1-51da111f1cc3/2014-009.aspx" TargetMode="External"/><Relationship Id="rId485" Type="http://schemas.openxmlformats.org/officeDocument/2006/relationships/hyperlink" Target="https://codes.ohio.gov/ohio-revised-code/section-5502.703" TargetMode="External"/><Relationship Id="rId692" Type="http://schemas.openxmlformats.org/officeDocument/2006/relationships/hyperlink" Target="https://www.supremecourt.ohio.gov/docs/LegalResources/Rules/criminal/CriminalProcedure.pdf" TargetMode="External"/><Relationship Id="rId138" Type="http://schemas.openxmlformats.org/officeDocument/2006/relationships/hyperlink" Target="http://www.supremecourt.ohio.gov/rod/docs/pdf/0/2011/2011-Ohio-625.pdf" TargetMode="External"/><Relationship Id="rId345" Type="http://schemas.openxmlformats.org/officeDocument/2006/relationships/hyperlink" Target="https://codes.ohio.gov/ohio-revised-code/section-149.43" TargetMode="External"/><Relationship Id="rId552" Type="http://schemas.openxmlformats.org/officeDocument/2006/relationships/hyperlink" Target="http://www.supremecourt.ohio.gov/rod/docs/pdf/0/2009/2009-Ohio-4149.pdf" TargetMode="External"/><Relationship Id="rId997" Type="http://schemas.openxmlformats.org/officeDocument/2006/relationships/hyperlink" Target="https://codes.ohio.gov/ohio-revised-code/section-1347.15" TargetMode="External"/><Relationship Id="rId1182" Type="http://schemas.openxmlformats.org/officeDocument/2006/relationships/hyperlink" Target="https://www.supremecourt.ohio.gov/rod/docs/pdf/0/2011/2011-Ohio-3279.pdf" TargetMode="External"/><Relationship Id="rId205" Type="http://schemas.openxmlformats.org/officeDocument/2006/relationships/hyperlink" Target="http://www.supremecourt.ohio.gov/rod/docs/pdf/0/2012/2012-Ohio-4228.pdf" TargetMode="External"/><Relationship Id="rId412" Type="http://schemas.openxmlformats.org/officeDocument/2006/relationships/hyperlink" Target="https://codes.ohio.gov/ohio-revised-code/section-149.43" TargetMode="External"/><Relationship Id="rId857" Type="http://schemas.openxmlformats.org/officeDocument/2006/relationships/hyperlink" Target="http://www.supremecourt.ohio.gov/rod/docs/pdf/0/2011/2011-Ohio-1914.pdf" TargetMode="External"/><Relationship Id="rId1042" Type="http://schemas.openxmlformats.org/officeDocument/2006/relationships/hyperlink" Target="http://www.supremecourt.ohio.gov/rod/docs/pdf/0/2014/2014-Ohio-3679.pdf" TargetMode="External"/><Relationship Id="rId1487" Type="http://schemas.openxmlformats.org/officeDocument/2006/relationships/hyperlink" Target="https://codes.ohio.gov/ohio-revised-code/section-121.22" TargetMode="External"/><Relationship Id="rId717" Type="http://schemas.openxmlformats.org/officeDocument/2006/relationships/hyperlink" Target="https://www.supremecourt.ohio.gov/rod/docs/pdf/0/2016/2016-Ohio-8394.pdf" TargetMode="External"/><Relationship Id="rId924" Type="http://schemas.openxmlformats.org/officeDocument/2006/relationships/hyperlink" Target="https://codes.ohio.gov/ohio-revised-code/section-2151.142" TargetMode="External"/><Relationship Id="rId1347" Type="http://schemas.openxmlformats.org/officeDocument/2006/relationships/hyperlink" Target="https://codes.ohio.gov/ohio-revised-code/section-121.22" TargetMode="External"/><Relationship Id="rId1554" Type="http://schemas.openxmlformats.org/officeDocument/2006/relationships/hyperlink" Target="http://www.supremecourt.ohio.gov/rod/docs/pdf/5/2014/2014-Ohio-4889.pdf" TargetMode="External"/><Relationship Id="rId53" Type="http://schemas.openxmlformats.org/officeDocument/2006/relationships/hyperlink" Target="https://www.supremecourt.ohio.gov/rod/docs/pdf/13/2020/2020-Ohio-6637.pdf" TargetMode="External"/><Relationship Id="rId1207" Type="http://schemas.openxmlformats.org/officeDocument/2006/relationships/hyperlink" Target="http://www.supremecourt.ohio.gov/rod/docs/pdf/0/2000/2000-Ohio-8.pdf" TargetMode="External"/><Relationship Id="rId1414" Type="http://schemas.openxmlformats.org/officeDocument/2006/relationships/hyperlink" Target="https://codes.ohio.gov/ohio-revised-code/section-121.22" TargetMode="External"/><Relationship Id="rId367" Type="http://schemas.openxmlformats.org/officeDocument/2006/relationships/hyperlink" Target="http://www.supremecourt.ohio.gov/rod/docs/pdf/0/1999/1999-Ohio-435.pdf" TargetMode="External"/><Relationship Id="rId574" Type="http://schemas.openxmlformats.org/officeDocument/2006/relationships/hyperlink" Target="https://codes.ohio.gov/ohio-revised-code/section-149.433" TargetMode="External"/><Relationship Id="rId227" Type="http://schemas.openxmlformats.org/officeDocument/2006/relationships/hyperlink" Target="http://www.supremecourt.ohio.gov/rod/docs/pdf/0/1999/1999-Ohio-264.pdf" TargetMode="External"/><Relationship Id="rId781" Type="http://schemas.openxmlformats.org/officeDocument/2006/relationships/hyperlink" Target="https://codes.ohio.gov/ohio-revised-code/section-109.71" TargetMode="External"/><Relationship Id="rId879" Type="http://schemas.openxmlformats.org/officeDocument/2006/relationships/hyperlink" Target="http://www.supremecourt.ohio.gov/rod/docs/pdf/0/2000/2000-Ohio-345.pdf" TargetMode="External"/><Relationship Id="rId434" Type="http://schemas.openxmlformats.org/officeDocument/2006/relationships/hyperlink" Target="https://codes.ohio.gov/ohio-revised-code/section-149.43" TargetMode="External"/><Relationship Id="rId641" Type="http://schemas.openxmlformats.org/officeDocument/2006/relationships/hyperlink" Target="http://www.supremecourt.ohio.gov/rod/docs/pdf/0/2015/2015-Ohio-235.pdf" TargetMode="External"/><Relationship Id="rId739" Type="http://schemas.openxmlformats.org/officeDocument/2006/relationships/hyperlink" Target="https://codes.ohio.gov/ohio-revised-code/section-149.43" TargetMode="External"/><Relationship Id="rId1064" Type="http://schemas.openxmlformats.org/officeDocument/2006/relationships/hyperlink" Target="http://www.supremecourt.ohio.gov/rod/docs/pdf/0/2004/2004-Ohio-4884.pdf" TargetMode="External"/><Relationship Id="rId1271" Type="http://schemas.openxmlformats.org/officeDocument/2006/relationships/hyperlink" Target="http://www.supremecourt.ohio.gov/rod/docs/pdf/5/2008/2008-Ohio-4060.pdf" TargetMode="External"/><Relationship Id="rId1369" Type="http://schemas.openxmlformats.org/officeDocument/2006/relationships/hyperlink" Target="https://www.ohioattorneygeneral.gov/getattachment/6b38f87f-9ab6-4c50-8d80-57995516e81a/1980-083.aspx" TargetMode="External"/><Relationship Id="rId501" Type="http://schemas.openxmlformats.org/officeDocument/2006/relationships/hyperlink" Target="http://www.supremecourt.ohio.gov/rod/docs/pdf/8/2013/2013-Ohio-4481.pdf" TargetMode="External"/><Relationship Id="rId946" Type="http://schemas.openxmlformats.org/officeDocument/2006/relationships/hyperlink" Target="https://www.supremecourt.ohio.gov/docs/LegalResources/Rules/superintendence/Superintendence.pdf" TargetMode="External"/><Relationship Id="rId1131" Type="http://schemas.openxmlformats.org/officeDocument/2006/relationships/hyperlink" Target="https://codes.ohio.gov/ohio-revised-code/section-2743.75" TargetMode="External"/><Relationship Id="rId1229" Type="http://schemas.openxmlformats.org/officeDocument/2006/relationships/hyperlink" Target="http://www.supremecourt.ohio.gov/rod/docs/pdf/8/2018/2018-Ohio-1398.pdf" TargetMode="External"/><Relationship Id="rId75" Type="http://schemas.openxmlformats.org/officeDocument/2006/relationships/hyperlink" Target="http://www.supremecourt.ohio.gov/rod/docs/pdf/10/2014/2014-Ohio-5660.pdf" TargetMode="External"/><Relationship Id="rId806" Type="http://schemas.openxmlformats.org/officeDocument/2006/relationships/hyperlink" Target="https://codes.ohio.gov/ohio-revised-code/section-149.43" TargetMode="External"/><Relationship Id="rId1436" Type="http://schemas.openxmlformats.org/officeDocument/2006/relationships/hyperlink" Target="http://www.supremecourt.ohio.gov/rod/docs/pdf/4/2013/2013-Ohio-5415.pdf" TargetMode="External"/><Relationship Id="rId1503" Type="http://schemas.openxmlformats.org/officeDocument/2006/relationships/hyperlink" Target="https://www.ohioattorneygeneral.gov/getattachment/e70cfc3a-dea6-4a50-9ae5-1ec32256de85/1988-029.aspx" TargetMode="External"/><Relationship Id="rId291" Type="http://schemas.openxmlformats.org/officeDocument/2006/relationships/hyperlink" Target="http://www.supremecourt.ohio.gov/rod/docs/pdf/0/2013/2013-Ohio-1505.pdf" TargetMode="External"/><Relationship Id="rId151" Type="http://schemas.openxmlformats.org/officeDocument/2006/relationships/hyperlink" Target="http://www.supremecourt.ohio.gov/rod/docs/pdf/0/2001/2001-Ohio-1895.pdf" TargetMode="External"/><Relationship Id="rId389" Type="http://schemas.openxmlformats.org/officeDocument/2006/relationships/hyperlink" Target="https://codes.ohio.gov/ohio-revised-code/section-149.43" TargetMode="External"/><Relationship Id="rId596" Type="http://schemas.openxmlformats.org/officeDocument/2006/relationships/hyperlink" Target="http://www.supremecourt.ohio.gov/rod/docs/pdf/0/2005/2005-Ohio-1508.pdf" TargetMode="External"/><Relationship Id="rId249" Type="http://schemas.openxmlformats.org/officeDocument/2006/relationships/hyperlink" Target="http://www.supremecourt.ohio.gov/rod/docs/pdf/0/2012/2012-Ohio-1007.pdf" TargetMode="External"/><Relationship Id="rId456" Type="http://schemas.openxmlformats.org/officeDocument/2006/relationships/hyperlink" Target="https://codes.ohio.gov/ohio-revised-code/section-149.43" TargetMode="External"/><Relationship Id="rId663" Type="http://schemas.openxmlformats.org/officeDocument/2006/relationships/hyperlink" Target="http://www.supremecourt.ohio.gov/rod/docs/pdf/0/2000/2000-Ohio-207.pdf" TargetMode="External"/><Relationship Id="rId870" Type="http://schemas.openxmlformats.org/officeDocument/2006/relationships/hyperlink" Target="http://www.supremecourt.ohio.gov/rod/docs/pdf/12/2017/2017-Ohio-7810.pdf" TargetMode="External"/><Relationship Id="rId1086" Type="http://schemas.openxmlformats.org/officeDocument/2006/relationships/hyperlink" Target="https://www.supremecourt.ohio.gov/rod/docs/pdf/0/2023/2023-Ohio-1177.pdf" TargetMode="External"/><Relationship Id="rId1293" Type="http://schemas.openxmlformats.org/officeDocument/2006/relationships/hyperlink" Target="https://codes.ohio.gov/ohio-revised-code/section-121.22" TargetMode="External"/><Relationship Id="rId109" Type="http://schemas.openxmlformats.org/officeDocument/2006/relationships/hyperlink" Target="http://www.supremecourt.ohio.gov/rod/docs/pdf/8/2014/2014-Ohio-5555.pdf" TargetMode="External"/><Relationship Id="rId316" Type="http://schemas.openxmlformats.org/officeDocument/2006/relationships/hyperlink" Target="https://www.supremecourt.ohio.gov/rod/docs/pdf/0/2020/2020-ohio-5585.pdf" TargetMode="External"/><Relationship Id="rId523" Type="http://schemas.openxmlformats.org/officeDocument/2006/relationships/hyperlink" Target="http://www.supremecourt.ohio.gov/rod/docs/pdf/0/2005/2005-Ohio-685.pdf" TargetMode="External"/><Relationship Id="rId968" Type="http://schemas.openxmlformats.org/officeDocument/2006/relationships/hyperlink" Target="https://www.supremecourt.ohio.gov/docs/LegalResources/Rules/superintendence/Superintendence.pdf" TargetMode="External"/><Relationship Id="rId1153" Type="http://schemas.openxmlformats.org/officeDocument/2006/relationships/hyperlink" Target="https://www.supremecourt.ohio.gov/rod/docs/pdf/0/2020/2020-ohio-5371.pdf" TargetMode="External"/><Relationship Id="rId97" Type="http://schemas.openxmlformats.org/officeDocument/2006/relationships/hyperlink" Target="https://www.supremecourt.ohio.gov/rod/docs/pdf/0/2024/2024-Ohio-103.pdf" TargetMode="External"/><Relationship Id="rId730" Type="http://schemas.openxmlformats.org/officeDocument/2006/relationships/hyperlink" Target="http://www.supremecourt.ohio.gov/rod/docs/pdf/0/2004/2004-Ohio-6557.pdf" TargetMode="External"/><Relationship Id="rId828" Type="http://schemas.openxmlformats.org/officeDocument/2006/relationships/hyperlink" Target="https://codes.ohio.gov/ohio-revised-code/section-2930.02" TargetMode="External"/><Relationship Id="rId1013" Type="http://schemas.openxmlformats.org/officeDocument/2006/relationships/hyperlink" Target="http://www.supremecourt.ohio.gov/rod/docs/pdf/5/2015/2015-Ohio-4126.pdf" TargetMode="External"/><Relationship Id="rId1360" Type="http://schemas.openxmlformats.org/officeDocument/2006/relationships/hyperlink" Target="http://www.supremecourt.ohio.gov/rod/docs/pdf/0/1998/1998-Ohio-445.pdf" TargetMode="External"/><Relationship Id="rId1458" Type="http://schemas.openxmlformats.org/officeDocument/2006/relationships/hyperlink" Target="http://www.supremecourt.ohio.gov/rod/docs/pdf/1/2013/2013-Ohio-5513.pdf" TargetMode="External"/><Relationship Id="rId1220" Type="http://schemas.openxmlformats.org/officeDocument/2006/relationships/hyperlink" Target="http://www.supremecourt.ohio.gov/rod/docs/pdf/5/2014/2014-Ohio-4848.pdf" TargetMode="External"/><Relationship Id="rId1318" Type="http://schemas.openxmlformats.org/officeDocument/2006/relationships/hyperlink" Target="https://codes.ohio.gov/ohio-revised-code/section-121.22" TargetMode="External"/><Relationship Id="rId1525" Type="http://schemas.openxmlformats.org/officeDocument/2006/relationships/hyperlink" Target="https://www.supremecourt.ohio.gov/rod/docs/pdf/0/2022/2022-Ohio-4237.pdf" TargetMode="External"/><Relationship Id="rId24" Type="http://schemas.openxmlformats.org/officeDocument/2006/relationships/hyperlink" Target="http://www.supremecourt.ohio.gov/rod/docs/pdf/0/2011/2011-Ohio-231.pdf" TargetMode="External"/><Relationship Id="rId173" Type="http://schemas.openxmlformats.org/officeDocument/2006/relationships/hyperlink" Target="http://www.supremecourt.ohio.gov/rod/docs/pdf/6/2009/2009-Ohio-2052.pdf" TargetMode="External"/><Relationship Id="rId380" Type="http://schemas.openxmlformats.org/officeDocument/2006/relationships/hyperlink" Target="http://www.supremecourt.ohio.gov/rod/docs/pdf/0/2005/2005-Ohio-5521.pdf" TargetMode="External"/><Relationship Id="rId240" Type="http://schemas.openxmlformats.org/officeDocument/2006/relationships/hyperlink" Target="https://www.ohioattorneygeneral.gov/Files/Legal/Opinions/2014-Opinions/2014-009" TargetMode="External"/><Relationship Id="rId478" Type="http://schemas.openxmlformats.org/officeDocument/2006/relationships/hyperlink" Target="https://codes.ohio.gov/ohio-revised-code/section-149.43" TargetMode="External"/><Relationship Id="rId685" Type="http://schemas.openxmlformats.org/officeDocument/2006/relationships/hyperlink" Target="https://www.supremecourt.ohio.gov/rod/docs/pdf/0/2017/2017-Ohio-8988.pdf" TargetMode="External"/><Relationship Id="rId892" Type="http://schemas.openxmlformats.org/officeDocument/2006/relationships/hyperlink" Target="https://codes.ohio.gov/ohio-revised-code/section-109.5721" TargetMode="External"/><Relationship Id="rId100" Type="http://schemas.openxmlformats.org/officeDocument/2006/relationships/hyperlink" Target="https://www.supremecourt.ohio.gov/rod/docs/pdf/13/2022/2022-Ohio-1617.pdf" TargetMode="External"/><Relationship Id="rId338" Type="http://schemas.openxmlformats.org/officeDocument/2006/relationships/hyperlink" Target="http://www.supremecourt.ohio.gov/rod/docs/pdf/5/2014/2014-Ohio-2989.pdf" TargetMode="External"/><Relationship Id="rId545" Type="http://schemas.openxmlformats.org/officeDocument/2006/relationships/hyperlink" Target="https://www.ohioattorneygeneral.gov/getattachment/89493001-4548-4b80-b371-a872e6b348d9/1990-101.aspx" TargetMode="External"/><Relationship Id="rId752" Type="http://schemas.openxmlformats.org/officeDocument/2006/relationships/hyperlink" Target="https://codes.ohio.gov/ohio-revised-code/section-2151.358" TargetMode="External"/><Relationship Id="rId1175" Type="http://schemas.openxmlformats.org/officeDocument/2006/relationships/hyperlink" Target="https://codes.ohio.gov/ohio-revised-code/section-149.43" TargetMode="External"/><Relationship Id="rId1382" Type="http://schemas.openxmlformats.org/officeDocument/2006/relationships/hyperlink" Target="http://www.supremecourt.ohio.gov/rod/docs/pdf/6/2002/2002-Ohio-4660.pdf" TargetMode="External"/><Relationship Id="rId405" Type="http://schemas.openxmlformats.org/officeDocument/2006/relationships/hyperlink" Target="https://codes.ohio.gov/ohio-revised-code/section-2919.121" TargetMode="External"/><Relationship Id="rId612" Type="http://schemas.openxmlformats.org/officeDocument/2006/relationships/hyperlink" Target="http://www.supremecourt.ohio.gov/rod/docs/pdf/0/1997/1997-Ohio-271.pdf" TargetMode="External"/><Relationship Id="rId1035" Type="http://schemas.openxmlformats.org/officeDocument/2006/relationships/hyperlink" Target="http://www.supremecourt.ohio.gov/rod/docs/pdf/0/2008/2008-Ohio-4788.pdf" TargetMode="External"/><Relationship Id="rId1242" Type="http://schemas.openxmlformats.org/officeDocument/2006/relationships/hyperlink" Target="http://www.supremecourt.ohio.gov/rod/docs/pdf/5/2008/2008-Ohio-5011.pdf" TargetMode="External"/><Relationship Id="rId917" Type="http://schemas.openxmlformats.org/officeDocument/2006/relationships/hyperlink" Target="https://www.ohioattorneygeneral.gov/getattachment/8ebab9b9-3731-4d38-9687-875946c8d2f1/1992-005.aspx" TargetMode="External"/><Relationship Id="rId1102" Type="http://schemas.openxmlformats.org/officeDocument/2006/relationships/hyperlink" Target="https://codes.ohio.gov/ohio-revised-code/section-149.43" TargetMode="External"/><Relationship Id="rId1547" Type="http://schemas.openxmlformats.org/officeDocument/2006/relationships/hyperlink" Target="http://www.supremecourt.ohio.gov/rod/docs/pdf/4/2005/2005-Ohio-2868.pdf" TargetMode="External"/><Relationship Id="rId46" Type="http://schemas.openxmlformats.org/officeDocument/2006/relationships/hyperlink" Target="https://www.ohioattorneygeneral.gov/getattachment/8a98ef88-002e-4e3b-9afa-3dc05f651ae1/2014-029.aspx" TargetMode="External"/><Relationship Id="rId1407" Type="http://schemas.openxmlformats.org/officeDocument/2006/relationships/hyperlink" Target="http://www.supremecourt.ohio.gov/rod/docs/pdf/12/2013/2013-Ohio-1111.pdf" TargetMode="External"/><Relationship Id="rId195" Type="http://schemas.openxmlformats.org/officeDocument/2006/relationships/hyperlink" Target="http://www.supremecourt.ohio.gov/rod/docs/pdf/0/2012/2012-Ohio-4246.pdf" TargetMode="External"/><Relationship Id="rId262" Type="http://schemas.openxmlformats.org/officeDocument/2006/relationships/hyperlink" Target="http://www.supremecourt.ohio.gov/rod/docs/pdf/0/2009/2009-Ohio-1901.pdf" TargetMode="External"/><Relationship Id="rId567" Type="http://schemas.openxmlformats.org/officeDocument/2006/relationships/hyperlink" Target="https://www.supremecourt.ohio.gov/rod/docs/pdf/13/2020/2020-Ohio-4958.pdf" TargetMode="External"/><Relationship Id="rId1197" Type="http://schemas.openxmlformats.org/officeDocument/2006/relationships/hyperlink" Target="https://codes.ohio.gov/ohio-revised-code/section-149.33" TargetMode="External"/><Relationship Id="rId122" Type="http://schemas.openxmlformats.org/officeDocument/2006/relationships/hyperlink" Target="https://www.supremecourt.ohio.gov/rod/docs/pdf/0/2023/2023-Ohio-2667.pdf" TargetMode="External"/><Relationship Id="rId774" Type="http://schemas.openxmlformats.org/officeDocument/2006/relationships/hyperlink" Target="http://www.supremecourt.ohio.gov/rod/docs/pdf/0/2010/2010-Ohio-5995.pdf" TargetMode="External"/><Relationship Id="rId981" Type="http://schemas.openxmlformats.org/officeDocument/2006/relationships/hyperlink" Target="https://www.supremecourt.ohio.gov/rod/docs/pdf/0/2016/2016-ohio-556.pdf" TargetMode="External"/><Relationship Id="rId1057" Type="http://schemas.openxmlformats.org/officeDocument/2006/relationships/hyperlink" Target="https://codes.ohio.gov/ohio-revised-code/section-149.43" TargetMode="External"/><Relationship Id="rId427" Type="http://schemas.openxmlformats.org/officeDocument/2006/relationships/hyperlink" Target="https://codes.ohio.gov/ohio-revised-code/section-149.43" TargetMode="External"/><Relationship Id="rId634" Type="http://schemas.openxmlformats.org/officeDocument/2006/relationships/hyperlink" Target="https://www.supremecourt.ohio.gov/rod/docs/pdf/0/2021/2021-Ohio-623.pdf" TargetMode="External"/><Relationship Id="rId841" Type="http://schemas.openxmlformats.org/officeDocument/2006/relationships/hyperlink" Target="https://codes.ohio.gov/ohio-revised-code/section-2930.07" TargetMode="External"/><Relationship Id="rId1264" Type="http://schemas.openxmlformats.org/officeDocument/2006/relationships/hyperlink" Target="https://codes.ohio.gov/ohio-revised-code/section-109.43" TargetMode="External"/><Relationship Id="rId1471" Type="http://schemas.openxmlformats.org/officeDocument/2006/relationships/hyperlink" Target="https://www.supremecourt.ohio.gov/rod/docs/pdf/5/2023/2023-Ohio-2494.pdf" TargetMode="External"/><Relationship Id="rId1569" Type="http://schemas.openxmlformats.org/officeDocument/2006/relationships/hyperlink" Target="http://www.supremecourt.ohio.gov/rod/docs/pdf/2/2014/2014-Ohio-2312.pdf" TargetMode="External"/><Relationship Id="rId701" Type="http://schemas.openxmlformats.org/officeDocument/2006/relationships/hyperlink" Target="http://www.supremecourt.ohio.gov/rod/docs/pdf/0/2000/2000-Ohio-214.pdf" TargetMode="External"/><Relationship Id="rId939" Type="http://schemas.openxmlformats.org/officeDocument/2006/relationships/hyperlink" Target="https://www.supremecourt.ohio.gov/rod/docs/pdf/0/2018/2018-Ohio-4718.pdf" TargetMode="External"/><Relationship Id="rId1124" Type="http://schemas.openxmlformats.org/officeDocument/2006/relationships/hyperlink" Target="https://codes.ohio.gov/ohio-revised-code/section-2743.75" TargetMode="External"/><Relationship Id="rId1331" Type="http://schemas.openxmlformats.org/officeDocument/2006/relationships/hyperlink" Target="https://codes.ohio.gov/ohio-revised-code/section-715.693" TargetMode="External"/><Relationship Id="rId68" Type="http://schemas.openxmlformats.org/officeDocument/2006/relationships/hyperlink" Target="http://www.supremecourt.ohio.gov/rod/docs/pdf/0/2008/2008-Ohio-4788.pdf" TargetMode="External"/><Relationship Id="rId1429" Type="http://schemas.openxmlformats.org/officeDocument/2006/relationships/hyperlink" Target="http://www.supremecourt.ohio.gov/rod/docs/pdf/4/2005/2005-Ohio-2868.pdf" TargetMode="External"/><Relationship Id="rId284" Type="http://schemas.openxmlformats.org/officeDocument/2006/relationships/hyperlink" Target="http://www.supremecourt.ohio.gov/rod/docs/pdf/0/1994/1994-Ohio-5.pdf" TargetMode="External"/><Relationship Id="rId491" Type="http://schemas.openxmlformats.org/officeDocument/2006/relationships/hyperlink" Target="https://codes.ohio.gov/ohio-revised-code/chapter-1347" TargetMode="External"/><Relationship Id="rId144" Type="http://schemas.openxmlformats.org/officeDocument/2006/relationships/hyperlink" Target="http://www.supremecourt.ohio.gov/rod/docs/pdf/0/2006/2006-Ohio-4854.pdf" TargetMode="External"/><Relationship Id="rId589" Type="http://schemas.openxmlformats.org/officeDocument/2006/relationships/hyperlink" Target="http://www.supremecourt.ohio.gov/rod/docs/pdf/0/2005/2005-Ohio-1508.pdf" TargetMode="External"/><Relationship Id="rId796" Type="http://schemas.openxmlformats.org/officeDocument/2006/relationships/hyperlink" Target="https://codes.ohio.gov/ohio-revised-code/section-2945.40" TargetMode="External"/><Relationship Id="rId351" Type="http://schemas.openxmlformats.org/officeDocument/2006/relationships/hyperlink" Target="https://codes.ohio.gov/ohio-revised-code/section-313.10" TargetMode="External"/><Relationship Id="rId449" Type="http://schemas.openxmlformats.org/officeDocument/2006/relationships/hyperlink" Target="https://codes.ohio.gov/ohio-revised-code/section-149.43" TargetMode="External"/><Relationship Id="rId656" Type="http://schemas.openxmlformats.org/officeDocument/2006/relationships/hyperlink" Target="http://www.supremecourt.ohio.gov/rod/docs/pdf/0/2009/2009-Ohio-4762.pdf" TargetMode="External"/><Relationship Id="rId863" Type="http://schemas.openxmlformats.org/officeDocument/2006/relationships/hyperlink" Target="http://www.supremecourt.ohio.gov/rod/docs/pdf/2/2011/2011-Ohio-4195.pdf" TargetMode="External"/><Relationship Id="rId1079" Type="http://schemas.openxmlformats.org/officeDocument/2006/relationships/hyperlink" Target="http://www.supremecourt.ohio.gov/rod/docs/pdf/8/2012/2012-Ohio-1187.pdf" TargetMode="External"/><Relationship Id="rId1286" Type="http://schemas.openxmlformats.org/officeDocument/2006/relationships/hyperlink" Target="https://www.ohioattorneygeneral.gov/getattachment/23c1816c-1560-4691-b6b1-ac4817274f3c/1992-078.aspx" TargetMode="External"/><Relationship Id="rId1493" Type="http://schemas.openxmlformats.org/officeDocument/2006/relationships/hyperlink" Target="https://codes.ohio.gov/ohio-revised-code/section-121.22" TargetMode="External"/><Relationship Id="rId211" Type="http://schemas.openxmlformats.org/officeDocument/2006/relationships/hyperlink" Target="https://www.supremecourt.ohio.gov/rod/docs/pdf/13/2021/2021-Ohio-4180.pdf" TargetMode="External"/><Relationship Id="rId309" Type="http://schemas.openxmlformats.org/officeDocument/2006/relationships/hyperlink" Target="https://codes.ohio.gov/ohio-revised-code/section-149.43" TargetMode="External"/><Relationship Id="rId516" Type="http://schemas.openxmlformats.org/officeDocument/2006/relationships/hyperlink" Target="https://codes.ohio.gov/ohio-revised-code/section-319.28" TargetMode="External"/><Relationship Id="rId1146" Type="http://schemas.openxmlformats.org/officeDocument/2006/relationships/hyperlink" Target="https://codes.ohio.gov/ohio-revised-code/section-2743.75" TargetMode="External"/><Relationship Id="rId723" Type="http://schemas.openxmlformats.org/officeDocument/2006/relationships/hyperlink" Target="https://www.supremecourt.ohio.gov/rod/docs/pdf/0/2016/2016-Ohio-8394.pdf" TargetMode="External"/><Relationship Id="rId930" Type="http://schemas.openxmlformats.org/officeDocument/2006/relationships/hyperlink" Target="https://www.supremecourt.ohio.gov/rod/docs/pdf/0/2019/2019-ohio-5157.pdf" TargetMode="External"/><Relationship Id="rId1006" Type="http://schemas.openxmlformats.org/officeDocument/2006/relationships/hyperlink" Target="https://codes.ohio.gov/ohio-revised-code/section-1347.99" TargetMode="External"/><Relationship Id="rId1353" Type="http://schemas.openxmlformats.org/officeDocument/2006/relationships/hyperlink" Target="http://www.supremecourt.ohio.gov/rod/docs/pdf/4/2005/2005-Ohio-2868.pdf" TargetMode="External"/><Relationship Id="rId1560" Type="http://schemas.openxmlformats.org/officeDocument/2006/relationships/hyperlink" Target="https://www.supremecourt.ohio.gov/rod/docs/pdf/2/2003/2003-Ohio-7097.pdf" TargetMode="External"/><Relationship Id="rId1213" Type="http://schemas.openxmlformats.org/officeDocument/2006/relationships/hyperlink" Target="https://das.ohio.gov/buying-and-selling/state-printing-and-mail-services/records-management/records-management" TargetMode="External"/><Relationship Id="rId1420" Type="http://schemas.openxmlformats.org/officeDocument/2006/relationships/hyperlink" Target="http://www.supremecourt.ohio.gov/rod/docs/pdf/2/2002/2002-Ohio-386.pdf" TargetMode="External"/><Relationship Id="rId1518" Type="http://schemas.openxmlformats.org/officeDocument/2006/relationships/hyperlink" Target="http://www.supremecourt.ohio.gov/rod/docs/pdf/2/2014/2014-Ohio-2312.pdf" TargetMode="External"/><Relationship Id="rId17" Type="http://schemas.openxmlformats.org/officeDocument/2006/relationships/hyperlink" Target="http://www.supremecourt.ohio.gov/rod/docs/pdf/0/2001/2001-Ohio-1895.pdf" TargetMode="External"/><Relationship Id="rId166" Type="http://schemas.openxmlformats.org/officeDocument/2006/relationships/hyperlink" Target="http://www.supremecourt.ohio.gov/rod/docs/pdf/0/1997/1997-Ohio-206.pdf" TargetMode="External"/><Relationship Id="rId373" Type="http://schemas.openxmlformats.org/officeDocument/2006/relationships/hyperlink" Target="https://www.ohioattorneygeneral.gov/getattachment/b63aab56-9ad9-416e-9f60-f4b6236fd77a/2000-021.aspx" TargetMode="External"/><Relationship Id="rId580" Type="http://schemas.openxmlformats.org/officeDocument/2006/relationships/hyperlink" Target="https://codes.ohio.gov/ohio-revised-code/section-149.433" TargetMode="External"/><Relationship Id="rId1" Type="http://schemas.openxmlformats.org/officeDocument/2006/relationships/hyperlink" Target="https://codes.ohio.gov/ohio-revised-code/section-149.43" TargetMode="External"/><Relationship Id="rId233" Type="http://schemas.openxmlformats.org/officeDocument/2006/relationships/hyperlink" Target="https://codes.ohio.gov/ohio-revised-code/section-149.43" TargetMode="External"/><Relationship Id="rId440" Type="http://schemas.openxmlformats.org/officeDocument/2006/relationships/hyperlink" Target="https://codes.ohio.gov/ohio-revised-code/section-149.43" TargetMode="External"/><Relationship Id="rId678" Type="http://schemas.openxmlformats.org/officeDocument/2006/relationships/hyperlink" Target="https://www.supremecourt.ohio.gov/rod/docs/pdf/0/2022/2022-Ohio-3711.pdf" TargetMode="External"/><Relationship Id="rId885" Type="http://schemas.openxmlformats.org/officeDocument/2006/relationships/hyperlink" Target="http://www.supremecourt.ohio.gov/rod/docs/pdf/0/2002/2002-Ohio-5311.pdf" TargetMode="External"/><Relationship Id="rId1070" Type="http://schemas.openxmlformats.org/officeDocument/2006/relationships/hyperlink" Target="http://www.supremecourt.ohio.gov/rod/docs/pdf/0/2015/2015-Ohio-974.pdf" TargetMode="External"/><Relationship Id="rId300" Type="http://schemas.openxmlformats.org/officeDocument/2006/relationships/hyperlink" Target="https://codes.ohio.gov/ohio-revised-code/section-149.011" TargetMode="External"/><Relationship Id="rId538" Type="http://schemas.openxmlformats.org/officeDocument/2006/relationships/hyperlink" Target="https://codes.ohio.gov/ohio-revised-code/section-3701.17" TargetMode="External"/><Relationship Id="rId745" Type="http://schemas.openxmlformats.org/officeDocument/2006/relationships/hyperlink" Target="https://www.ohioattorneygeneral.gov/getattachment/1355ab02-1caa-432a-aa8a-1be324b5d543/1999-006.aspx" TargetMode="External"/><Relationship Id="rId952" Type="http://schemas.openxmlformats.org/officeDocument/2006/relationships/hyperlink" Target="https://www.supremecourt.ohio.gov/docs/LegalResources/Rules/superintendence/Superintendence.pdf" TargetMode="External"/><Relationship Id="rId1168" Type="http://schemas.openxmlformats.org/officeDocument/2006/relationships/hyperlink" Target="https://codes.ohio.gov/ohio-revised-code/section-2743.75" TargetMode="External"/><Relationship Id="rId1375" Type="http://schemas.openxmlformats.org/officeDocument/2006/relationships/hyperlink" Target="https://codes.ohio.gov/ohio-revised-code/section-121.22" TargetMode="External"/><Relationship Id="rId81" Type="http://schemas.openxmlformats.org/officeDocument/2006/relationships/hyperlink" Target="http://www.supremecourt.ohio.gov/rod/docs/pdf/10/2011/2011-Ohio-2808.pdf" TargetMode="External"/><Relationship Id="rId605" Type="http://schemas.openxmlformats.org/officeDocument/2006/relationships/hyperlink" Target="https://www.supremecourt.ohio.gov/docs/LegalResources/Rules/civil/CivilProcedure.pdf" TargetMode="External"/><Relationship Id="rId812" Type="http://schemas.openxmlformats.org/officeDocument/2006/relationships/hyperlink" Target="https://codes.ohio.gov/ohio-revised-code/section-149.43" TargetMode="External"/><Relationship Id="rId1028" Type="http://schemas.openxmlformats.org/officeDocument/2006/relationships/hyperlink" Target="http://www.supremecourt.ohio.gov/rod/docs/pdf/6/2003/2003-Ohio-7257.pdf" TargetMode="External"/><Relationship Id="rId1235" Type="http://schemas.openxmlformats.org/officeDocument/2006/relationships/hyperlink" Target="https://codes.ohio.gov/ohio-revised-code/section-149.351" TargetMode="External"/><Relationship Id="rId1442" Type="http://schemas.openxmlformats.org/officeDocument/2006/relationships/hyperlink" Target="https://www.ohioattorneygeneral.gov/getattachment/6682a331-9d2a-4bea-bc0d-1fc2ac0c1ddb/2009-034.aspx" TargetMode="External"/><Relationship Id="rId1302" Type="http://schemas.openxmlformats.org/officeDocument/2006/relationships/hyperlink" Target="https://codes.ohio.gov/ohio-revised-code/section-4723.281" TargetMode="External"/><Relationship Id="rId39" Type="http://schemas.openxmlformats.org/officeDocument/2006/relationships/hyperlink" Target="http://www.supremecourt.ohio.gov/rod/docs/pdf/0/2006/2006-Ohio-6714.pdf" TargetMode="External"/><Relationship Id="rId188" Type="http://schemas.openxmlformats.org/officeDocument/2006/relationships/hyperlink" Target="http://www.supremecourt.ohio.gov/rod/docs/pdf/0/1999/1999-Ohio-114.pdf" TargetMode="External"/><Relationship Id="rId395" Type="http://schemas.openxmlformats.org/officeDocument/2006/relationships/hyperlink" Target="https://codes.ohio.gov/ohio-revised-code/section-149.43" TargetMode="External"/><Relationship Id="rId255" Type="http://schemas.openxmlformats.org/officeDocument/2006/relationships/hyperlink" Target="http://www.supremecourt.ohio.gov/rod/docs/pdf/0/2002/2002-Ohio-5311.pdf" TargetMode="External"/><Relationship Id="rId462" Type="http://schemas.openxmlformats.org/officeDocument/2006/relationships/hyperlink" Target="https://codes.ohio.gov/ohio-revised-code/section-317.24" TargetMode="External"/><Relationship Id="rId1092" Type="http://schemas.openxmlformats.org/officeDocument/2006/relationships/hyperlink" Target="https://codes.ohio.gov/ohio-revised-code/section-149.43" TargetMode="External"/><Relationship Id="rId1397" Type="http://schemas.openxmlformats.org/officeDocument/2006/relationships/hyperlink" Target="http://www.supremecourt.ohio.gov/rod/docs/pdf/2/2002/2002-Ohio-386.pdf" TargetMode="External"/><Relationship Id="rId115" Type="http://schemas.openxmlformats.org/officeDocument/2006/relationships/hyperlink" Target="https://www.supremecourt.ohio.gov/rod/docs/pdf/13/2019/2019-Ohio-2623.pdf" TargetMode="External"/><Relationship Id="rId322" Type="http://schemas.openxmlformats.org/officeDocument/2006/relationships/hyperlink" Target="https://codes.ohio.gov/ohio-revised-code/section-2953.81" TargetMode="External"/><Relationship Id="rId767" Type="http://schemas.openxmlformats.org/officeDocument/2006/relationships/hyperlink" Target="https://codes.ohio.gov/ohio-revised-code/section-149.43" TargetMode="External"/><Relationship Id="rId974" Type="http://schemas.openxmlformats.org/officeDocument/2006/relationships/hyperlink" Target="http://www.supremecourt.ohio.gov/rod/docs/pdf/1/2013/2013-Ohio-4459.pdf" TargetMode="External"/><Relationship Id="rId627" Type="http://schemas.openxmlformats.org/officeDocument/2006/relationships/hyperlink" Target="http://www.supremecourt.ohio.gov/rod/docs/pdf/0/2004/2004-Ohio-4952.pdf" TargetMode="External"/><Relationship Id="rId834" Type="http://schemas.openxmlformats.org/officeDocument/2006/relationships/hyperlink" Target="https://codes.ohio.gov/ohio-revised-code/section-2930.04" TargetMode="External"/><Relationship Id="rId1257" Type="http://schemas.openxmlformats.org/officeDocument/2006/relationships/hyperlink" Target="https://codes.ohio.gov/ohio-revised-code/section-149.43" TargetMode="External"/><Relationship Id="rId1464" Type="http://schemas.openxmlformats.org/officeDocument/2006/relationships/hyperlink" Target="http://www.supremecourt.ohio.gov/rod/docs/pdf/6/2005/2005-Ohio-5883.pdf" TargetMode="External"/><Relationship Id="rId901" Type="http://schemas.openxmlformats.org/officeDocument/2006/relationships/hyperlink" Target="https://www.supremecourt.ohio.gov/rod/docs/pdf/0/1995/1995-Ohio-248.pdf" TargetMode="External"/><Relationship Id="rId1117" Type="http://schemas.openxmlformats.org/officeDocument/2006/relationships/hyperlink" Target="http://www.supremecourt.ohio.gov/rod/docs/pdf/0/2010/2010-Ohio-5073.pdf" TargetMode="External"/><Relationship Id="rId1324" Type="http://schemas.openxmlformats.org/officeDocument/2006/relationships/hyperlink" Target="http://www.supremecourt.ohio.gov/rod/docs/pdf/0/1996/1996-Ohio-372.pdf" TargetMode="External"/><Relationship Id="rId1531" Type="http://schemas.openxmlformats.org/officeDocument/2006/relationships/hyperlink" Target="https://codes.ohio.gov/ohio-revised-code/section-121.22" TargetMode="External"/><Relationship Id="rId30" Type="http://schemas.openxmlformats.org/officeDocument/2006/relationships/hyperlink" Target="https://codes.ohio.gov/ohio-revised-code/section-149.43" TargetMode="External"/><Relationship Id="rId277" Type="http://schemas.openxmlformats.org/officeDocument/2006/relationships/hyperlink" Target="https://www.supremecourt.ohio.gov/rod/docs/pdf/0/2024/2024-Ohio-103.pdf" TargetMode="External"/><Relationship Id="rId484" Type="http://schemas.openxmlformats.org/officeDocument/2006/relationships/hyperlink" Target="https://codes.ohio.gov/ohio-revised-code/section-149.43" TargetMode="External"/><Relationship Id="rId137" Type="http://schemas.openxmlformats.org/officeDocument/2006/relationships/hyperlink" Target="http://www.supremecourt.ohio.gov/rod/docs/pdf/0/2006/2006-Ohio-4854.pdf" TargetMode="External"/><Relationship Id="rId344" Type="http://schemas.openxmlformats.org/officeDocument/2006/relationships/hyperlink" Target="https://codes.ohio.gov/ohio-revised-code/section-149.43" TargetMode="External"/><Relationship Id="rId691" Type="http://schemas.openxmlformats.org/officeDocument/2006/relationships/hyperlink" Target="http://www.supremecourt.ohio.gov/rod/docs/pdf/0/2005/2005-Ohio-5521.pdf" TargetMode="External"/><Relationship Id="rId789" Type="http://schemas.openxmlformats.org/officeDocument/2006/relationships/hyperlink" Target="https://codes.ohio.gov/ohio-revised-code/section-2945.40" TargetMode="External"/><Relationship Id="rId996" Type="http://schemas.openxmlformats.org/officeDocument/2006/relationships/hyperlink" Target="https://codes.ohio.gov/ohio-revised-code/section-1347.01" TargetMode="External"/><Relationship Id="rId551" Type="http://schemas.openxmlformats.org/officeDocument/2006/relationships/hyperlink" Target="https://codes.ohio.gov/ohio-revised-code/section-2151.355" TargetMode="External"/><Relationship Id="rId649" Type="http://schemas.openxmlformats.org/officeDocument/2006/relationships/hyperlink" Target="https://www.supremecourt.ohio.gov/rod/docs/pdf/13/2022/2022-Ohio-2657.pdf" TargetMode="External"/><Relationship Id="rId856" Type="http://schemas.openxmlformats.org/officeDocument/2006/relationships/hyperlink" Target="http://www.supremecourt.ohio.gov/rod/docs/pdf/0/2006/2006-Ohio-5858.pdf" TargetMode="External"/><Relationship Id="rId1181" Type="http://schemas.openxmlformats.org/officeDocument/2006/relationships/hyperlink" Target="https://codes.ohio.gov/ohio-revised-code/section-149.43" TargetMode="External"/><Relationship Id="rId1279" Type="http://schemas.openxmlformats.org/officeDocument/2006/relationships/hyperlink" Target="https://www.supremecourt.ohio.gov/rod/docs/pdf/11/2021/2021-Ohio-786.pdf" TargetMode="External"/><Relationship Id="rId1486" Type="http://schemas.openxmlformats.org/officeDocument/2006/relationships/hyperlink" Target="https://codes.ohio.gov/ohio-revised-code/section-121.22" TargetMode="External"/><Relationship Id="rId204" Type="http://schemas.openxmlformats.org/officeDocument/2006/relationships/hyperlink" Target="http://www.supremecourt.ohio.gov/rod/docs/pdf/0/2008/2008-Ohio-4788.pdf" TargetMode="External"/><Relationship Id="rId411" Type="http://schemas.openxmlformats.org/officeDocument/2006/relationships/hyperlink" Target="https://codes.ohio.gov/ohio-revised-code/section-3705.124" TargetMode="External"/><Relationship Id="rId509" Type="http://schemas.openxmlformats.org/officeDocument/2006/relationships/hyperlink" Target="https://codes.ohio.gov/ohio-revised-code/section-149.45" TargetMode="External"/><Relationship Id="rId1041" Type="http://schemas.openxmlformats.org/officeDocument/2006/relationships/hyperlink" Target="http://www.supremecourt.ohio.gov/rod/docs/pdf/0/2013/2013-Ohio-199.pdf" TargetMode="External"/><Relationship Id="rId1139" Type="http://schemas.openxmlformats.org/officeDocument/2006/relationships/hyperlink" Target="https://codes.ohio.gov/ohio-revised-code/section-2743.75" TargetMode="External"/><Relationship Id="rId1346" Type="http://schemas.openxmlformats.org/officeDocument/2006/relationships/hyperlink" Target="https://www.supremecourt.ohio.gov/rod/docs/pdf/0/2016/2016-Ohio-2770.pdf" TargetMode="External"/><Relationship Id="rId716" Type="http://schemas.openxmlformats.org/officeDocument/2006/relationships/hyperlink" Target="https://www.supremecourt.ohio.gov/rod/docs/pdf/0/1997/1997-Ohio-273.pdf" TargetMode="External"/><Relationship Id="rId923" Type="http://schemas.openxmlformats.org/officeDocument/2006/relationships/hyperlink" Target="https://codes.ohio.gov/ohio-revised-code/section-149.43" TargetMode="External"/><Relationship Id="rId1553" Type="http://schemas.openxmlformats.org/officeDocument/2006/relationships/hyperlink" Target="https://www.supremecourt.ohio.gov/rod/docs/pdf/7/2016/2016-Ohio-4663.pdf" TargetMode="External"/><Relationship Id="rId52" Type="http://schemas.openxmlformats.org/officeDocument/2006/relationships/hyperlink" Target="http://www.supremecourt.ohio.gov/rod/docs/pdf/1/2018/2018-Ohio-2506.pdf" TargetMode="External"/><Relationship Id="rId1206" Type="http://schemas.openxmlformats.org/officeDocument/2006/relationships/hyperlink" Target="http://www.supremecourt.ohio.gov/rod/docs/pdf/6/2013/2013-Ohio-3961.pdf" TargetMode="External"/><Relationship Id="rId1413" Type="http://schemas.openxmlformats.org/officeDocument/2006/relationships/hyperlink" Target="https://codes.ohio.gov/ohio-revised-code/section-121.22" TargetMode="External"/><Relationship Id="rId299" Type="http://schemas.openxmlformats.org/officeDocument/2006/relationships/hyperlink" Target="https://www.ohioattorneygeneral.gov/getattachment/307a38fc-09eb-4443-ab65-1009bdf7b3be/2004-011.aspx" TargetMode="External"/><Relationship Id="rId159" Type="http://schemas.openxmlformats.org/officeDocument/2006/relationships/hyperlink" Target="http://www.supremecourt.ohio.gov/rod/docs/pdf/0/2005/2005-Ohio-3549.pdf" TargetMode="External"/><Relationship Id="rId366" Type="http://schemas.openxmlformats.org/officeDocument/2006/relationships/hyperlink" Target="http://www.supremecourt.ohio.gov/rod/docs/pdf/0/2003/2003-Ohio-5599.pdf" TargetMode="External"/><Relationship Id="rId573" Type="http://schemas.openxmlformats.org/officeDocument/2006/relationships/hyperlink" Target="http://www.supremecourt.ohio.gov/rod/docs/pdf/0/2012/2012-Ohio-2690.pdf" TargetMode="External"/><Relationship Id="rId780" Type="http://schemas.openxmlformats.org/officeDocument/2006/relationships/hyperlink" Target="https://codes.ohio.gov/ohio-revised-code/section-149.43" TargetMode="External"/><Relationship Id="rId226" Type="http://schemas.openxmlformats.org/officeDocument/2006/relationships/hyperlink" Target="http://www.supremecourt.ohio.gov/rod/docs/pdf/0/2002/2002-Ohio-5311.pdf" TargetMode="External"/><Relationship Id="rId433" Type="http://schemas.openxmlformats.org/officeDocument/2006/relationships/hyperlink" Target="https://codes.ohio.gov/ohio-revised-code/section-149.43" TargetMode="External"/><Relationship Id="rId878" Type="http://schemas.openxmlformats.org/officeDocument/2006/relationships/hyperlink" Target="http://www.supremecourt.ohio.gov/rod/docs/pdf/5/2008/2008-Ohio-5011.pdf" TargetMode="External"/><Relationship Id="rId1063" Type="http://schemas.openxmlformats.org/officeDocument/2006/relationships/hyperlink" Target="http://www.supremecourt.ohio.gov/rod/docs/pdf/8/2013/2013-Ohio-4481.pdf" TargetMode="External"/><Relationship Id="rId1270" Type="http://schemas.openxmlformats.org/officeDocument/2006/relationships/hyperlink" Target="http://www.supremecourt.ohio.gov/rod/docs/pdf/0/2001/2001-Ohio-130.pdf" TargetMode="External"/><Relationship Id="rId640" Type="http://schemas.openxmlformats.org/officeDocument/2006/relationships/hyperlink" Target="http://www.supremecourt.ohio.gov/rod/docs/pdf/0/2013/2013-Ohio-4582.pdf" TargetMode="External"/><Relationship Id="rId738" Type="http://schemas.openxmlformats.org/officeDocument/2006/relationships/hyperlink" Target="https://codes.ohio.gov/ohio-revised-code/section-149.43" TargetMode="External"/><Relationship Id="rId945" Type="http://schemas.openxmlformats.org/officeDocument/2006/relationships/hyperlink" Target="https://www.supremecourt.ohio.gov/docs/LegalResources/Rules/superintendence/Superintendence.pdf" TargetMode="External"/><Relationship Id="rId1368" Type="http://schemas.openxmlformats.org/officeDocument/2006/relationships/hyperlink" Target="http://www.supremecourt.ohio.gov/rod/docs/pdf/10/2018/2018-Ohio-716.pdf" TargetMode="External"/><Relationship Id="rId74" Type="http://schemas.openxmlformats.org/officeDocument/2006/relationships/hyperlink" Target="http://www.supremecourt.ohio.gov/rod/docs/pdf/8/2018/2018-Ohio-5027.pdf" TargetMode="External"/><Relationship Id="rId500" Type="http://schemas.openxmlformats.org/officeDocument/2006/relationships/hyperlink" Target="https://codes.ohio.gov/ohio-revised-code/section-149.43" TargetMode="External"/><Relationship Id="rId805" Type="http://schemas.openxmlformats.org/officeDocument/2006/relationships/hyperlink" Target="https://codes.ohio.gov/ohio-revised-code/section-149.43" TargetMode="External"/><Relationship Id="rId1130" Type="http://schemas.openxmlformats.org/officeDocument/2006/relationships/hyperlink" Target="https://codes.ohio.gov/ohio-revised-code/section-2743.75" TargetMode="External"/><Relationship Id="rId1228" Type="http://schemas.openxmlformats.org/officeDocument/2006/relationships/hyperlink" Target="http://www.supremecourt.ohio.gov/rod/docs/pdf/0/2011/2011-Ohio-3279.pdf" TargetMode="External"/><Relationship Id="rId1435" Type="http://schemas.openxmlformats.org/officeDocument/2006/relationships/hyperlink" Target="http://www.supremecourt.ohio.gov/rod/docs/pdf/12/2009/2009-Ohio-2448.pdf" TargetMode="External"/><Relationship Id="rId1502" Type="http://schemas.openxmlformats.org/officeDocument/2006/relationships/hyperlink" Target="https://codes.ohio.gov/ohio-revised-code/section-121.22" TargetMode="External"/><Relationship Id="rId290" Type="http://schemas.openxmlformats.org/officeDocument/2006/relationships/hyperlink" Target="https://codes.ohio.gov/ohio-revised-code/section-1.51" TargetMode="External"/><Relationship Id="rId388" Type="http://schemas.openxmlformats.org/officeDocument/2006/relationships/hyperlink" Target="http://www.supremecourt.ohio.gov/rod/docs/pdf/0/2013/2013-Ohio-199.pdf" TargetMode="External"/><Relationship Id="rId150" Type="http://schemas.openxmlformats.org/officeDocument/2006/relationships/hyperlink" Target="https://www.supremecourt.ohio.gov/rod/docs/pdf/13/2019/2019-Ohio-1818.pdf" TargetMode="External"/><Relationship Id="rId595" Type="http://schemas.openxmlformats.org/officeDocument/2006/relationships/hyperlink" Target="https://www.supremecourt.ohio.gov/rod/docs/pdf/13/2019/2019-Ohio-472.pdf" TargetMode="External"/><Relationship Id="rId248" Type="http://schemas.openxmlformats.org/officeDocument/2006/relationships/hyperlink" Target="http://www.supremecourt.ohio.gov/rod/docs/pdf/8/2017/2017-Ohio-300.pdf" TargetMode="External"/><Relationship Id="rId455" Type="http://schemas.openxmlformats.org/officeDocument/2006/relationships/hyperlink" Target="http://www.supremecourt.ohio.gov/rod/docs/pdf/0/1992/1992-Ohio-112.pdf" TargetMode="External"/><Relationship Id="rId662" Type="http://schemas.openxmlformats.org/officeDocument/2006/relationships/hyperlink" Target="http://www.supremecourt.ohio.gov/rod/docs/pdf/0/1999/1999-Ohio-260.pdf" TargetMode="External"/><Relationship Id="rId1085" Type="http://schemas.openxmlformats.org/officeDocument/2006/relationships/hyperlink" Target="https://www.supremecourt.ohio.gov/rod/docs/pdf/0/2020/2020-ohio-5585.pdf" TargetMode="External"/><Relationship Id="rId1292" Type="http://schemas.openxmlformats.org/officeDocument/2006/relationships/hyperlink" Target="https://codes.ohio.gov/ohio-revised-code/section-12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862BF-DD0E-4793-9458-FAC70CDEFB67}">
  <ds:schemaRefs>
    <ds:schemaRef ds:uri="http://schemas.openxmlformats.org/officeDocument/2006/bibliography"/>
  </ds:schemaRefs>
</ds:datastoreItem>
</file>

<file path=docMetadata/LabelInfo.xml><?xml version="1.0" encoding="utf-8"?>
<clbl:labelList xmlns:clbl="http://schemas.microsoft.com/office/2020/mipLabelMetadata">
  <clbl:label id="{9220e248-af57-4c59-a732-bd3316cb0da9}" enabled="1" method="Privileged" siteId="{16bb85b3-d21e-4dd2-a07c-7c114cf57b55}"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150</Pages>
  <Words>52794</Words>
  <Characters>287205</Characters>
  <Application>Microsoft Office Word</Application>
  <DocSecurity>4</DocSecurity>
  <Lines>5631</Lines>
  <Paragraphs>2236</Paragraphs>
  <ScaleCrop>false</ScaleCrop>
  <HeadingPairs>
    <vt:vector size="2" baseType="variant">
      <vt:variant>
        <vt:lpstr>Title</vt:lpstr>
      </vt:variant>
      <vt:variant>
        <vt:i4>1</vt:i4>
      </vt:variant>
    </vt:vector>
  </HeadingPairs>
  <TitlesOfParts>
    <vt:vector size="1" baseType="lpstr">
      <vt:lpstr>2019 Ohio Sunshine Laws Manual</vt:lpstr>
    </vt:vector>
  </TitlesOfParts>
  <Manager/>
  <Company/>
  <LinksUpToDate>false</LinksUpToDate>
  <CharactersWithSpaces>337763</CharactersWithSpaces>
  <SharedDoc>false</SharedDoc>
  <HyperlinkBase/>
  <HLinks>
    <vt:vector size="7284" baseType="variant">
      <vt:variant>
        <vt:i4>7929908</vt:i4>
      </vt:variant>
      <vt:variant>
        <vt:i4>1566</vt:i4>
      </vt:variant>
      <vt:variant>
        <vt:i4>0</vt:i4>
      </vt:variant>
      <vt:variant>
        <vt:i4>5</vt:i4>
      </vt:variant>
      <vt:variant>
        <vt:lpwstr>http://www.hhs.gov/hipaa/for-professionals/special-topics/health-information-technology/index.html</vt:lpwstr>
      </vt:variant>
      <vt:variant>
        <vt:lpwstr/>
      </vt:variant>
      <vt:variant>
        <vt:i4>8061027</vt:i4>
      </vt:variant>
      <vt:variant>
        <vt:i4>1563</vt:i4>
      </vt:variant>
      <vt:variant>
        <vt:i4>0</vt:i4>
      </vt:variant>
      <vt:variant>
        <vt:i4>5</vt:i4>
      </vt:variant>
      <vt:variant>
        <vt:lpwstr>http://www.sconet.state.oh.us/LegalResources/Rules/superintendence/Superintendence.pdf</vt:lpwstr>
      </vt:variant>
      <vt:variant>
        <vt:lpwstr/>
      </vt:variant>
      <vt:variant>
        <vt:i4>3276859</vt:i4>
      </vt:variant>
      <vt:variant>
        <vt:i4>1560</vt:i4>
      </vt:variant>
      <vt:variant>
        <vt:i4>0</vt:i4>
      </vt:variant>
      <vt:variant>
        <vt:i4>5</vt:i4>
      </vt:variant>
      <vt:variant>
        <vt:lpwstr>http://www.ohioattorneygeneral.gov/Sunshine</vt:lpwstr>
      </vt:variant>
      <vt:variant>
        <vt:lpwstr/>
      </vt:variant>
      <vt:variant>
        <vt:i4>5832716</vt:i4>
      </vt:variant>
      <vt:variant>
        <vt:i4>1557</vt:i4>
      </vt:variant>
      <vt:variant>
        <vt:i4>0</vt:i4>
      </vt:variant>
      <vt:variant>
        <vt:i4>5</vt:i4>
      </vt:variant>
      <vt:variant>
        <vt:lpwstr>http://www.ohiohistory.org/collections--archives/state-archives/lgrp-</vt:lpwstr>
      </vt:variant>
      <vt:variant>
        <vt:lpwstr/>
      </vt:variant>
      <vt:variant>
        <vt:i4>6488158</vt:i4>
      </vt:variant>
      <vt:variant>
        <vt:i4>1554</vt:i4>
      </vt:variant>
      <vt:variant>
        <vt:i4>0</vt:i4>
      </vt:variant>
      <vt:variant>
        <vt:i4>5</vt:i4>
      </vt:variant>
      <vt:variant>
        <vt:lpwstr>https://www.ohiohistory.org/OHC/media/OHC-Media/Documents/CARMA_Statement_on_Permanent_Records_2013_12_17.pdf</vt:lpwstr>
      </vt:variant>
      <vt:variant>
        <vt:lpwstr/>
      </vt:variant>
      <vt:variant>
        <vt:i4>6946940</vt:i4>
      </vt:variant>
      <vt:variant>
        <vt:i4>1551</vt:i4>
      </vt:variant>
      <vt:variant>
        <vt:i4>0</vt:i4>
      </vt:variant>
      <vt:variant>
        <vt:i4>5</vt:i4>
      </vt:variant>
      <vt:variant>
        <vt:lpwstr>https://www.ohiohistory.org/learn/archives-library/state-archives/local-government-records-program/electronic-records-resources/statement-on-maintaining-digitally-imaged-records-</vt:lpwstr>
      </vt:variant>
      <vt:variant>
        <vt:lpwstr/>
      </vt:variant>
      <vt:variant>
        <vt:i4>2293881</vt:i4>
      </vt:variant>
      <vt:variant>
        <vt:i4>1548</vt:i4>
      </vt:variant>
      <vt:variant>
        <vt:i4>0</vt:i4>
      </vt:variant>
      <vt:variant>
        <vt:i4>5</vt:i4>
      </vt:variant>
      <vt:variant>
        <vt:lpwstr>http://www.ohioerc.org/</vt:lpwstr>
      </vt:variant>
      <vt:variant>
        <vt:lpwstr/>
      </vt:variant>
      <vt:variant>
        <vt:i4>1769476</vt:i4>
      </vt:variant>
      <vt:variant>
        <vt:i4>1545</vt:i4>
      </vt:variant>
      <vt:variant>
        <vt:i4>0</vt:i4>
      </vt:variant>
      <vt:variant>
        <vt:i4>5</vt:i4>
      </vt:variant>
      <vt:variant>
        <vt:lpwstr>https://www.ohiohistory.org/learn/archives-library/state-archives</vt:lpwstr>
      </vt:variant>
      <vt:variant>
        <vt:lpwstr/>
      </vt:variant>
      <vt:variant>
        <vt:i4>6750254</vt:i4>
      </vt:variant>
      <vt:variant>
        <vt:i4>1542</vt:i4>
      </vt:variant>
      <vt:variant>
        <vt:i4>0</vt:i4>
      </vt:variant>
      <vt:variant>
        <vt:i4>5</vt:i4>
      </vt:variant>
      <vt:variant>
        <vt:lpwstr>https://das.ohio.gov/Divisions/General-Services/State-Printing-and-Mail-Services/Records-Management</vt:lpwstr>
      </vt:variant>
      <vt:variant>
        <vt:lpwstr/>
      </vt:variant>
      <vt:variant>
        <vt:i4>3538988</vt:i4>
      </vt:variant>
      <vt:variant>
        <vt:i4>1539</vt:i4>
      </vt:variant>
      <vt:variant>
        <vt:i4>0</vt:i4>
      </vt:variant>
      <vt:variant>
        <vt:i4>5</vt:i4>
      </vt:variant>
      <vt:variant>
        <vt:lpwstr>http://www.ohiohistory.org/lgr</vt:lpwstr>
      </vt:variant>
      <vt:variant>
        <vt:lpwstr/>
      </vt:variant>
      <vt:variant>
        <vt:i4>983131</vt:i4>
      </vt:variant>
      <vt:variant>
        <vt:i4>1536</vt:i4>
      </vt:variant>
      <vt:variant>
        <vt:i4>0</vt:i4>
      </vt:variant>
      <vt:variant>
        <vt:i4>5</vt:i4>
      </vt:variant>
      <vt:variant>
        <vt:lpwstr>https://ohiocourtofclaims.gov/public-records.php</vt:lpwstr>
      </vt:variant>
      <vt:variant>
        <vt:lpwstr/>
      </vt:variant>
      <vt:variant>
        <vt:i4>2162689</vt:i4>
      </vt:variant>
      <vt:variant>
        <vt:i4>1529</vt:i4>
      </vt:variant>
      <vt:variant>
        <vt:i4>0</vt:i4>
      </vt:variant>
      <vt:variant>
        <vt:i4>5</vt:i4>
      </vt:variant>
      <vt:variant>
        <vt:lpwstr/>
      </vt:variant>
      <vt:variant>
        <vt:lpwstr>_Toc343614</vt:lpwstr>
      </vt:variant>
      <vt:variant>
        <vt:i4>2490369</vt:i4>
      </vt:variant>
      <vt:variant>
        <vt:i4>1523</vt:i4>
      </vt:variant>
      <vt:variant>
        <vt:i4>0</vt:i4>
      </vt:variant>
      <vt:variant>
        <vt:i4>5</vt:i4>
      </vt:variant>
      <vt:variant>
        <vt:lpwstr/>
      </vt:variant>
      <vt:variant>
        <vt:lpwstr>_Toc343613</vt:lpwstr>
      </vt:variant>
      <vt:variant>
        <vt:i4>2555905</vt:i4>
      </vt:variant>
      <vt:variant>
        <vt:i4>1517</vt:i4>
      </vt:variant>
      <vt:variant>
        <vt:i4>0</vt:i4>
      </vt:variant>
      <vt:variant>
        <vt:i4>5</vt:i4>
      </vt:variant>
      <vt:variant>
        <vt:lpwstr/>
      </vt:variant>
      <vt:variant>
        <vt:lpwstr>_Toc343612</vt:lpwstr>
      </vt:variant>
      <vt:variant>
        <vt:i4>2359297</vt:i4>
      </vt:variant>
      <vt:variant>
        <vt:i4>1511</vt:i4>
      </vt:variant>
      <vt:variant>
        <vt:i4>0</vt:i4>
      </vt:variant>
      <vt:variant>
        <vt:i4>5</vt:i4>
      </vt:variant>
      <vt:variant>
        <vt:lpwstr/>
      </vt:variant>
      <vt:variant>
        <vt:lpwstr>_Toc343611</vt:lpwstr>
      </vt:variant>
      <vt:variant>
        <vt:i4>2424833</vt:i4>
      </vt:variant>
      <vt:variant>
        <vt:i4>1505</vt:i4>
      </vt:variant>
      <vt:variant>
        <vt:i4>0</vt:i4>
      </vt:variant>
      <vt:variant>
        <vt:i4>5</vt:i4>
      </vt:variant>
      <vt:variant>
        <vt:lpwstr/>
      </vt:variant>
      <vt:variant>
        <vt:lpwstr>_Toc343610</vt:lpwstr>
      </vt:variant>
      <vt:variant>
        <vt:i4>2883584</vt:i4>
      </vt:variant>
      <vt:variant>
        <vt:i4>1499</vt:i4>
      </vt:variant>
      <vt:variant>
        <vt:i4>0</vt:i4>
      </vt:variant>
      <vt:variant>
        <vt:i4>5</vt:i4>
      </vt:variant>
      <vt:variant>
        <vt:lpwstr/>
      </vt:variant>
      <vt:variant>
        <vt:lpwstr>_Toc343609</vt:lpwstr>
      </vt:variant>
      <vt:variant>
        <vt:i4>2949120</vt:i4>
      </vt:variant>
      <vt:variant>
        <vt:i4>1493</vt:i4>
      </vt:variant>
      <vt:variant>
        <vt:i4>0</vt:i4>
      </vt:variant>
      <vt:variant>
        <vt:i4>5</vt:i4>
      </vt:variant>
      <vt:variant>
        <vt:lpwstr/>
      </vt:variant>
      <vt:variant>
        <vt:lpwstr>_Toc343608</vt:lpwstr>
      </vt:variant>
      <vt:variant>
        <vt:i4>2228224</vt:i4>
      </vt:variant>
      <vt:variant>
        <vt:i4>1487</vt:i4>
      </vt:variant>
      <vt:variant>
        <vt:i4>0</vt:i4>
      </vt:variant>
      <vt:variant>
        <vt:i4>5</vt:i4>
      </vt:variant>
      <vt:variant>
        <vt:lpwstr/>
      </vt:variant>
      <vt:variant>
        <vt:lpwstr>_Toc343607</vt:lpwstr>
      </vt:variant>
      <vt:variant>
        <vt:i4>2293760</vt:i4>
      </vt:variant>
      <vt:variant>
        <vt:i4>1481</vt:i4>
      </vt:variant>
      <vt:variant>
        <vt:i4>0</vt:i4>
      </vt:variant>
      <vt:variant>
        <vt:i4>5</vt:i4>
      </vt:variant>
      <vt:variant>
        <vt:lpwstr/>
      </vt:variant>
      <vt:variant>
        <vt:lpwstr>_Toc343606</vt:lpwstr>
      </vt:variant>
      <vt:variant>
        <vt:i4>2097152</vt:i4>
      </vt:variant>
      <vt:variant>
        <vt:i4>1475</vt:i4>
      </vt:variant>
      <vt:variant>
        <vt:i4>0</vt:i4>
      </vt:variant>
      <vt:variant>
        <vt:i4>5</vt:i4>
      </vt:variant>
      <vt:variant>
        <vt:lpwstr/>
      </vt:variant>
      <vt:variant>
        <vt:lpwstr>_Toc343605</vt:lpwstr>
      </vt:variant>
      <vt:variant>
        <vt:i4>2162688</vt:i4>
      </vt:variant>
      <vt:variant>
        <vt:i4>1469</vt:i4>
      </vt:variant>
      <vt:variant>
        <vt:i4>0</vt:i4>
      </vt:variant>
      <vt:variant>
        <vt:i4>5</vt:i4>
      </vt:variant>
      <vt:variant>
        <vt:lpwstr/>
      </vt:variant>
      <vt:variant>
        <vt:lpwstr>_Toc343604</vt:lpwstr>
      </vt:variant>
      <vt:variant>
        <vt:i4>2490368</vt:i4>
      </vt:variant>
      <vt:variant>
        <vt:i4>1463</vt:i4>
      </vt:variant>
      <vt:variant>
        <vt:i4>0</vt:i4>
      </vt:variant>
      <vt:variant>
        <vt:i4>5</vt:i4>
      </vt:variant>
      <vt:variant>
        <vt:lpwstr/>
      </vt:variant>
      <vt:variant>
        <vt:lpwstr>_Toc343603</vt:lpwstr>
      </vt:variant>
      <vt:variant>
        <vt:i4>2555904</vt:i4>
      </vt:variant>
      <vt:variant>
        <vt:i4>1457</vt:i4>
      </vt:variant>
      <vt:variant>
        <vt:i4>0</vt:i4>
      </vt:variant>
      <vt:variant>
        <vt:i4>5</vt:i4>
      </vt:variant>
      <vt:variant>
        <vt:lpwstr/>
      </vt:variant>
      <vt:variant>
        <vt:lpwstr>_Toc343602</vt:lpwstr>
      </vt:variant>
      <vt:variant>
        <vt:i4>2359296</vt:i4>
      </vt:variant>
      <vt:variant>
        <vt:i4>1451</vt:i4>
      </vt:variant>
      <vt:variant>
        <vt:i4>0</vt:i4>
      </vt:variant>
      <vt:variant>
        <vt:i4>5</vt:i4>
      </vt:variant>
      <vt:variant>
        <vt:lpwstr/>
      </vt:variant>
      <vt:variant>
        <vt:lpwstr>_Toc343601</vt:lpwstr>
      </vt:variant>
      <vt:variant>
        <vt:i4>2424832</vt:i4>
      </vt:variant>
      <vt:variant>
        <vt:i4>1445</vt:i4>
      </vt:variant>
      <vt:variant>
        <vt:i4>0</vt:i4>
      </vt:variant>
      <vt:variant>
        <vt:i4>5</vt:i4>
      </vt:variant>
      <vt:variant>
        <vt:lpwstr/>
      </vt:variant>
      <vt:variant>
        <vt:lpwstr>_Toc343600</vt:lpwstr>
      </vt:variant>
      <vt:variant>
        <vt:i4>3080201</vt:i4>
      </vt:variant>
      <vt:variant>
        <vt:i4>1439</vt:i4>
      </vt:variant>
      <vt:variant>
        <vt:i4>0</vt:i4>
      </vt:variant>
      <vt:variant>
        <vt:i4>5</vt:i4>
      </vt:variant>
      <vt:variant>
        <vt:lpwstr/>
      </vt:variant>
      <vt:variant>
        <vt:lpwstr>_Toc343599</vt:lpwstr>
      </vt:variant>
      <vt:variant>
        <vt:i4>3014665</vt:i4>
      </vt:variant>
      <vt:variant>
        <vt:i4>1433</vt:i4>
      </vt:variant>
      <vt:variant>
        <vt:i4>0</vt:i4>
      </vt:variant>
      <vt:variant>
        <vt:i4>5</vt:i4>
      </vt:variant>
      <vt:variant>
        <vt:lpwstr/>
      </vt:variant>
      <vt:variant>
        <vt:lpwstr>_Toc343598</vt:lpwstr>
      </vt:variant>
      <vt:variant>
        <vt:i4>2162697</vt:i4>
      </vt:variant>
      <vt:variant>
        <vt:i4>1427</vt:i4>
      </vt:variant>
      <vt:variant>
        <vt:i4>0</vt:i4>
      </vt:variant>
      <vt:variant>
        <vt:i4>5</vt:i4>
      </vt:variant>
      <vt:variant>
        <vt:lpwstr/>
      </vt:variant>
      <vt:variant>
        <vt:lpwstr>_Toc343597</vt:lpwstr>
      </vt:variant>
      <vt:variant>
        <vt:i4>2097161</vt:i4>
      </vt:variant>
      <vt:variant>
        <vt:i4>1421</vt:i4>
      </vt:variant>
      <vt:variant>
        <vt:i4>0</vt:i4>
      </vt:variant>
      <vt:variant>
        <vt:i4>5</vt:i4>
      </vt:variant>
      <vt:variant>
        <vt:lpwstr/>
      </vt:variant>
      <vt:variant>
        <vt:lpwstr>_Toc343596</vt:lpwstr>
      </vt:variant>
      <vt:variant>
        <vt:i4>2293769</vt:i4>
      </vt:variant>
      <vt:variant>
        <vt:i4>1415</vt:i4>
      </vt:variant>
      <vt:variant>
        <vt:i4>0</vt:i4>
      </vt:variant>
      <vt:variant>
        <vt:i4>5</vt:i4>
      </vt:variant>
      <vt:variant>
        <vt:lpwstr/>
      </vt:variant>
      <vt:variant>
        <vt:lpwstr>_Toc343595</vt:lpwstr>
      </vt:variant>
      <vt:variant>
        <vt:i4>2228233</vt:i4>
      </vt:variant>
      <vt:variant>
        <vt:i4>1409</vt:i4>
      </vt:variant>
      <vt:variant>
        <vt:i4>0</vt:i4>
      </vt:variant>
      <vt:variant>
        <vt:i4>5</vt:i4>
      </vt:variant>
      <vt:variant>
        <vt:lpwstr/>
      </vt:variant>
      <vt:variant>
        <vt:lpwstr>_Toc343594</vt:lpwstr>
      </vt:variant>
      <vt:variant>
        <vt:i4>2424841</vt:i4>
      </vt:variant>
      <vt:variant>
        <vt:i4>1403</vt:i4>
      </vt:variant>
      <vt:variant>
        <vt:i4>0</vt:i4>
      </vt:variant>
      <vt:variant>
        <vt:i4>5</vt:i4>
      </vt:variant>
      <vt:variant>
        <vt:lpwstr/>
      </vt:variant>
      <vt:variant>
        <vt:lpwstr>_Toc343593</vt:lpwstr>
      </vt:variant>
      <vt:variant>
        <vt:i4>2359305</vt:i4>
      </vt:variant>
      <vt:variant>
        <vt:i4>1397</vt:i4>
      </vt:variant>
      <vt:variant>
        <vt:i4>0</vt:i4>
      </vt:variant>
      <vt:variant>
        <vt:i4>5</vt:i4>
      </vt:variant>
      <vt:variant>
        <vt:lpwstr/>
      </vt:variant>
      <vt:variant>
        <vt:lpwstr>_Toc343592</vt:lpwstr>
      </vt:variant>
      <vt:variant>
        <vt:i4>2555913</vt:i4>
      </vt:variant>
      <vt:variant>
        <vt:i4>1391</vt:i4>
      </vt:variant>
      <vt:variant>
        <vt:i4>0</vt:i4>
      </vt:variant>
      <vt:variant>
        <vt:i4>5</vt:i4>
      </vt:variant>
      <vt:variant>
        <vt:lpwstr/>
      </vt:variant>
      <vt:variant>
        <vt:lpwstr>_Toc343591</vt:lpwstr>
      </vt:variant>
      <vt:variant>
        <vt:i4>2490377</vt:i4>
      </vt:variant>
      <vt:variant>
        <vt:i4>1385</vt:i4>
      </vt:variant>
      <vt:variant>
        <vt:i4>0</vt:i4>
      </vt:variant>
      <vt:variant>
        <vt:i4>5</vt:i4>
      </vt:variant>
      <vt:variant>
        <vt:lpwstr/>
      </vt:variant>
      <vt:variant>
        <vt:lpwstr>_Toc343590</vt:lpwstr>
      </vt:variant>
      <vt:variant>
        <vt:i4>3080200</vt:i4>
      </vt:variant>
      <vt:variant>
        <vt:i4>1379</vt:i4>
      </vt:variant>
      <vt:variant>
        <vt:i4>0</vt:i4>
      </vt:variant>
      <vt:variant>
        <vt:i4>5</vt:i4>
      </vt:variant>
      <vt:variant>
        <vt:lpwstr/>
      </vt:variant>
      <vt:variant>
        <vt:lpwstr>_Toc343589</vt:lpwstr>
      </vt:variant>
      <vt:variant>
        <vt:i4>3014664</vt:i4>
      </vt:variant>
      <vt:variant>
        <vt:i4>1373</vt:i4>
      </vt:variant>
      <vt:variant>
        <vt:i4>0</vt:i4>
      </vt:variant>
      <vt:variant>
        <vt:i4>5</vt:i4>
      </vt:variant>
      <vt:variant>
        <vt:lpwstr/>
      </vt:variant>
      <vt:variant>
        <vt:lpwstr>_Toc343588</vt:lpwstr>
      </vt:variant>
      <vt:variant>
        <vt:i4>2162696</vt:i4>
      </vt:variant>
      <vt:variant>
        <vt:i4>1367</vt:i4>
      </vt:variant>
      <vt:variant>
        <vt:i4>0</vt:i4>
      </vt:variant>
      <vt:variant>
        <vt:i4>5</vt:i4>
      </vt:variant>
      <vt:variant>
        <vt:lpwstr/>
      </vt:variant>
      <vt:variant>
        <vt:lpwstr>_Toc343587</vt:lpwstr>
      </vt:variant>
      <vt:variant>
        <vt:i4>2097160</vt:i4>
      </vt:variant>
      <vt:variant>
        <vt:i4>1361</vt:i4>
      </vt:variant>
      <vt:variant>
        <vt:i4>0</vt:i4>
      </vt:variant>
      <vt:variant>
        <vt:i4>5</vt:i4>
      </vt:variant>
      <vt:variant>
        <vt:lpwstr/>
      </vt:variant>
      <vt:variant>
        <vt:lpwstr>_Toc343586</vt:lpwstr>
      </vt:variant>
      <vt:variant>
        <vt:i4>2293768</vt:i4>
      </vt:variant>
      <vt:variant>
        <vt:i4>1355</vt:i4>
      </vt:variant>
      <vt:variant>
        <vt:i4>0</vt:i4>
      </vt:variant>
      <vt:variant>
        <vt:i4>5</vt:i4>
      </vt:variant>
      <vt:variant>
        <vt:lpwstr/>
      </vt:variant>
      <vt:variant>
        <vt:lpwstr>_Toc343585</vt:lpwstr>
      </vt:variant>
      <vt:variant>
        <vt:i4>2228232</vt:i4>
      </vt:variant>
      <vt:variant>
        <vt:i4>1349</vt:i4>
      </vt:variant>
      <vt:variant>
        <vt:i4>0</vt:i4>
      </vt:variant>
      <vt:variant>
        <vt:i4>5</vt:i4>
      </vt:variant>
      <vt:variant>
        <vt:lpwstr/>
      </vt:variant>
      <vt:variant>
        <vt:lpwstr>_Toc343584</vt:lpwstr>
      </vt:variant>
      <vt:variant>
        <vt:i4>2424840</vt:i4>
      </vt:variant>
      <vt:variant>
        <vt:i4>1343</vt:i4>
      </vt:variant>
      <vt:variant>
        <vt:i4>0</vt:i4>
      </vt:variant>
      <vt:variant>
        <vt:i4>5</vt:i4>
      </vt:variant>
      <vt:variant>
        <vt:lpwstr/>
      </vt:variant>
      <vt:variant>
        <vt:lpwstr>_Toc343583</vt:lpwstr>
      </vt:variant>
      <vt:variant>
        <vt:i4>2359304</vt:i4>
      </vt:variant>
      <vt:variant>
        <vt:i4>1337</vt:i4>
      </vt:variant>
      <vt:variant>
        <vt:i4>0</vt:i4>
      </vt:variant>
      <vt:variant>
        <vt:i4>5</vt:i4>
      </vt:variant>
      <vt:variant>
        <vt:lpwstr/>
      </vt:variant>
      <vt:variant>
        <vt:lpwstr>_Toc343582</vt:lpwstr>
      </vt:variant>
      <vt:variant>
        <vt:i4>2555912</vt:i4>
      </vt:variant>
      <vt:variant>
        <vt:i4>1331</vt:i4>
      </vt:variant>
      <vt:variant>
        <vt:i4>0</vt:i4>
      </vt:variant>
      <vt:variant>
        <vt:i4>5</vt:i4>
      </vt:variant>
      <vt:variant>
        <vt:lpwstr/>
      </vt:variant>
      <vt:variant>
        <vt:lpwstr>_Toc343581</vt:lpwstr>
      </vt:variant>
      <vt:variant>
        <vt:i4>2490376</vt:i4>
      </vt:variant>
      <vt:variant>
        <vt:i4>1325</vt:i4>
      </vt:variant>
      <vt:variant>
        <vt:i4>0</vt:i4>
      </vt:variant>
      <vt:variant>
        <vt:i4>5</vt:i4>
      </vt:variant>
      <vt:variant>
        <vt:lpwstr/>
      </vt:variant>
      <vt:variant>
        <vt:lpwstr>_Toc343580</vt:lpwstr>
      </vt:variant>
      <vt:variant>
        <vt:i4>3080199</vt:i4>
      </vt:variant>
      <vt:variant>
        <vt:i4>1319</vt:i4>
      </vt:variant>
      <vt:variant>
        <vt:i4>0</vt:i4>
      </vt:variant>
      <vt:variant>
        <vt:i4>5</vt:i4>
      </vt:variant>
      <vt:variant>
        <vt:lpwstr/>
      </vt:variant>
      <vt:variant>
        <vt:lpwstr>_Toc343579</vt:lpwstr>
      </vt:variant>
      <vt:variant>
        <vt:i4>3014663</vt:i4>
      </vt:variant>
      <vt:variant>
        <vt:i4>1313</vt:i4>
      </vt:variant>
      <vt:variant>
        <vt:i4>0</vt:i4>
      </vt:variant>
      <vt:variant>
        <vt:i4>5</vt:i4>
      </vt:variant>
      <vt:variant>
        <vt:lpwstr/>
      </vt:variant>
      <vt:variant>
        <vt:lpwstr>_Toc343578</vt:lpwstr>
      </vt:variant>
      <vt:variant>
        <vt:i4>2162695</vt:i4>
      </vt:variant>
      <vt:variant>
        <vt:i4>1307</vt:i4>
      </vt:variant>
      <vt:variant>
        <vt:i4>0</vt:i4>
      </vt:variant>
      <vt:variant>
        <vt:i4>5</vt:i4>
      </vt:variant>
      <vt:variant>
        <vt:lpwstr/>
      </vt:variant>
      <vt:variant>
        <vt:lpwstr>_Toc343577</vt:lpwstr>
      </vt:variant>
      <vt:variant>
        <vt:i4>2097159</vt:i4>
      </vt:variant>
      <vt:variant>
        <vt:i4>1301</vt:i4>
      </vt:variant>
      <vt:variant>
        <vt:i4>0</vt:i4>
      </vt:variant>
      <vt:variant>
        <vt:i4>5</vt:i4>
      </vt:variant>
      <vt:variant>
        <vt:lpwstr/>
      </vt:variant>
      <vt:variant>
        <vt:lpwstr>_Toc343576</vt:lpwstr>
      </vt:variant>
      <vt:variant>
        <vt:i4>2293767</vt:i4>
      </vt:variant>
      <vt:variant>
        <vt:i4>1295</vt:i4>
      </vt:variant>
      <vt:variant>
        <vt:i4>0</vt:i4>
      </vt:variant>
      <vt:variant>
        <vt:i4>5</vt:i4>
      </vt:variant>
      <vt:variant>
        <vt:lpwstr/>
      </vt:variant>
      <vt:variant>
        <vt:lpwstr>_Toc343575</vt:lpwstr>
      </vt:variant>
      <vt:variant>
        <vt:i4>2228231</vt:i4>
      </vt:variant>
      <vt:variant>
        <vt:i4>1289</vt:i4>
      </vt:variant>
      <vt:variant>
        <vt:i4>0</vt:i4>
      </vt:variant>
      <vt:variant>
        <vt:i4>5</vt:i4>
      </vt:variant>
      <vt:variant>
        <vt:lpwstr/>
      </vt:variant>
      <vt:variant>
        <vt:lpwstr>_Toc343574</vt:lpwstr>
      </vt:variant>
      <vt:variant>
        <vt:i4>2424839</vt:i4>
      </vt:variant>
      <vt:variant>
        <vt:i4>1283</vt:i4>
      </vt:variant>
      <vt:variant>
        <vt:i4>0</vt:i4>
      </vt:variant>
      <vt:variant>
        <vt:i4>5</vt:i4>
      </vt:variant>
      <vt:variant>
        <vt:lpwstr/>
      </vt:variant>
      <vt:variant>
        <vt:lpwstr>_Toc343573</vt:lpwstr>
      </vt:variant>
      <vt:variant>
        <vt:i4>2359303</vt:i4>
      </vt:variant>
      <vt:variant>
        <vt:i4>1277</vt:i4>
      </vt:variant>
      <vt:variant>
        <vt:i4>0</vt:i4>
      </vt:variant>
      <vt:variant>
        <vt:i4>5</vt:i4>
      </vt:variant>
      <vt:variant>
        <vt:lpwstr/>
      </vt:variant>
      <vt:variant>
        <vt:lpwstr>_Toc343572</vt:lpwstr>
      </vt:variant>
      <vt:variant>
        <vt:i4>2555911</vt:i4>
      </vt:variant>
      <vt:variant>
        <vt:i4>1271</vt:i4>
      </vt:variant>
      <vt:variant>
        <vt:i4>0</vt:i4>
      </vt:variant>
      <vt:variant>
        <vt:i4>5</vt:i4>
      </vt:variant>
      <vt:variant>
        <vt:lpwstr/>
      </vt:variant>
      <vt:variant>
        <vt:lpwstr>_Toc343571</vt:lpwstr>
      </vt:variant>
      <vt:variant>
        <vt:i4>2490375</vt:i4>
      </vt:variant>
      <vt:variant>
        <vt:i4>1265</vt:i4>
      </vt:variant>
      <vt:variant>
        <vt:i4>0</vt:i4>
      </vt:variant>
      <vt:variant>
        <vt:i4>5</vt:i4>
      </vt:variant>
      <vt:variant>
        <vt:lpwstr/>
      </vt:variant>
      <vt:variant>
        <vt:lpwstr>_Toc343570</vt:lpwstr>
      </vt:variant>
      <vt:variant>
        <vt:i4>3080198</vt:i4>
      </vt:variant>
      <vt:variant>
        <vt:i4>1259</vt:i4>
      </vt:variant>
      <vt:variant>
        <vt:i4>0</vt:i4>
      </vt:variant>
      <vt:variant>
        <vt:i4>5</vt:i4>
      </vt:variant>
      <vt:variant>
        <vt:lpwstr/>
      </vt:variant>
      <vt:variant>
        <vt:lpwstr>_Toc343569</vt:lpwstr>
      </vt:variant>
      <vt:variant>
        <vt:i4>3014662</vt:i4>
      </vt:variant>
      <vt:variant>
        <vt:i4>1253</vt:i4>
      </vt:variant>
      <vt:variant>
        <vt:i4>0</vt:i4>
      </vt:variant>
      <vt:variant>
        <vt:i4>5</vt:i4>
      </vt:variant>
      <vt:variant>
        <vt:lpwstr/>
      </vt:variant>
      <vt:variant>
        <vt:lpwstr>_Toc343568</vt:lpwstr>
      </vt:variant>
      <vt:variant>
        <vt:i4>2162694</vt:i4>
      </vt:variant>
      <vt:variant>
        <vt:i4>1247</vt:i4>
      </vt:variant>
      <vt:variant>
        <vt:i4>0</vt:i4>
      </vt:variant>
      <vt:variant>
        <vt:i4>5</vt:i4>
      </vt:variant>
      <vt:variant>
        <vt:lpwstr/>
      </vt:variant>
      <vt:variant>
        <vt:lpwstr>_Toc343567</vt:lpwstr>
      </vt:variant>
      <vt:variant>
        <vt:i4>2097158</vt:i4>
      </vt:variant>
      <vt:variant>
        <vt:i4>1241</vt:i4>
      </vt:variant>
      <vt:variant>
        <vt:i4>0</vt:i4>
      </vt:variant>
      <vt:variant>
        <vt:i4>5</vt:i4>
      </vt:variant>
      <vt:variant>
        <vt:lpwstr/>
      </vt:variant>
      <vt:variant>
        <vt:lpwstr>_Toc343566</vt:lpwstr>
      </vt:variant>
      <vt:variant>
        <vt:i4>2293766</vt:i4>
      </vt:variant>
      <vt:variant>
        <vt:i4>1235</vt:i4>
      </vt:variant>
      <vt:variant>
        <vt:i4>0</vt:i4>
      </vt:variant>
      <vt:variant>
        <vt:i4>5</vt:i4>
      </vt:variant>
      <vt:variant>
        <vt:lpwstr/>
      </vt:variant>
      <vt:variant>
        <vt:lpwstr>_Toc343565</vt:lpwstr>
      </vt:variant>
      <vt:variant>
        <vt:i4>2228230</vt:i4>
      </vt:variant>
      <vt:variant>
        <vt:i4>1229</vt:i4>
      </vt:variant>
      <vt:variant>
        <vt:i4>0</vt:i4>
      </vt:variant>
      <vt:variant>
        <vt:i4>5</vt:i4>
      </vt:variant>
      <vt:variant>
        <vt:lpwstr/>
      </vt:variant>
      <vt:variant>
        <vt:lpwstr>_Toc343564</vt:lpwstr>
      </vt:variant>
      <vt:variant>
        <vt:i4>2424838</vt:i4>
      </vt:variant>
      <vt:variant>
        <vt:i4>1223</vt:i4>
      </vt:variant>
      <vt:variant>
        <vt:i4>0</vt:i4>
      </vt:variant>
      <vt:variant>
        <vt:i4>5</vt:i4>
      </vt:variant>
      <vt:variant>
        <vt:lpwstr/>
      </vt:variant>
      <vt:variant>
        <vt:lpwstr>_Toc343563</vt:lpwstr>
      </vt:variant>
      <vt:variant>
        <vt:i4>2359302</vt:i4>
      </vt:variant>
      <vt:variant>
        <vt:i4>1217</vt:i4>
      </vt:variant>
      <vt:variant>
        <vt:i4>0</vt:i4>
      </vt:variant>
      <vt:variant>
        <vt:i4>5</vt:i4>
      </vt:variant>
      <vt:variant>
        <vt:lpwstr/>
      </vt:variant>
      <vt:variant>
        <vt:lpwstr>_Toc343562</vt:lpwstr>
      </vt:variant>
      <vt:variant>
        <vt:i4>2555910</vt:i4>
      </vt:variant>
      <vt:variant>
        <vt:i4>1211</vt:i4>
      </vt:variant>
      <vt:variant>
        <vt:i4>0</vt:i4>
      </vt:variant>
      <vt:variant>
        <vt:i4>5</vt:i4>
      </vt:variant>
      <vt:variant>
        <vt:lpwstr/>
      </vt:variant>
      <vt:variant>
        <vt:lpwstr>_Toc343561</vt:lpwstr>
      </vt:variant>
      <vt:variant>
        <vt:i4>2490374</vt:i4>
      </vt:variant>
      <vt:variant>
        <vt:i4>1205</vt:i4>
      </vt:variant>
      <vt:variant>
        <vt:i4>0</vt:i4>
      </vt:variant>
      <vt:variant>
        <vt:i4>5</vt:i4>
      </vt:variant>
      <vt:variant>
        <vt:lpwstr/>
      </vt:variant>
      <vt:variant>
        <vt:lpwstr>_Toc343560</vt:lpwstr>
      </vt:variant>
      <vt:variant>
        <vt:i4>3080197</vt:i4>
      </vt:variant>
      <vt:variant>
        <vt:i4>1199</vt:i4>
      </vt:variant>
      <vt:variant>
        <vt:i4>0</vt:i4>
      </vt:variant>
      <vt:variant>
        <vt:i4>5</vt:i4>
      </vt:variant>
      <vt:variant>
        <vt:lpwstr/>
      </vt:variant>
      <vt:variant>
        <vt:lpwstr>_Toc343559</vt:lpwstr>
      </vt:variant>
      <vt:variant>
        <vt:i4>3014661</vt:i4>
      </vt:variant>
      <vt:variant>
        <vt:i4>1193</vt:i4>
      </vt:variant>
      <vt:variant>
        <vt:i4>0</vt:i4>
      </vt:variant>
      <vt:variant>
        <vt:i4>5</vt:i4>
      </vt:variant>
      <vt:variant>
        <vt:lpwstr/>
      </vt:variant>
      <vt:variant>
        <vt:lpwstr>_Toc343558</vt:lpwstr>
      </vt:variant>
      <vt:variant>
        <vt:i4>2162693</vt:i4>
      </vt:variant>
      <vt:variant>
        <vt:i4>1187</vt:i4>
      </vt:variant>
      <vt:variant>
        <vt:i4>0</vt:i4>
      </vt:variant>
      <vt:variant>
        <vt:i4>5</vt:i4>
      </vt:variant>
      <vt:variant>
        <vt:lpwstr/>
      </vt:variant>
      <vt:variant>
        <vt:lpwstr>_Toc343557</vt:lpwstr>
      </vt:variant>
      <vt:variant>
        <vt:i4>2097157</vt:i4>
      </vt:variant>
      <vt:variant>
        <vt:i4>1181</vt:i4>
      </vt:variant>
      <vt:variant>
        <vt:i4>0</vt:i4>
      </vt:variant>
      <vt:variant>
        <vt:i4>5</vt:i4>
      </vt:variant>
      <vt:variant>
        <vt:lpwstr/>
      </vt:variant>
      <vt:variant>
        <vt:lpwstr>_Toc343556</vt:lpwstr>
      </vt:variant>
      <vt:variant>
        <vt:i4>2293765</vt:i4>
      </vt:variant>
      <vt:variant>
        <vt:i4>1175</vt:i4>
      </vt:variant>
      <vt:variant>
        <vt:i4>0</vt:i4>
      </vt:variant>
      <vt:variant>
        <vt:i4>5</vt:i4>
      </vt:variant>
      <vt:variant>
        <vt:lpwstr/>
      </vt:variant>
      <vt:variant>
        <vt:lpwstr>_Toc343555</vt:lpwstr>
      </vt:variant>
      <vt:variant>
        <vt:i4>2228229</vt:i4>
      </vt:variant>
      <vt:variant>
        <vt:i4>1169</vt:i4>
      </vt:variant>
      <vt:variant>
        <vt:i4>0</vt:i4>
      </vt:variant>
      <vt:variant>
        <vt:i4>5</vt:i4>
      </vt:variant>
      <vt:variant>
        <vt:lpwstr/>
      </vt:variant>
      <vt:variant>
        <vt:lpwstr>_Toc343554</vt:lpwstr>
      </vt:variant>
      <vt:variant>
        <vt:i4>2424837</vt:i4>
      </vt:variant>
      <vt:variant>
        <vt:i4>1163</vt:i4>
      </vt:variant>
      <vt:variant>
        <vt:i4>0</vt:i4>
      </vt:variant>
      <vt:variant>
        <vt:i4>5</vt:i4>
      </vt:variant>
      <vt:variant>
        <vt:lpwstr/>
      </vt:variant>
      <vt:variant>
        <vt:lpwstr>_Toc343553</vt:lpwstr>
      </vt:variant>
      <vt:variant>
        <vt:i4>2359301</vt:i4>
      </vt:variant>
      <vt:variant>
        <vt:i4>1157</vt:i4>
      </vt:variant>
      <vt:variant>
        <vt:i4>0</vt:i4>
      </vt:variant>
      <vt:variant>
        <vt:i4>5</vt:i4>
      </vt:variant>
      <vt:variant>
        <vt:lpwstr/>
      </vt:variant>
      <vt:variant>
        <vt:lpwstr>_Toc343552</vt:lpwstr>
      </vt:variant>
      <vt:variant>
        <vt:i4>2555909</vt:i4>
      </vt:variant>
      <vt:variant>
        <vt:i4>1151</vt:i4>
      </vt:variant>
      <vt:variant>
        <vt:i4>0</vt:i4>
      </vt:variant>
      <vt:variant>
        <vt:i4>5</vt:i4>
      </vt:variant>
      <vt:variant>
        <vt:lpwstr/>
      </vt:variant>
      <vt:variant>
        <vt:lpwstr>_Toc343551</vt:lpwstr>
      </vt:variant>
      <vt:variant>
        <vt:i4>2490373</vt:i4>
      </vt:variant>
      <vt:variant>
        <vt:i4>1145</vt:i4>
      </vt:variant>
      <vt:variant>
        <vt:i4>0</vt:i4>
      </vt:variant>
      <vt:variant>
        <vt:i4>5</vt:i4>
      </vt:variant>
      <vt:variant>
        <vt:lpwstr/>
      </vt:variant>
      <vt:variant>
        <vt:lpwstr>_Toc343550</vt:lpwstr>
      </vt:variant>
      <vt:variant>
        <vt:i4>3080196</vt:i4>
      </vt:variant>
      <vt:variant>
        <vt:i4>1139</vt:i4>
      </vt:variant>
      <vt:variant>
        <vt:i4>0</vt:i4>
      </vt:variant>
      <vt:variant>
        <vt:i4>5</vt:i4>
      </vt:variant>
      <vt:variant>
        <vt:lpwstr/>
      </vt:variant>
      <vt:variant>
        <vt:lpwstr>_Toc343549</vt:lpwstr>
      </vt:variant>
      <vt:variant>
        <vt:i4>3014660</vt:i4>
      </vt:variant>
      <vt:variant>
        <vt:i4>1133</vt:i4>
      </vt:variant>
      <vt:variant>
        <vt:i4>0</vt:i4>
      </vt:variant>
      <vt:variant>
        <vt:i4>5</vt:i4>
      </vt:variant>
      <vt:variant>
        <vt:lpwstr/>
      </vt:variant>
      <vt:variant>
        <vt:lpwstr>_Toc343548</vt:lpwstr>
      </vt:variant>
      <vt:variant>
        <vt:i4>2162692</vt:i4>
      </vt:variant>
      <vt:variant>
        <vt:i4>1127</vt:i4>
      </vt:variant>
      <vt:variant>
        <vt:i4>0</vt:i4>
      </vt:variant>
      <vt:variant>
        <vt:i4>5</vt:i4>
      </vt:variant>
      <vt:variant>
        <vt:lpwstr/>
      </vt:variant>
      <vt:variant>
        <vt:lpwstr>_Toc343547</vt:lpwstr>
      </vt:variant>
      <vt:variant>
        <vt:i4>2097156</vt:i4>
      </vt:variant>
      <vt:variant>
        <vt:i4>1121</vt:i4>
      </vt:variant>
      <vt:variant>
        <vt:i4>0</vt:i4>
      </vt:variant>
      <vt:variant>
        <vt:i4>5</vt:i4>
      </vt:variant>
      <vt:variant>
        <vt:lpwstr/>
      </vt:variant>
      <vt:variant>
        <vt:lpwstr>_Toc343546</vt:lpwstr>
      </vt:variant>
      <vt:variant>
        <vt:i4>2293764</vt:i4>
      </vt:variant>
      <vt:variant>
        <vt:i4>1115</vt:i4>
      </vt:variant>
      <vt:variant>
        <vt:i4>0</vt:i4>
      </vt:variant>
      <vt:variant>
        <vt:i4>5</vt:i4>
      </vt:variant>
      <vt:variant>
        <vt:lpwstr/>
      </vt:variant>
      <vt:variant>
        <vt:lpwstr>_Toc343545</vt:lpwstr>
      </vt:variant>
      <vt:variant>
        <vt:i4>2228228</vt:i4>
      </vt:variant>
      <vt:variant>
        <vt:i4>1109</vt:i4>
      </vt:variant>
      <vt:variant>
        <vt:i4>0</vt:i4>
      </vt:variant>
      <vt:variant>
        <vt:i4>5</vt:i4>
      </vt:variant>
      <vt:variant>
        <vt:lpwstr/>
      </vt:variant>
      <vt:variant>
        <vt:lpwstr>_Toc343544</vt:lpwstr>
      </vt:variant>
      <vt:variant>
        <vt:i4>2424836</vt:i4>
      </vt:variant>
      <vt:variant>
        <vt:i4>1103</vt:i4>
      </vt:variant>
      <vt:variant>
        <vt:i4>0</vt:i4>
      </vt:variant>
      <vt:variant>
        <vt:i4>5</vt:i4>
      </vt:variant>
      <vt:variant>
        <vt:lpwstr/>
      </vt:variant>
      <vt:variant>
        <vt:lpwstr>_Toc343543</vt:lpwstr>
      </vt:variant>
      <vt:variant>
        <vt:i4>2359300</vt:i4>
      </vt:variant>
      <vt:variant>
        <vt:i4>1097</vt:i4>
      </vt:variant>
      <vt:variant>
        <vt:i4>0</vt:i4>
      </vt:variant>
      <vt:variant>
        <vt:i4>5</vt:i4>
      </vt:variant>
      <vt:variant>
        <vt:lpwstr/>
      </vt:variant>
      <vt:variant>
        <vt:lpwstr>_Toc343542</vt:lpwstr>
      </vt:variant>
      <vt:variant>
        <vt:i4>2555908</vt:i4>
      </vt:variant>
      <vt:variant>
        <vt:i4>1091</vt:i4>
      </vt:variant>
      <vt:variant>
        <vt:i4>0</vt:i4>
      </vt:variant>
      <vt:variant>
        <vt:i4>5</vt:i4>
      </vt:variant>
      <vt:variant>
        <vt:lpwstr/>
      </vt:variant>
      <vt:variant>
        <vt:lpwstr>_Toc343541</vt:lpwstr>
      </vt:variant>
      <vt:variant>
        <vt:i4>2490372</vt:i4>
      </vt:variant>
      <vt:variant>
        <vt:i4>1085</vt:i4>
      </vt:variant>
      <vt:variant>
        <vt:i4>0</vt:i4>
      </vt:variant>
      <vt:variant>
        <vt:i4>5</vt:i4>
      </vt:variant>
      <vt:variant>
        <vt:lpwstr/>
      </vt:variant>
      <vt:variant>
        <vt:lpwstr>_Toc343540</vt:lpwstr>
      </vt:variant>
      <vt:variant>
        <vt:i4>3080195</vt:i4>
      </vt:variant>
      <vt:variant>
        <vt:i4>1079</vt:i4>
      </vt:variant>
      <vt:variant>
        <vt:i4>0</vt:i4>
      </vt:variant>
      <vt:variant>
        <vt:i4>5</vt:i4>
      </vt:variant>
      <vt:variant>
        <vt:lpwstr/>
      </vt:variant>
      <vt:variant>
        <vt:lpwstr>_Toc343539</vt:lpwstr>
      </vt:variant>
      <vt:variant>
        <vt:i4>3014659</vt:i4>
      </vt:variant>
      <vt:variant>
        <vt:i4>1073</vt:i4>
      </vt:variant>
      <vt:variant>
        <vt:i4>0</vt:i4>
      </vt:variant>
      <vt:variant>
        <vt:i4>5</vt:i4>
      </vt:variant>
      <vt:variant>
        <vt:lpwstr/>
      </vt:variant>
      <vt:variant>
        <vt:lpwstr>_Toc343538</vt:lpwstr>
      </vt:variant>
      <vt:variant>
        <vt:i4>2162691</vt:i4>
      </vt:variant>
      <vt:variant>
        <vt:i4>1067</vt:i4>
      </vt:variant>
      <vt:variant>
        <vt:i4>0</vt:i4>
      </vt:variant>
      <vt:variant>
        <vt:i4>5</vt:i4>
      </vt:variant>
      <vt:variant>
        <vt:lpwstr/>
      </vt:variant>
      <vt:variant>
        <vt:lpwstr>_Toc343537</vt:lpwstr>
      </vt:variant>
      <vt:variant>
        <vt:i4>2097155</vt:i4>
      </vt:variant>
      <vt:variant>
        <vt:i4>1061</vt:i4>
      </vt:variant>
      <vt:variant>
        <vt:i4>0</vt:i4>
      </vt:variant>
      <vt:variant>
        <vt:i4>5</vt:i4>
      </vt:variant>
      <vt:variant>
        <vt:lpwstr/>
      </vt:variant>
      <vt:variant>
        <vt:lpwstr>_Toc343536</vt:lpwstr>
      </vt:variant>
      <vt:variant>
        <vt:i4>2293763</vt:i4>
      </vt:variant>
      <vt:variant>
        <vt:i4>1055</vt:i4>
      </vt:variant>
      <vt:variant>
        <vt:i4>0</vt:i4>
      </vt:variant>
      <vt:variant>
        <vt:i4>5</vt:i4>
      </vt:variant>
      <vt:variant>
        <vt:lpwstr/>
      </vt:variant>
      <vt:variant>
        <vt:lpwstr>_Toc343535</vt:lpwstr>
      </vt:variant>
      <vt:variant>
        <vt:i4>2228227</vt:i4>
      </vt:variant>
      <vt:variant>
        <vt:i4>1049</vt:i4>
      </vt:variant>
      <vt:variant>
        <vt:i4>0</vt:i4>
      </vt:variant>
      <vt:variant>
        <vt:i4>5</vt:i4>
      </vt:variant>
      <vt:variant>
        <vt:lpwstr/>
      </vt:variant>
      <vt:variant>
        <vt:lpwstr>_Toc343534</vt:lpwstr>
      </vt:variant>
      <vt:variant>
        <vt:i4>2424835</vt:i4>
      </vt:variant>
      <vt:variant>
        <vt:i4>1043</vt:i4>
      </vt:variant>
      <vt:variant>
        <vt:i4>0</vt:i4>
      </vt:variant>
      <vt:variant>
        <vt:i4>5</vt:i4>
      </vt:variant>
      <vt:variant>
        <vt:lpwstr/>
      </vt:variant>
      <vt:variant>
        <vt:lpwstr>_Toc343533</vt:lpwstr>
      </vt:variant>
      <vt:variant>
        <vt:i4>2359299</vt:i4>
      </vt:variant>
      <vt:variant>
        <vt:i4>1037</vt:i4>
      </vt:variant>
      <vt:variant>
        <vt:i4>0</vt:i4>
      </vt:variant>
      <vt:variant>
        <vt:i4>5</vt:i4>
      </vt:variant>
      <vt:variant>
        <vt:lpwstr/>
      </vt:variant>
      <vt:variant>
        <vt:lpwstr>_Toc343532</vt:lpwstr>
      </vt:variant>
      <vt:variant>
        <vt:i4>2555907</vt:i4>
      </vt:variant>
      <vt:variant>
        <vt:i4>1031</vt:i4>
      </vt:variant>
      <vt:variant>
        <vt:i4>0</vt:i4>
      </vt:variant>
      <vt:variant>
        <vt:i4>5</vt:i4>
      </vt:variant>
      <vt:variant>
        <vt:lpwstr/>
      </vt:variant>
      <vt:variant>
        <vt:lpwstr>_Toc343531</vt:lpwstr>
      </vt:variant>
      <vt:variant>
        <vt:i4>2490371</vt:i4>
      </vt:variant>
      <vt:variant>
        <vt:i4>1025</vt:i4>
      </vt:variant>
      <vt:variant>
        <vt:i4>0</vt:i4>
      </vt:variant>
      <vt:variant>
        <vt:i4>5</vt:i4>
      </vt:variant>
      <vt:variant>
        <vt:lpwstr/>
      </vt:variant>
      <vt:variant>
        <vt:lpwstr>_Toc343530</vt:lpwstr>
      </vt:variant>
      <vt:variant>
        <vt:i4>3080194</vt:i4>
      </vt:variant>
      <vt:variant>
        <vt:i4>1019</vt:i4>
      </vt:variant>
      <vt:variant>
        <vt:i4>0</vt:i4>
      </vt:variant>
      <vt:variant>
        <vt:i4>5</vt:i4>
      </vt:variant>
      <vt:variant>
        <vt:lpwstr/>
      </vt:variant>
      <vt:variant>
        <vt:lpwstr>_Toc343529</vt:lpwstr>
      </vt:variant>
      <vt:variant>
        <vt:i4>3014658</vt:i4>
      </vt:variant>
      <vt:variant>
        <vt:i4>1013</vt:i4>
      </vt:variant>
      <vt:variant>
        <vt:i4>0</vt:i4>
      </vt:variant>
      <vt:variant>
        <vt:i4>5</vt:i4>
      </vt:variant>
      <vt:variant>
        <vt:lpwstr/>
      </vt:variant>
      <vt:variant>
        <vt:lpwstr>_Toc343528</vt:lpwstr>
      </vt:variant>
      <vt:variant>
        <vt:i4>2162690</vt:i4>
      </vt:variant>
      <vt:variant>
        <vt:i4>1007</vt:i4>
      </vt:variant>
      <vt:variant>
        <vt:i4>0</vt:i4>
      </vt:variant>
      <vt:variant>
        <vt:i4>5</vt:i4>
      </vt:variant>
      <vt:variant>
        <vt:lpwstr/>
      </vt:variant>
      <vt:variant>
        <vt:lpwstr>_Toc343527</vt:lpwstr>
      </vt:variant>
      <vt:variant>
        <vt:i4>2097154</vt:i4>
      </vt:variant>
      <vt:variant>
        <vt:i4>1001</vt:i4>
      </vt:variant>
      <vt:variant>
        <vt:i4>0</vt:i4>
      </vt:variant>
      <vt:variant>
        <vt:i4>5</vt:i4>
      </vt:variant>
      <vt:variant>
        <vt:lpwstr/>
      </vt:variant>
      <vt:variant>
        <vt:lpwstr>_Toc343526</vt:lpwstr>
      </vt:variant>
      <vt:variant>
        <vt:i4>2293762</vt:i4>
      </vt:variant>
      <vt:variant>
        <vt:i4>995</vt:i4>
      </vt:variant>
      <vt:variant>
        <vt:i4>0</vt:i4>
      </vt:variant>
      <vt:variant>
        <vt:i4>5</vt:i4>
      </vt:variant>
      <vt:variant>
        <vt:lpwstr/>
      </vt:variant>
      <vt:variant>
        <vt:lpwstr>_Toc343525</vt:lpwstr>
      </vt:variant>
      <vt:variant>
        <vt:i4>2228226</vt:i4>
      </vt:variant>
      <vt:variant>
        <vt:i4>989</vt:i4>
      </vt:variant>
      <vt:variant>
        <vt:i4>0</vt:i4>
      </vt:variant>
      <vt:variant>
        <vt:i4>5</vt:i4>
      </vt:variant>
      <vt:variant>
        <vt:lpwstr/>
      </vt:variant>
      <vt:variant>
        <vt:lpwstr>_Toc343524</vt:lpwstr>
      </vt:variant>
      <vt:variant>
        <vt:i4>2424834</vt:i4>
      </vt:variant>
      <vt:variant>
        <vt:i4>983</vt:i4>
      </vt:variant>
      <vt:variant>
        <vt:i4>0</vt:i4>
      </vt:variant>
      <vt:variant>
        <vt:i4>5</vt:i4>
      </vt:variant>
      <vt:variant>
        <vt:lpwstr/>
      </vt:variant>
      <vt:variant>
        <vt:lpwstr>_Toc343523</vt:lpwstr>
      </vt:variant>
      <vt:variant>
        <vt:i4>2359298</vt:i4>
      </vt:variant>
      <vt:variant>
        <vt:i4>977</vt:i4>
      </vt:variant>
      <vt:variant>
        <vt:i4>0</vt:i4>
      </vt:variant>
      <vt:variant>
        <vt:i4>5</vt:i4>
      </vt:variant>
      <vt:variant>
        <vt:lpwstr/>
      </vt:variant>
      <vt:variant>
        <vt:lpwstr>_Toc343522</vt:lpwstr>
      </vt:variant>
      <vt:variant>
        <vt:i4>2555906</vt:i4>
      </vt:variant>
      <vt:variant>
        <vt:i4>971</vt:i4>
      </vt:variant>
      <vt:variant>
        <vt:i4>0</vt:i4>
      </vt:variant>
      <vt:variant>
        <vt:i4>5</vt:i4>
      </vt:variant>
      <vt:variant>
        <vt:lpwstr/>
      </vt:variant>
      <vt:variant>
        <vt:lpwstr>_Toc343521</vt:lpwstr>
      </vt:variant>
      <vt:variant>
        <vt:i4>2490370</vt:i4>
      </vt:variant>
      <vt:variant>
        <vt:i4>965</vt:i4>
      </vt:variant>
      <vt:variant>
        <vt:i4>0</vt:i4>
      </vt:variant>
      <vt:variant>
        <vt:i4>5</vt:i4>
      </vt:variant>
      <vt:variant>
        <vt:lpwstr/>
      </vt:variant>
      <vt:variant>
        <vt:lpwstr>_Toc343520</vt:lpwstr>
      </vt:variant>
      <vt:variant>
        <vt:i4>3080193</vt:i4>
      </vt:variant>
      <vt:variant>
        <vt:i4>959</vt:i4>
      </vt:variant>
      <vt:variant>
        <vt:i4>0</vt:i4>
      </vt:variant>
      <vt:variant>
        <vt:i4>5</vt:i4>
      </vt:variant>
      <vt:variant>
        <vt:lpwstr/>
      </vt:variant>
      <vt:variant>
        <vt:lpwstr>_Toc343519</vt:lpwstr>
      </vt:variant>
      <vt:variant>
        <vt:i4>3014657</vt:i4>
      </vt:variant>
      <vt:variant>
        <vt:i4>953</vt:i4>
      </vt:variant>
      <vt:variant>
        <vt:i4>0</vt:i4>
      </vt:variant>
      <vt:variant>
        <vt:i4>5</vt:i4>
      </vt:variant>
      <vt:variant>
        <vt:lpwstr/>
      </vt:variant>
      <vt:variant>
        <vt:lpwstr>_Toc343518</vt:lpwstr>
      </vt:variant>
      <vt:variant>
        <vt:i4>2162689</vt:i4>
      </vt:variant>
      <vt:variant>
        <vt:i4>947</vt:i4>
      </vt:variant>
      <vt:variant>
        <vt:i4>0</vt:i4>
      </vt:variant>
      <vt:variant>
        <vt:i4>5</vt:i4>
      </vt:variant>
      <vt:variant>
        <vt:lpwstr/>
      </vt:variant>
      <vt:variant>
        <vt:lpwstr>_Toc343517</vt:lpwstr>
      </vt:variant>
      <vt:variant>
        <vt:i4>2097153</vt:i4>
      </vt:variant>
      <vt:variant>
        <vt:i4>941</vt:i4>
      </vt:variant>
      <vt:variant>
        <vt:i4>0</vt:i4>
      </vt:variant>
      <vt:variant>
        <vt:i4>5</vt:i4>
      </vt:variant>
      <vt:variant>
        <vt:lpwstr/>
      </vt:variant>
      <vt:variant>
        <vt:lpwstr>_Toc343516</vt:lpwstr>
      </vt:variant>
      <vt:variant>
        <vt:i4>2293761</vt:i4>
      </vt:variant>
      <vt:variant>
        <vt:i4>935</vt:i4>
      </vt:variant>
      <vt:variant>
        <vt:i4>0</vt:i4>
      </vt:variant>
      <vt:variant>
        <vt:i4>5</vt:i4>
      </vt:variant>
      <vt:variant>
        <vt:lpwstr/>
      </vt:variant>
      <vt:variant>
        <vt:lpwstr>_Toc343515</vt:lpwstr>
      </vt:variant>
      <vt:variant>
        <vt:i4>2228225</vt:i4>
      </vt:variant>
      <vt:variant>
        <vt:i4>929</vt:i4>
      </vt:variant>
      <vt:variant>
        <vt:i4>0</vt:i4>
      </vt:variant>
      <vt:variant>
        <vt:i4>5</vt:i4>
      </vt:variant>
      <vt:variant>
        <vt:lpwstr/>
      </vt:variant>
      <vt:variant>
        <vt:lpwstr>_Toc343514</vt:lpwstr>
      </vt:variant>
      <vt:variant>
        <vt:i4>2424833</vt:i4>
      </vt:variant>
      <vt:variant>
        <vt:i4>923</vt:i4>
      </vt:variant>
      <vt:variant>
        <vt:i4>0</vt:i4>
      </vt:variant>
      <vt:variant>
        <vt:i4>5</vt:i4>
      </vt:variant>
      <vt:variant>
        <vt:lpwstr/>
      </vt:variant>
      <vt:variant>
        <vt:lpwstr>_Toc343513</vt:lpwstr>
      </vt:variant>
      <vt:variant>
        <vt:i4>2359297</vt:i4>
      </vt:variant>
      <vt:variant>
        <vt:i4>917</vt:i4>
      </vt:variant>
      <vt:variant>
        <vt:i4>0</vt:i4>
      </vt:variant>
      <vt:variant>
        <vt:i4>5</vt:i4>
      </vt:variant>
      <vt:variant>
        <vt:lpwstr/>
      </vt:variant>
      <vt:variant>
        <vt:lpwstr>_Toc343512</vt:lpwstr>
      </vt:variant>
      <vt:variant>
        <vt:i4>2555905</vt:i4>
      </vt:variant>
      <vt:variant>
        <vt:i4>911</vt:i4>
      </vt:variant>
      <vt:variant>
        <vt:i4>0</vt:i4>
      </vt:variant>
      <vt:variant>
        <vt:i4>5</vt:i4>
      </vt:variant>
      <vt:variant>
        <vt:lpwstr/>
      </vt:variant>
      <vt:variant>
        <vt:lpwstr>_Toc343511</vt:lpwstr>
      </vt:variant>
      <vt:variant>
        <vt:i4>2490369</vt:i4>
      </vt:variant>
      <vt:variant>
        <vt:i4>905</vt:i4>
      </vt:variant>
      <vt:variant>
        <vt:i4>0</vt:i4>
      </vt:variant>
      <vt:variant>
        <vt:i4>5</vt:i4>
      </vt:variant>
      <vt:variant>
        <vt:lpwstr/>
      </vt:variant>
      <vt:variant>
        <vt:lpwstr>_Toc343510</vt:lpwstr>
      </vt:variant>
      <vt:variant>
        <vt:i4>3080192</vt:i4>
      </vt:variant>
      <vt:variant>
        <vt:i4>899</vt:i4>
      </vt:variant>
      <vt:variant>
        <vt:i4>0</vt:i4>
      </vt:variant>
      <vt:variant>
        <vt:i4>5</vt:i4>
      </vt:variant>
      <vt:variant>
        <vt:lpwstr/>
      </vt:variant>
      <vt:variant>
        <vt:lpwstr>_Toc343509</vt:lpwstr>
      </vt:variant>
      <vt:variant>
        <vt:i4>3014656</vt:i4>
      </vt:variant>
      <vt:variant>
        <vt:i4>893</vt:i4>
      </vt:variant>
      <vt:variant>
        <vt:i4>0</vt:i4>
      </vt:variant>
      <vt:variant>
        <vt:i4>5</vt:i4>
      </vt:variant>
      <vt:variant>
        <vt:lpwstr/>
      </vt:variant>
      <vt:variant>
        <vt:lpwstr>_Toc343508</vt:lpwstr>
      </vt:variant>
      <vt:variant>
        <vt:i4>2162688</vt:i4>
      </vt:variant>
      <vt:variant>
        <vt:i4>887</vt:i4>
      </vt:variant>
      <vt:variant>
        <vt:i4>0</vt:i4>
      </vt:variant>
      <vt:variant>
        <vt:i4>5</vt:i4>
      </vt:variant>
      <vt:variant>
        <vt:lpwstr/>
      </vt:variant>
      <vt:variant>
        <vt:lpwstr>_Toc343507</vt:lpwstr>
      </vt:variant>
      <vt:variant>
        <vt:i4>2097152</vt:i4>
      </vt:variant>
      <vt:variant>
        <vt:i4>881</vt:i4>
      </vt:variant>
      <vt:variant>
        <vt:i4>0</vt:i4>
      </vt:variant>
      <vt:variant>
        <vt:i4>5</vt:i4>
      </vt:variant>
      <vt:variant>
        <vt:lpwstr/>
      </vt:variant>
      <vt:variant>
        <vt:lpwstr>_Toc343506</vt:lpwstr>
      </vt:variant>
      <vt:variant>
        <vt:i4>2293760</vt:i4>
      </vt:variant>
      <vt:variant>
        <vt:i4>875</vt:i4>
      </vt:variant>
      <vt:variant>
        <vt:i4>0</vt:i4>
      </vt:variant>
      <vt:variant>
        <vt:i4>5</vt:i4>
      </vt:variant>
      <vt:variant>
        <vt:lpwstr/>
      </vt:variant>
      <vt:variant>
        <vt:lpwstr>_Toc343505</vt:lpwstr>
      </vt:variant>
      <vt:variant>
        <vt:i4>2228224</vt:i4>
      </vt:variant>
      <vt:variant>
        <vt:i4>869</vt:i4>
      </vt:variant>
      <vt:variant>
        <vt:i4>0</vt:i4>
      </vt:variant>
      <vt:variant>
        <vt:i4>5</vt:i4>
      </vt:variant>
      <vt:variant>
        <vt:lpwstr/>
      </vt:variant>
      <vt:variant>
        <vt:lpwstr>_Toc343504</vt:lpwstr>
      </vt:variant>
      <vt:variant>
        <vt:i4>2424832</vt:i4>
      </vt:variant>
      <vt:variant>
        <vt:i4>863</vt:i4>
      </vt:variant>
      <vt:variant>
        <vt:i4>0</vt:i4>
      </vt:variant>
      <vt:variant>
        <vt:i4>5</vt:i4>
      </vt:variant>
      <vt:variant>
        <vt:lpwstr/>
      </vt:variant>
      <vt:variant>
        <vt:lpwstr>_Toc343503</vt:lpwstr>
      </vt:variant>
      <vt:variant>
        <vt:i4>2359296</vt:i4>
      </vt:variant>
      <vt:variant>
        <vt:i4>857</vt:i4>
      </vt:variant>
      <vt:variant>
        <vt:i4>0</vt:i4>
      </vt:variant>
      <vt:variant>
        <vt:i4>5</vt:i4>
      </vt:variant>
      <vt:variant>
        <vt:lpwstr/>
      </vt:variant>
      <vt:variant>
        <vt:lpwstr>_Toc343502</vt:lpwstr>
      </vt:variant>
      <vt:variant>
        <vt:i4>2555904</vt:i4>
      </vt:variant>
      <vt:variant>
        <vt:i4>851</vt:i4>
      </vt:variant>
      <vt:variant>
        <vt:i4>0</vt:i4>
      </vt:variant>
      <vt:variant>
        <vt:i4>5</vt:i4>
      </vt:variant>
      <vt:variant>
        <vt:lpwstr/>
      </vt:variant>
      <vt:variant>
        <vt:lpwstr>_Toc343501</vt:lpwstr>
      </vt:variant>
      <vt:variant>
        <vt:i4>2490368</vt:i4>
      </vt:variant>
      <vt:variant>
        <vt:i4>845</vt:i4>
      </vt:variant>
      <vt:variant>
        <vt:i4>0</vt:i4>
      </vt:variant>
      <vt:variant>
        <vt:i4>5</vt:i4>
      </vt:variant>
      <vt:variant>
        <vt:lpwstr/>
      </vt:variant>
      <vt:variant>
        <vt:lpwstr>_Toc343500</vt:lpwstr>
      </vt:variant>
      <vt:variant>
        <vt:i4>3014665</vt:i4>
      </vt:variant>
      <vt:variant>
        <vt:i4>839</vt:i4>
      </vt:variant>
      <vt:variant>
        <vt:i4>0</vt:i4>
      </vt:variant>
      <vt:variant>
        <vt:i4>5</vt:i4>
      </vt:variant>
      <vt:variant>
        <vt:lpwstr/>
      </vt:variant>
      <vt:variant>
        <vt:lpwstr>_Toc343499</vt:lpwstr>
      </vt:variant>
      <vt:variant>
        <vt:i4>3080201</vt:i4>
      </vt:variant>
      <vt:variant>
        <vt:i4>833</vt:i4>
      </vt:variant>
      <vt:variant>
        <vt:i4>0</vt:i4>
      </vt:variant>
      <vt:variant>
        <vt:i4>5</vt:i4>
      </vt:variant>
      <vt:variant>
        <vt:lpwstr/>
      </vt:variant>
      <vt:variant>
        <vt:lpwstr>_Toc343498</vt:lpwstr>
      </vt:variant>
      <vt:variant>
        <vt:i4>2097161</vt:i4>
      </vt:variant>
      <vt:variant>
        <vt:i4>827</vt:i4>
      </vt:variant>
      <vt:variant>
        <vt:i4>0</vt:i4>
      </vt:variant>
      <vt:variant>
        <vt:i4>5</vt:i4>
      </vt:variant>
      <vt:variant>
        <vt:lpwstr/>
      </vt:variant>
      <vt:variant>
        <vt:lpwstr>_Toc343497</vt:lpwstr>
      </vt:variant>
      <vt:variant>
        <vt:i4>2162697</vt:i4>
      </vt:variant>
      <vt:variant>
        <vt:i4>821</vt:i4>
      </vt:variant>
      <vt:variant>
        <vt:i4>0</vt:i4>
      </vt:variant>
      <vt:variant>
        <vt:i4>5</vt:i4>
      </vt:variant>
      <vt:variant>
        <vt:lpwstr/>
      </vt:variant>
      <vt:variant>
        <vt:lpwstr>_Toc343496</vt:lpwstr>
      </vt:variant>
      <vt:variant>
        <vt:i4>2228233</vt:i4>
      </vt:variant>
      <vt:variant>
        <vt:i4>815</vt:i4>
      </vt:variant>
      <vt:variant>
        <vt:i4>0</vt:i4>
      </vt:variant>
      <vt:variant>
        <vt:i4>5</vt:i4>
      </vt:variant>
      <vt:variant>
        <vt:lpwstr/>
      </vt:variant>
      <vt:variant>
        <vt:lpwstr>_Toc343495</vt:lpwstr>
      </vt:variant>
      <vt:variant>
        <vt:i4>2293769</vt:i4>
      </vt:variant>
      <vt:variant>
        <vt:i4>809</vt:i4>
      </vt:variant>
      <vt:variant>
        <vt:i4>0</vt:i4>
      </vt:variant>
      <vt:variant>
        <vt:i4>5</vt:i4>
      </vt:variant>
      <vt:variant>
        <vt:lpwstr/>
      </vt:variant>
      <vt:variant>
        <vt:lpwstr>_Toc343494</vt:lpwstr>
      </vt:variant>
      <vt:variant>
        <vt:i4>2359305</vt:i4>
      </vt:variant>
      <vt:variant>
        <vt:i4>803</vt:i4>
      </vt:variant>
      <vt:variant>
        <vt:i4>0</vt:i4>
      </vt:variant>
      <vt:variant>
        <vt:i4>5</vt:i4>
      </vt:variant>
      <vt:variant>
        <vt:lpwstr/>
      </vt:variant>
      <vt:variant>
        <vt:lpwstr>_Toc343493</vt:lpwstr>
      </vt:variant>
      <vt:variant>
        <vt:i4>2424841</vt:i4>
      </vt:variant>
      <vt:variant>
        <vt:i4>797</vt:i4>
      </vt:variant>
      <vt:variant>
        <vt:i4>0</vt:i4>
      </vt:variant>
      <vt:variant>
        <vt:i4>5</vt:i4>
      </vt:variant>
      <vt:variant>
        <vt:lpwstr/>
      </vt:variant>
      <vt:variant>
        <vt:lpwstr>_Toc343492</vt:lpwstr>
      </vt:variant>
      <vt:variant>
        <vt:i4>2490377</vt:i4>
      </vt:variant>
      <vt:variant>
        <vt:i4>791</vt:i4>
      </vt:variant>
      <vt:variant>
        <vt:i4>0</vt:i4>
      </vt:variant>
      <vt:variant>
        <vt:i4>5</vt:i4>
      </vt:variant>
      <vt:variant>
        <vt:lpwstr/>
      </vt:variant>
      <vt:variant>
        <vt:lpwstr>_Toc343491</vt:lpwstr>
      </vt:variant>
      <vt:variant>
        <vt:i4>2555913</vt:i4>
      </vt:variant>
      <vt:variant>
        <vt:i4>785</vt:i4>
      </vt:variant>
      <vt:variant>
        <vt:i4>0</vt:i4>
      </vt:variant>
      <vt:variant>
        <vt:i4>5</vt:i4>
      </vt:variant>
      <vt:variant>
        <vt:lpwstr/>
      </vt:variant>
      <vt:variant>
        <vt:lpwstr>_Toc343490</vt:lpwstr>
      </vt:variant>
      <vt:variant>
        <vt:i4>3014664</vt:i4>
      </vt:variant>
      <vt:variant>
        <vt:i4>779</vt:i4>
      </vt:variant>
      <vt:variant>
        <vt:i4>0</vt:i4>
      </vt:variant>
      <vt:variant>
        <vt:i4>5</vt:i4>
      </vt:variant>
      <vt:variant>
        <vt:lpwstr/>
      </vt:variant>
      <vt:variant>
        <vt:lpwstr>_Toc343489</vt:lpwstr>
      </vt:variant>
      <vt:variant>
        <vt:i4>3080200</vt:i4>
      </vt:variant>
      <vt:variant>
        <vt:i4>773</vt:i4>
      </vt:variant>
      <vt:variant>
        <vt:i4>0</vt:i4>
      </vt:variant>
      <vt:variant>
        <vt:i4>5</vt:i4>
      </vt:variant>
      <vt:variant>
        <vt:lpwstr/>
      </vt:variant>
      <vt:variant>
        <vt:lpwstr>_Toc343488</vt:lpwstr>
      </vt:variant>
      <vt:variant>
        <vt:i4>2097160</vt:i4>
      </vt:variant>
      <vt:variant>
        <vt:i4>767</vt:i4>
      </vt:variant>
      <vt:variant>
        <vt:i4>0</vt:i4>
      </vt:variant>
      <vt:variant>
        <vt:i4>5</vt:i4>
      </vt:variant>
      <vt:variant>
        <vt:lpwstr/>
      </vt:variant>
      <vt:variant>
        <vt:lpwstr>_Toc343487</vt:lpwstr>
      </vt:variant>
      <vt:variant>
        <vt:i4>2162696</vt:i4>
      </vt:variant>
      <vt:variant>
        <vt:i4>761</vt:i4>
      </vt:variant>
      <vt:variant>
        <vt:i4>0</vt:i4>
      </vt:variant>
      <vt:variant>
        <vt:i4>5</vt:i4>
      </vt:variant>
      <vt:variant>
        <vt:lpwstr/>
      </vt:variant>
      <vt:variant>
        <vt:lpwstr>_Toc343486</vt:lpwstr>
      </vt:variant>
      <vt:variant>
        <vt:i4>2228232</vt:i4>
      </vt:variant>
      <vt:variant>
        <vt:i4>755</vt:i4>
      </vt:variant>
      <vt:variant>
        <vt:i4>0</vt:i4>
      </vt:variant>
      <vt:variant>
        <vt:i4>5</vt:i4>
      </vt:variant>
      <vt:variant>
        <vt:lpwstr/>
      </vt:variant>
      <vt:variant>
        <vt:lpwstr>_Toc343485</vt:lpwstr>
      </vt:variant>
      <vt:variant>
        <vt:i4>2293768</vt:i4>
      </vt:variant>
      <vt:variant>
        <vt:i4>749</vt:i4>
      </vt:variant>
      <vt:variant>
        <vt:i4>0</vt:i4>
      </vt:variant>
      <vt:variant>
        <vt:i4>5</vt:i4>
      </vt:variant>
      <vt:variant>
        <vt:lpwstr/>
      </vt:variant>
      <vt:variant>
        <vt:lpwstr>_Toc343484</vt:lpwstr>
      </vt:variant>
      <vt:variant>
        <vt:i4>2359304</vt:i4>
      </vt:variant>
      <vt:variant>
        <vt:i4>743</vt:i4>
      </vt:variant>
      <vt:variant>
        <vt:i4>0</vt:i4>
      </vt:variant>
      <vt:variant>
        <vt:i4>5</vt:i4>
      </vt:variant>
      <vt:variant>
        <vt:lpwstr/>
      </vt:variant>
      <vt:variant>
        <vt:lpwstr>_Toc343483</vt:lpwstr>
      </vt:variant>
      <vt:variant>
        <vt:i4>2424840</vt:i4>
      </vt:variant>
      <vt:variant>
        <vt:i4>737</vt:i4>
      </vt:variant>
      <vt:variant>
        <vt:i4>0</vt:i4>
      </vt:variant>
      <vt:variant>
        <vt:i4>5</vt:i4>
      </vt:variant>
      <vt:variant>
        <vt:lpwstr/>
      </vt:variant>
      <vt:variant>
        <vt:lpwstr>_Toc343482</vt:lpwstr>
      </vt:variant>
      <vt:variant>
        <vt:i4>2490376</vt:i4>
      </vt:variant>
      <vt:variant>
        <vt:i4>731</vt:i4>
      </vt:variant>
      <vt:variant>
        <vt:i4>0</vt:i4>
      </vt:variant>
      <vt:variant>
        <vt:i4>5</vt:i4>
      </vt:variant>
      <vt:variant>
        <vt:lpwstr/>
      </vt:variant>
      <vt:variant>
        <vt:lpwstr>_Toc343481</vt:lpwstr>
      </vt:variant>
      <vt:variant>
        <vt:i4>2555912</vt:i4>
      </vt:variant>
      <vt:variant>
        <vt:i4>725</vt:i4>
      </vt:variant>
      <vt:variant>
        <vt:i4>0</vt:i4>
      </vt:variant>
      <vt:variant>
        <vt:i4>5</vt:i4>
      </vt:variant>
      <vt:variant>
        <vt:lpwstr/>
      </vt:variant>
      <vt:variant>
        <vt:lpwstr>_Toc343480</vt:lpwstr>
      </vt:variant>
      <vt:variant>
        <vt:i4>3014663</vt:i4>
      </vt:variant>
      <vt:variant>
        <vt:i4>719</vt:i4>
      </vt:variant>
      <vt:variant>
        <vt:i4>0</vt:i4>
      </vt:variant>
      <vt:variant>
        <vt:i4>5</vt:i4>
      </vt:variant>
      <vt:variant>
        <vt:lpwstr/>
      </vt:variant>
      <vt:variant>
        <vt:lpwstr>_Toc343479</vt:lpwstr>
      </vt:variant>
      <vt:variant>
        <vt:i4>3080199</vt:i4>
      </vt:variant>
      <vt:variant>
        <vt:i4>713</vt:i4>
      </vt:variant>
      <vt:variant>
        <vt:i4>0</vt:i4>
      </vt:variant>
      <vt:variant>
        <vt:i4>5</vt:i4>
      </vt:variant>
      <vt:variant>
        <vt:lpwstr/>
      </vt:variant>
      <vt:variant>
        <vt:lpwstr>_Toc343478</vt:lpwstr>
      </vt:variant>
      <vt:variant>
        <vt:i4>2097159</vt:i4>
      </vt:variant>
      <vt:variant>
        <vt:i4>707</vt:i4>
      </vt:variant>
      <vt:variant>
        <vt:i4>0</vt:i4>
      </vt:variant>
      <vt:variant>
        <vt:i4>5</vt:i4>
      </vt:variant>
      <vt:variant>
        <vt:lpwstr/>
      </vt:variant>
      <vt:variant>
        <vt:lpwstr>_Toc343477</vt:lpwstr>
      </vt:variant>
      <vt:variant>
        <vt:i4>2162695</vt:i4>
      </vt:variant>
      <vt:variant>
        <vt:i4>701</vt:i4>
      </vt:variant>
      <vt:variant>
        <vt:i4>0</vt:i4>
      </vt:variant>
      <vt:variant>
        <vt:i4>5</vt:i4>
      </vt:variant>
      <vt:variant>
        <vt:lpwstr/>
      </vt:variant>
      <vt:variant>
        <vt:lpwstr>_Toc343476</vt:lpwstr>
      </vt:variant>
      <vt:variant>
        <vt:i4>2228231</vt:i4>
      </vt:variant>
      <vt:variant>
        <vt:i4>695</vt:i4>
      </vt:variant>
      <vt:variant>
        <vt:i4>0</vt:i4>
      </vt:variant>
      <vt:variant>
        <vt:i4>5</vt:i4>
      </vt:variant>
      <vt:variant>
        <vt:lpwstr/>
      </vt:variant>
      <vt:variant>
        <vt:lpwstr>_Toc343475</vt:lpwstr>
      </vt:variant>
      <vt:variant>
        <vt:i4>2293767</vt:i4>
      </vt:variant>
      <vt:variant>
        <vt:i4>689</vt:i4>
      </vt:variant>
      <vt:variant>
        <vt:i4>0</vt:i4>
      </vt:variant>
      <vt:variant>
        <vt:i4>5</vt:i4>
      </vt:variant>
      <vt:variant>
        <vt:lpwstr/>
      </vt:variant>
      <vt:variant>
        <vt:lpwstr>_Toc343474</vt:lpwstr>
      </vt:variant>
      <vt:variant>
        <vt:i4>2359303</vt:i4>
      </vt:variant>
      <vt:variant>
        <vt:i4>683</vt:i4>
      </vt:variant>
      <vt:variant>
        <vt:i4>0</vt:i4>
      </vt:variant>
      <vt:variant>
        <vt:i4>5</vt:i4>
      </vt:variant>
      <vt:variant>
        <vt:lpwstr/>
      </vt:variant>
      <vt:variant>
        <vt:lpwstr>_Toc343473</vt:lpwstr>
      </vt:variant>
      <vt:variant>
        <vt:i4>2424839</vt:i4>
      </vt:variant>
      <vt:variant>
        <vt:i4>677</vt:i4>
      </vt:variant>
      <vt:variant>
        <vt:i4>0</vt:i4>
      </vt:variant>
      <vt:variant>
        <vt:i4>5</vt:i4>
      </vt:variant>
      <vt:variant>
        <vt:lpwstr/>
      </vt:variant>
      <vt:variant>
        <vt:lpwstr>_Toc343472</vt:lpwstr>
      </vt:variant>
      <vt:variant>
        <vt:i4>2490375</vt:i4>
      </vt:variant>
      <vt:variant>
        <vt:i4>671</vt:i4>
      </vt:variant>
      <vt:variant>
        <vt:i4>0</vt:i4>
      </vt:variant>
      <vt:variant>
        <vt:i4>5</vt:i4>
      </vt:variant>
      <vt:variant>
        <vt:lpwstr/>
      </vt:variant>
      <vt:variant>
        <vt:lpwstr>_Toc343471</vt:lpwstr>
      </vt:variant>
      <vt:variant>
        <vt:i4>2555911</vt:i4>
      </vt:variant>
      <vt:variant>
        <vt:i4>665</vt:i4>
      </vt:variant>
      <vt:variant>
        <vt:i4>0</vt:i4>
      </vt:variant>
      <vt:variant>
        <vt:i4>5</vt:i4>
      </vt:variant>
      <vt:variant>
        <vt:lpwstr/>
      </vt:variant>
      <vt:variant>
        <vt:lpwstr>_Toc343470</vt:lpwstr>
      </vt:variant>
      <vt:variant>
        <vt:i4>3014662</vt:i4>
      </vt:variant>
      <vt:variant>
        <vt:i4>659</vt:i4>
      </vt:variant>
      <vt:variant>
        <vt:i4>0</vt:i4>
      </vt:variant>
      <vt:variant>
        <vt:i4>5</vt:i4>
      </vt:variant>
      <vt:variant>
        <vt:lpwstr/>
      </vt:variant>
      <vt:variant>
        <vt:lpwstr>_Toc343469</vt:lpwstr>
      </vt:variant>
      <vt:variant>
        <vt:i4>3080198</vt:i4>
      </vt:variant>
      <vt:variant>
        <vt:i4>653</vt:i4>
      </vt:variant>
      <vt:variant>
        <vt:i4>0</vt:i4>
      </vt:variant>
      <vt:variant>
        <vt:i4>5</vt:i4>
      </vt:variant>
      <vt:variant>
        <vt:lpwstr/>
      </vt:variant>
      <vt:variant>
        <vt:lpwstr>_Toc343468</vt:lpwstr>
      </vt:variant>
      <vt:variant>
        <vt:i4>2097158</vt:i4>
      </vt:variant>
      <vt:variant>
        <vt:i4>647</vt:i4>
      </vt:variant>
      <vt:variant>
        <vt:i4>0</vt:i4>
      </vt:variant>
      <vt:variant>
        <vt:i4>5</vt:i4>
      </vt:variant>
      <vt:variant>
        <vt:lpwstr/>
      </vt:variant>
      <vt:variant>
        <vt:lpwstr>_Toc343467</vt:lpwstr>
      </vt:variant>
      <vt:variant>
        <vt:i4>2162694</vt:i4>
      </vt:variant>
      <vt:variant>
        <vt:i4>641</vt:i4>
      </vt:variant>
      <vt:variant>
        <vt:i4>0</vt:i4>
      </vt:variant>
      <vt:variant>
        <vt:i4>5</vt:i4>
      </vt:variant>
      <vt:variant>
        <vt:lpwstr/>
      </vt:variant>
      <vt:variant>
        <vt:lpwstr>_Toc343466</vt:lpwstr>
      </vt:variant>
      <vt:variant>
        <vt:i4>2228230</vt:i4>
      </vt:variant>
      <vt:variant>
        <vt:i4>635</vt:i4>
      </vt:variant>
      <vt:variant>
        <vt:i4>0</vt:i4>
      </vt:variant>
      <vt:variant>
        <vt:i4>5</vt:i4>
      </vt:variant>
      <vt:variant>
        <vt:lpwstr/>
      </vt:variant>
      <vt:variant>
        <vt:lpwstr>_Toc343465</vt:lpwstr>
      </vt:variant>
      <vt:variant>
        <vt:i4>2293766</vt:i4>
      </vt:variant>
      <vt:variant>
        <vt:i4>629</vt:i4>
      </vt:variant>
      <vt:variant>
        <vt:i4>0</vt:i4>
      </vt:variant>
      <vt:variant>
        <vt:i4>5</vt:i4>
      </vt:variant>
      <vt:variant>
        <vt:lpwstr/>
      </vt:variant>
      <vt:variant>
        <vt:lpwstr>_Toc343464</vt:lpwstr>
      </vt:variant>
      <vt:variant>
        <vt:i4>2359302</vt:i4>
      </vt:variant>
      <vt:variant>
        <vt:i4>623</vt:i4>
      </vt:variant>
      <vt:variant>
        <vt:i4>0</vt:i4>
      </vt:variant>
      <vt:variant>
        <vt:i4>5</vt:i4>
      </vt:variant>
      <vt:variant>
        <vt:lpwstr/>
      </vt:variant>
      <vt:variant>
        <vt:lpwstr>_Toc343463</vt:lpwstr>
      </vt:variant>
      <vt:variant>
        <vt:i4>2424838</vt:i4>
      </vt:variant>
      <vt:variant>
        <vt:i4>617</vt:i4>
      </vt:variant>
      <vt:variant>
        <vt:i4>0</vt:i4>
      </vt:variant>
      <vt:variant>
        <vt:i4>5</vt:i4>
      </vt:variant>
      <vt:variant>
        <vt:lpwstr/>
      </vt:variant>
      <vt:variant>
        <vt:lpwstr>_Toc343462</vt:lpwstr>
      </vt:variant>
      <vt:variant>
        <vt:i4>2490374</vt:i4>
      </vt:variant>
      <vt:variant>
        <vt:i4>611</vt:i4>
      </vt:variant>
      <vt:variant>
        <vt:i4>0</vt:i4>
      </vt:variant>
      <vt:variant>
        <vt:i4>5</vt:i4>
      </vt:variant>
      <vt:variant>
        <vt:lpwstr/>
      </vt:variant>
      <vt:variant>
        <vt:lpwstr>_Toc343461</vt:lpwstr>
      </vt:variant>
      <vt:variant>
        <vt:i4>2555910</vt:i4>
      </vt:variant>
      <vt:variant>
        <vt:i4>605</vt:i4>
      </vt:variant>
      <vt:variant>
        <vt:i4>0</vt:i4>
      </vt:variant>
      <vt:variant>
        <vt:i4>5</vt:i4>
      </vt:variant>
      <vt:variant>
        <vt:lpwstr/>
      </vt:variant>
      <vt:variant>
        <vt:lpwstr>_Toc343460</vt:lpwstr>
      </vt:variant>
      <vt:variant>
        <vt:i4>3014661</vt:i4>
      </vt:variant>
      <vt:variant>
        <vt:i4>599</vt:i4>
      </vt:variant>
      <vt:variant>
        <vt:i4>0</vt:i4>
      </vt:variant>
      <vt:variant>
        <vt:i4>5</vt:i4>
      </vt:variant>
      <vt:variant>
        <vt:lpwstr/>
      </vt:variant>
      <vt:variant>
        <vt:lpwstr>_Toc343459</vt:lpwstr>
      </vt:variant>
      <vt:variant>
        <vt:i4>3080197</vt:i4>
      </vt:variant>
      <vt:variant>
        <vt:i4>593</vt:i4>
      </vt:variant>
      <vt:variant>
        <vt:i4>0</vt:i4>
      </vt:variant>
      <vt:variant>
        <vt:i4>5</vt:i4>
      </vt:variant>
      <vt:variant>
        <vt:lpwstr/>
      </vt:variant>
      <vt:variant>
        <vt:lpwstr>_Toc343458</vt:lpwstr>
      </vt:variant>
      <vt:variant>
        <vt:i4>2097157</vt:i4>
      </vt:variant>
      <vt:variant>
        <vt:i4>587</vt:i4>
      </vt:variant>
      <vt:variant>
        <vt:i4>0</vt:i4>
      </vt:variant>
      <vt:variant>
        <vt:i4>5</vt:i4>
      </vt:variant>
      <vt:variant>
        <vt:lpwstr/>
      </vt:variant>
      <vt:variant>
        <vt:lpwstr>_Toc343457</vt:lpwstr>
      </vt:variant>
      <vt:variant>
        <vt:i4>2162693</vt:i4>
      </vt:variant>
      <vt:variant>
        <vt:i4>581</vt:i4>
      </vt:variant>
      <vt:variant>
        <vt:i4>0</vt:i4>
      </vt:variant>
      <vt:variant>
        <vt:i4>5</vt:i4>
      </vt:variant>
      <vt:variant>
        <vt:lpwstr/>
      </vt:variant>
      <vt:variant>
        <vt:lpwstr>_Toc343456</vt:lpwstr>
      </vt:variant>
      <vt:variant>
        <vt:i4>2228229</vt:i4>
      </vt:variant>
      <vt:variant>
        <vt:i4>575</vt:i4>
      </vt:variant>
      <vt:variant>
        <vt:i4>0</vt:i4>
      </vt:variant>
      <vt:variant>
        <vt:i4>5</vt:i4>
      </vt:variant>
      <vt:variant>
        <vt:lpwstr/>
      </vt:variant>
      <vt:variant>
        <vt:lpwstr>_Toc343455</vt:lpwstr>
      </vt:variant>
      <vt:variant>
        <vt:i4>2293765</vt:i4>
      </vt:variant>
      <vt:variant>
        <vt:i4>569</vt:i4>
      </vt:variant>
      <vt:variant>
        <vt:i4>0</vt:i4>
      </vt:variant>
      <vt:variant>
        <vt:i4>5</vt:i4>
      </vt:variant>
      <vt:variant>
        <vt:lpwstr/>
      </vt:variant>
      <vt:variant>
        <vt:lpwstr>_Toc343454</vt:lpwstr>
      </vt:variant>
      <vt:variant>
        <vt:i4>2359301</vt:i4>
      </vt:variant>
      <vt:variant>
        <vt:i4>563</vt:i4>
      </vt:variant>
      <vt:variant>
        <vt:i4>0</vt:i4>
      </vt:variant>
      <vt:variant>
        <vt:i4>5</vt:i4>
      </vt:variant>
      <vt:variant>
        <vt:lpwstr/>
      </vt:variant>
      <vt:variant>
        <vt:lpwstr>_Toc343453</vt:lpwstr>
      </vt:variant>
      <vt:variant>
        <vt:i4>2424837</vt:i4>
      </vt:variant>
      <vt:variant>
        <vt:i4>557</vt:i4>
      </vt:variant>
      <vt:variant>
        <vt:i4>0</vt:i4>
      </vt:variant>
      <vt:variant>
        <vt:i4>5</vt:i4>
      </vt:variant>
      <vt:variant>
        <vt:lpwstr/>
      </vt:variant>
      <vt:variant>
        <vt:lpwstr>_Toc343452</vt:lpwstr>
      </vt:variant>
      <vt:variant>
        <vt:i4>2490373</vt:i4>
      </vt:variant>
      <vt:variant>
        <vt:i4>551</vt:i4>
      </vt:variant>
      <vt:variant>
        <vt:i4>0</vt:i4>
      </vt:variant>
      <vt:variant>
        <vt:i4>5</vt:i4>
      </vt:variant>
      <vt:variant>
        <vt:lpwstr/>
      </vt:variant>
      <vt:variant>
        <vt:lpwstr>_Toc343451</vt:lpwstr>
      </vt:variant>
      <vt:variant>
        <vt:i4>2555909</vt:i4>
      </vt:variant>
      <vt:variant>
        <vt:i4>545</vt:i4>
      </vt:variant>
      <vt:variant>
        <vt:i4>0</vt:i4>
      </vt:variant>
      <vt:variant>
        <vt:i4>5</vt:i4>
      </vt:variant>
      <vt:variant>
        <vt:lpwstr/>
      </vt:variant>
      <vt:variant>
        <vt:lpwstr>_Toc343450</vt:lpwstr>
      </vt:variant>
      <vt:variant>
        <vt:i4>3014660</vt:i4>
      </vt:variant>
      <vt:variant>
        <vt:i4>539</vt:i4>
      </vt:variant>
      <vt:variant>
        <vt:i4>0</vt:i4>
      </vt:variant>
      <vt:variant>
        <vt:i4>5</vt:i4>
      </vt:variant>
      <vt:variant>
        <vt:lpwstr/>
      </vt:variant>
      <vt:variant>
        <vt:lpwstr>_Toc343449</vt:lpwstr>
      </vt:variant>
      <vt:variant>
        <vt:i4>3080196</vt:i4>
      </vt:variant>
      <vt:variant>
        <vt:i4>533</vt:i4>
      </vt:variant>
      <vt:variant>
        <vt:i4>0</vt:i4>
      </vt:variant>
      <vt:variant>
        <vt:i4>5</vt:i4>
      </vt:variant>
      <vt:variant>
        <vt:lpwstr/>
      </vt:variant>
      <vt:variant>
        <vt:lpwstr>_Toc343448</vt:lpwstr>
      </vt:variant>
      <vt:variant>
        <vt:i4>2097156</vt:i4>
      </vt:variant>
      <vt:variant>
        <vt:i4>527</vt:i4>
      </vt:variant>
      <vt:variant>
        <vt:i4>0</vt:i4>
      </vt:variant>
      <vt:variant>
        <vt:i4>5</vt:i4>
      </vt:variant>
      <vt:variant>
        <vt:lpwstr/>
      </vt:variant>
      <vt:variant>
        <vt:lpwstr>_Toc343447</vt:lpwstr>
      </vt:variant>
      <vt:variant>
        <vt:i4>2162692</vt:i4>
      </vt:variant>
      <vt:variant>
        <vt:i4>521</vt:i4>
      </vt:variant>
      <vt:variant>
        <vt:i4>0</vt:i4>
      </vt:variant>
      <vt:variant>
        <vt:i4>5</vt:i4>
      </vt:variant>
      <vt:variant>
        <vt:lpwstr/>
      </vt:variant>
      <vt:variant>
        <vt:lpwstr>_Toc343446</vt:lpwstr>
      </vt:variant>
      <vt:variant>
        <vt:i4>2228228</vt:i4>
      </vt:variant>
      <vt:variant>
        <vt:i4>515</vt:i4>
      </vt:variant>
      <vt:variant>
        <vt:i4>0</vt:i4>
      </vt:variant>
      <vt:variant>
        <vt:i4>5</vt:i4>
      </vt:variant>
      <vt:variant>
        <vt:lpwstr/>
      </vt:variant>
      <vt:variant>
        <vt:lpwstr>_Toc343445</vt:lpwstr>
      </vt:variant>
      <vt:variant>
        <vt:i4>2293764</vt:i4>
      </vt:variant>
      <vt:variant>
        <vt:i4>509</vt:i4>
      </vt:variant>
      <vt:variant>
        <vt:i4>0</vt:i4>
      </vt:variant>
      <vt:variant>
        <vt:i4>5</vt:i4>
      </vt:variant>
      <vt:variant>
        <vt:lpwstr/>
      </vt:variant>
      <vt:variant>
        <vt:lpwstr>_Toc343444</vt:lpwstr>
      </vt:variant>
      <vt:variant>
        <vt:i4>2359300</vt:i4>
      </vt:variant>
      <vt:variant>
        <vt:i4>503</vt:i4>
      </vt:variant>
      <vt:variant>
        <vt:i4>0</vt:i4>
      </vt:variant>
      <vt:variant>
        <vt:i4>5</vt:i4>
      </vt:variant>
      <vt:variant>
        <vt:lpwstr/>
      </vt:variant>
      <vt:variant>
        <vt:lpwstr>_Toc343443</vt:lpwstr>
      </vt:variant>
      <vt:variant>
        <vt:i4>2424836</vt:i4>
      </vt:variant>
      <vt:variant>
        <vt:i4>497</vt:i4>
      </vt:variant>
      <vt:variant>
        <vt:i4>0</vt:i4>
      </vt:variant>
      <vt:variant>
        <vt:i4>5</vt:i4>
      </vt:variant>
      <vt:variant>
        <vt:lpwstr/>
      </vt:variant>
      <vt:variant>
        <vt:lpwstr>_Toc343442</vt:lpwstr>
      </vt:variant>
      <vt:variant>
        <vt:i4>2490372</vt:i4>
      </vt:variant>
      <vt:variant>
        <vt:i4>491</vt:i4>
      </vt:variant>
      <vt:variant>
        <vt:i4>0</vt:i4>
      </vt:variant>
      <vt:variant>
        <vt:i4>5</vt:i4>
      </vt:variant>
      <vt:variant>
        <vt:lpwstr/>
      </vt:variant>
      <vt:variant>
        <vt:lpwstr>_Toc343441</vt:lpwstr>
      </vt:variant>
      <vt:variant>
        <vt:i4>2555908</vt:i4>
      </vt:variant>
      <vt:variant>
        <vt:i4>485</vt:i4>
      </vt:variant>
      <vt:variant>
        <vt:i4>0</vt:i4>
      </vt:variant>
      <vt:variant>
        <vt:i4>5</vt:i4>
      </vt:variant>
      <vt:variant>
        <vt:lpwstr/>
      </vt:variant>
      <vt:variant>
        <vt:lpwstr>_Toc343440</vt:lpwstr>
      </vt:variant>
      <vt:variant>
        <vt:i4>3014659</vt:i4>
      </vt:variant>
      <vt:variant>
        <vt:i4>479</vt:i4>
      </vt:variant>
      <vt:variant>
        <vt:i4>0</vt:i4>
      </vt:variant>
      <vt:variant>
        <vt:i4>5</vt:i4>
      </vt:variant>
      <vt:variant>
        <vt:lpwstr/>
      </vt:variant>
      <vt:variant>
        <vt:lpwstr>_Toc343439</vt:lpwstr>
      </vt:variant>
      <vt:variant>
        <vt:i4>3080195</vt:i4>
      </vt:variant>
      <vt:variant>
        <vt:i4>473</vt:i4>
      </vt:variant>
      <vt:variant>
        <vt:i4>0</vt:i4>
      </vt:variant>
      <vt:variant>
        <vt:i4>5</vt:i4>
      </vt:variant>
      <vt:variant>
        <vt:lpwstr/>
      </vt:variant>
      <vt:variant>
        <vt:lpwstr>_Toc343438</vt:lpwstr>
      </vt:variant>
      <vt:variant>
        <vt:i4>2097155</vt:i4>
      </vt:variant>
      <vt:variant>
        <vt:i4>467</vt:i4>
      </vt:variant>
      <vt:variant>
        <vt:i4>0</vt:i4>
      </vt:variant>
      <vt:variant>
        <vt:i4>5</vt:i4>
      </vt:variant>
      <vt:variant>
        <vt:lpwstr/>
      </vt:variant>
      <vt:variant>
        <vt:lpwstr>_Toc343437</vt:lpwstr>
      </vt:variant>
      <vt:variant>
        <vt:i4>2162691</vt:i4>
      </vt:variant>
      <vt:variant>
        <vt:i4>461</vt:i4>
      </vt:variant>
      <vt:variant>
        <vt:i4>0</vt:i4>
      </vt:variant>
      <vt:variant>
        <vt:i4>5</vt:i4>
      </vt:variant>
      <vt:variant>
        <vt:lpwstr/>
      </vt:variant>
      <vt:variant>
        <vt:lpwstr>_Toc343436</vt:lpwstr>
      </vt:variant>
      <vt:variant>
        <vt:i4>2228227</vt:i4>
      </vt:variant>
      <vt:variant>
        <vt:i4>455</vt:i4>
      </vt:variant>
      <vt:variant>
        <vt:i4>0</vt:i4>
      </vt:variant>
      <vt:variant>
        <vt:i4>5</vt:i4>
      </vt:variant>
      <vt:variant>
        <vt:lpwstr/>
      </vt:variant>
      <vt:variant>
        <vt:lpwstr>_Toc343435</vt:lpwstr>
      </vt:variant>
      <vt:variant>
        <vt:i4>2293763</vt:i4>
      </vt:variant>
      <vt:variant>
        <vt:i4>449</vt:i4>
      </vt:variant>
      <vt:variant>
        <vt:i4>0</vt:i4>
      </vt:variant>
      <vt:variant>
        <vt:i4>5</vt:i4>
      </vt:variant>
      <vt:variant>
        <vt:lpwstr/>
      </vt:variant>
      <vt:variant>
        <vt:lpwstr>_Toc343434</vt:lpwstr>
      </vt:variant>
      <vt:variant>
        <vt:i4>2359299</vt:i4>
      </vt:variant>
      <vt:variant>
        <vt:i4>443</vt:i4>
      </vt:variant>
      <vt:variant>
        <vt:i4>0</vt:i4>
      </vt:variant>
      <vt:variant>
        <vt:i4>5</vt:i4>
      </vt:variant>
      <vt:variant>
        <vt:lpwstr/>
      </vt:variant>
      <vt:variant>
        <vt:lpwstr>_Toc343433</vt:lpwstr>
      </vt:variant>
      <vt:variant>
        <vt:i4>2424835</vt:i4>
      </vt:variant>
      <vt:variant>
        <vt:i4>437</vt:i4>
      </vt:variant>
      <vt:variant>
        <vt:i4>0</vt:i4>
      </vt:variant>
      <vt:variant>
        <vt:i4>5</vt:i4>
      </vt:variant>
      <vt:variant>
        <vt:lpwstr/>
      </vt:variant>
      <vt:variant>
        <vt:lpwstr>_Toc343432</vt:lpwstr>
      </vt:variant>
      <vt:variant>
        <vt:i4>2490371</vt:i4>
      </vt:variant>
      <vt:variant>
        <vt:i4>431</vt:i4>
      </vt:variant>
      <vt:variant>
        <vt:i4>0</vt:i4>
      </vt:variant>
      <vt:variant>
        <vt:i4>5</vt:i4>
      </vt:variant>
      <vt:variant>
        <vt:lpwstr/>
      </vt:variant>
      <vt:variant>
        <vt:lpwstr>_Toc343431</vt:lpwstr>
      </vt:variant>
      <vt:variant>
        <vt:i4>2555907</vt:i4>
      </vt:variant>
      <vt:variant>
        <vt:i4>425</vt:i4>
      </vt:variant>
      <vt:variant>
        <vt:i4>0</vt:i4>
      </vt:variant>
      <vt:variant>
        <vt:i4>5</vt:i4>
      </vt:variant>
      <vt:variant>
        <vt:lpwstr/>
      </vt:variant>
      <vt:variant>
        <vt:lpwstr>_Toc343430</vt:lpwstr>
      </vt:variant>
      <vt:variant>
        <vt:i4>2555906</vt:i4>
      </vt:variant>
      <vt:variant>
        <vt:i4>419</vt:i4>
      </vt:variant>
      <vt:variant>
        <vt:i4>0</vt:i4>
      </vt:variant>
      <vt:variant>
        <vt:i4>5</vt:i4>
      </vt:variant>
      <vt:variant>
        <vt:lpwstr/>
      </vt:variant>
      <vt:variant>
        <vt:lpwstr>_Toc343327</vt:lpwstr>
      </vt:variant>
      <vt:variant>
        <vt:i4>2490370</vt:i4>
      </vt:variant>
      <vt:variant>
        <vt:i4>413</vt:i4>
      </vt:variant>
      <vt:variant>
        <vt:i4>0</vt:i4>
      </vt:variant>
      <vt:variant>
        <vt:i4>5</vt:i4>
      </vt:variant>
      <vt:variant>
        <vt:lpwstr/>
      </vt:variant>
      <vt:variant>
        <vt:lpwstr>_Toc343326</vt:lpwstr>
      </vt:variant>
      <vt:variant>
        <vt:i4>2424834</vt:i4>
      </vt:variant>
      <vt:variant>
        <vt:i4>407</vt:i4>
      </vt:variant>
      <vt:variant>
        <vt:i4>0</vt:i4>
      </vt:variant>
      <vt:variant>
        <vt:i4>5</vt:i4>
      </vt:variant>
      <vt:variant>
        <vt:lpwstr/>
      </vt:variant>
      <vt:variant>
        <vt:lpwstr>_Toc343325</vt:lpwstr>
      </vt:variant>
      <vt:variant>
        <vt:i4>2359298</vt:i4>
      </vt:variant>
      <vt:variant>
        <vt:i4>401</vt:i4>
      </vt:variant>
      <vt:variant>
        <vt:i4>0</vt:i4>
      </vt:variant>
      <vt:variant>
        <vt:i4>5</vt:i4>
      </vt:variant>
      <vt:variant>
        <vt:lpwstr/>
      </vt:variant>
      <vt:variant>
        <vt:lpwstr>_Toc343324</vt:lpwstr>
      </vt:variant>
      <vt:variant>
        <vt:i4>2293762</vt:i4>
      </vt:variant>
      <vt:variant>
        <vt:i4>395</vt:i4>
      </vt:variant>
      <vt:variant>
        <vt:i4>0</vt:i4>
      </vt:variant>
      <vt:variant>
        <vt:i4>5</vt:i4>
      </vt:variant>
      <vt:variant>
        <vt:lpwstr/>
      </vt:variant>
      <vt:variant>
        <vt:lpwstr>_Toc343323</vt:lpwstr>
      </vt:variant>
      <vt:variant>
        <vt:i4>2228226</vt:i4>
      </vt:variant>
      <vt:variant>
        <vt:i4>389</vt:i4>
      </vt:variant>
      <vt:variant>
        <vt:i4>0</vt:i4>
      </vt:variant>
      <vt:variant>
        <vt:i4>5</vt:i4>
      </vt:variant>
      <vt:variant>
        <vt:lpwstr/>
      </vt:variant>
      <vt:variant>
        <vt:lpwstr>_Toc343322</vt:lpwstr>
      </vt:variant>
      <vt:variant>
        <vt:i4>2162690</vt:i4>
      </vt:variant>
      <vt:variant>
        <vt:i4>383</vt:i4>
      </vt:variant>
      <vt:variant>
        <vt:i4>0</vt:i4>
      </vt:variant>
      <vt:variant>
        <vt:i4>5</vt:i4>
      </vt:variant>
      <vt:variant>
        <vt:lpwstr/>
      </vt:variant>
      <vt:variant>
        <vt:lpwstr>_Toc343321</vt:lpwstr>
      </vt:variant>
      <vt:variant>
        <vt:i4>2097154</vt:i4>
      </vt:variant>
      <vt:variant>
        <vt:i4>377</vt:i4>
      </vt:variant>
      <vt:variant>
        <vt:i4>0</vt:i4>
      </vt:variant>
      <vt:variant>
        <vt:i4>5</vt:i4>
      </vt:variant>
      <vt:variant>
        <vt:lpwstr/>
      </vt:variant>
      <vt:variant>
        <vt:lpwstr>_Toc343320</vt:lpwstr>
      </vt:variant>
      <vt:variant>
        <vt:i4>2686977</vt:i4>
      </vt:variant>
      <vt:variant>
        <vt:i4>371</vt:i4>
      </vt:variant>
      <vt:variant>
        <vt:i4>0</vt:i4>
      </vt:variant>
      <vt:variant>
        <vt:i4>5</vt:i4>
      </vt:variant>
      <vt:variant>
        <vt:lpwstr/>
      </vt:variant>
      <vt:variant>
        <vt:lpwstr>_Toc343319</vt:lpwstr>
      </vt:variant>
      <vt:variant>
        <vt:i4>2621441</vt:i4>
      </vt:variant>
      <vt:variant>
        <vt:i4>365</vt:i4>
      </vt:variant>
      <vt:variant>
        <vt:i4>0</vt:i4>
      </vt:variant>
      <vt:variant>
        <vt:i4>5</vt:i4>
      </vt:variant>
      <vt:variant>
        <vt:lpwstr/>
      </vt:variant>
      <vt:variant>
        <vt:lpwstr>_Toc343318</vt:lpwstr>
      </vt:variant>
      <vt:variant>
        <vt:i4>2555905</vt:i4>
      </vt:variant>
      <vt:variant>
        <vt:i4>359</vt:i4>
      </vt:variant>
      <vt:variant>
        <vt:i4>0</vt:i4>
      </vt:variant>
      <vt:variant>
        <vt:i4>5</vt:i4>
      </vt:variant>
      <vt:variant>
        <vt:lpwstr/>
      </vt:variant>
      <vt:variant>
        <vt:lpwstr>_Toc343317</vt:lpwstr>
      </vt:variant>
      <vt:variant>
        <vt:i4>2490369</vt:i4>
      </vt:variant>
      <vt:variant>
        <vt:i4>353</vt:i4>
      </vt:variant>
      <vt:variant>
        <vt:i4>0</vt:i4>
      </vt:variant>
      <vt:variant>
        <vt:i4>5</vt:i4>
      </vt:variant>
      <vt:variant>
        <vt:lpwstr/>
      </vt:variant>
      <vt:variant>
        <vt:lpwstr>_Toc343316</vt:lpwstr>
      </vt:variant>
      <vt:variant>
        <vt:i4>2424833</vt:i4>
      </vt:variant>
      <vt:variant>
        <vt:i4>347</vt:i4>
      </vt:variant>
      <vt:variant>
        <vt:i4>0</vt:i4>
      </vt:variant>
      <vt:variant>
        <vt:i4>5</vt:i4>
      </vt:variant>
      <vt:variant>
        <vt:lpwstr/>
      </vt:variant>
      <vt:variant>
        <vt:lpwstr>_Toc343315</vt:lpwstr>
      </vt:variant>
      <vt:variant>
        <vt:i4>2359297</vt:i4>
      </vt:variant>
      <vt:variant>
        <vt:i4>341</vt:i4>
      </vt:variant>
      <vt:variant>
        <vt:i4>0</vt:i4>
      </vt:variant>
      <vt:variant>
        <vt:i4>5</vt:i4>
      </vt:variant>
      <vt:variant>
        <vt:lpwstr/>
      </vt:variant>
      <vt:variant>
        <vt:lpwstr>_Toc343314</vt:lpwstr>
      </vt:variant>
      <vt:variant>
        <vt:i4>2293761</vt:i4>
      </vt:variant>
      <vt:variant>
        <vt:i4>335</vt:i4>
      </vt:variant>
      <vt:variant>
        <vt:i4>0</vt:i4>
      </vt:variant>
      <vt:variant>
        <vt:i4>5</vt:i4>
      </vt:variant>
      <vt:variant>
        <vt:lpwstr/>
      </vt:variant>
      <vt:variant>
        <vt:lpwstr>_Toc343313</vt:lpwstr>
      </vt:variant>
      <vt:variant>
        <vt:i4>2228225</vt:i4>
      </vt:variant>
      <vt:variant>
        <vt:i4>329</vt:i4>
      </vt:variant>
      <vt:variant>
        <vt:i4>0</vt:i4>
      </vt:variant>
      <vt:variant>
        <vt:i4>5</vt:i4>
      </vt:variant>
      <vt:variant>
        <vt:lpwstr/>
      </vt:variant>
      <vt:variant>
        <vt:lpwstr>_Toc343312</vt:lpwstr>
      </vt:variant>
      <vt:variant>
        <vt:i4>2162689</vt:i4>
      </vt:variant>
      <vt:variant>
        <vt:i4>323</vt:i4>
      </vt:variant>
      <vt:variant>
        <vt:i4>0</vt:i4>
      </vt:variant>
      <vt:variant>
        <vt:i4>5</vt:i4>
      </vt:variant>
      <vt:variant>
        <vt:lpwstr/>
      </vt:variant>
      <vt:variant>
        <vt:lpwstr>_Toc343311</vt:lpwstr>
      </vt:variant>
      <vt:variant>
        <vt:i4>2097153</vt:i4>
      </vt:variant>
      <vt:variant>
        <vt:i4>317</vt:i4>
      </vt:variant>
      <vt:variant>
        <vt:i4>0</vt:i4>
      </vt:variant>
      <vt:variant>
        <vt:i4>5</vt:i4>
      </vt:variant>
      <vt:variant>
        <vt:lpwstr/>
      </vt:variant>
      <vt:variant>
        <vt:lpwstr>_Toc343310</vt:lpwstr>
      </vt:variant>
      <vt:variant>
        <vt:i4>2686976</vt:i4>
      </vt:variant>
      <vt:variant>
        <vt:i4>311</vt:i4>
      </vt:variant>
      <vt:variant>
        <vt:i4>0</vt:i4>
      </vt:variant>
      <vt:variant>
        <vt:i4>5</vt:i4>
      </vt:variant>
      <vt:variant>
        <vt:lpwstr/>
      </vt:variant>
      <vt:variant>
        <vt:lpwstr>_Toc343309</vt:lpwstr>
      </vt:variant>
      <vt:variant>
        <vt:i4>2621440</vt:i4>
      </vt:variant>
      <vt:variant>
        <vt:i4>305</vt:i4>
      </vt:variant>
      <vt:variant>
        <vt:i4>0</vt:i4>
      </vt:variant>
      <vt:variant>
        <vt:i4>5</vt:i4>
      </vt:variant>
      <vt:variant>
        <vt:lpwstr/>
      </vt:variant>
      <vt:variant>
        <vt:lpwstr>_Toc343308</vt:lpwstr>
      </vt:variant>
      <vt:variant>
        <vt:i4>2555904</vt:i4>
      </vt:variant>
      <vt:variant>
        <vt:i4>299</vt:i4>
      </vt:variant>
      <vt:variant>
        <vt:i4>0</vt:i4>
      </vt:variant>
      <vt:variant>
        <vt:i4>5</vt:i4>
      </vt:variant>
      <vt:variant>
        <vt:lpwstr/>
      </vt:variant>
      <vt:variant>
        <vt:lpwstr>_Toc343307</vt:lpwstr>
      </vt:variant>
      <vt:variant>
        <vt:i4>2490368</vt:i4>
      </vt:variant>
      <vt:variant>
        <vt:i4>293</vt:i4>
      </vt:variant>
      <vt:variant>
        <vt:i4>0</vt:i4>
      </vt:variant>
      <vt:variant>
        <vt:i4>5</vt:i4>
      </vt:variant>
      <vt:variant>
        <vt:lpwstr/>
      </vt:variant>
      <vt:variant>
        <vt:lpwstr>_Toc343306</vt:lpwstr>
      </vt:variant>
      <vt:variant>
        <vt:i4>2424832</vt:i4>
      </vt:variant>
      <vt:variant>
        <vt:i4>287</vt:i4>
      </vt:variant>
      <vt:variant>
        <vt:i4>0</vt:i4>
      </vt:variant>
      <vt:variant>
        <vt:i4>5</vt:i4>
      </vt:variant>
      <vt:variant>
        <vt:lpwstr/>
      </vt:variant>
      <vt:variant>
        <vt:lpwstr>_Toc343305</vt:lpwstr>
      </vt:variant>
      <vt:variant>
        <vt:i4>2359296</vt:i4>
      </vt:variant>
      <vt:variant>
        <vt:i4>281</vt:i4>
      </vt:variant>
      <vt:variant>
        <vt:i4>0</vt:i4>
      </vt:variant>
      <vt:variant>
        <vt:i4>5</vt:i4>
      </vt:variant>
      <vt:variant>
        <vt:lpwstr/>
      </vt:variant>
      <vt:variant>
        <vt:lpwstr>_Toc343304</vt:lpwstr>
      </vt:variant>
      <vt:variant>
        <vt:i4>2293760</vt:i4>
      </vt:variant>
      <vt:variant>
        <vt:i4>275</vt:i4>
      </vt:variant>
      <vt:variant>
        <vt:i4>0</vt:i4>
      </vt:variant>
      <vt:variant>
        <vt:i4>5</vt:i4>
      </vt:variant>
      <vt:variant>
        <vt:lpwstr/>
      </vt:variant>
      <vt:variant>
        <vt:lpwstr>_Toc343303</vt:lpwstr>
      </vt:variant>
      <vt:variant>
        <vt:i4>2228224</vt:i4>
      </vt:variant>
      <vt:variant>
        <vt:i4>269</vt:i4>
      </vt:variant>
      <vt:variant>
        <vt:i4>0</vt:i4>
      </vt:variant>
      <vt:variant>
        <vt:i4>5</vt:i4>
      </vt:variant>
      <vt:variant>
        <vt:lpwstr/>
      </vt:variant>
      <vt:variant>
        <vt:lpwstr>_Toc343302</vt:lpwstr>
      </vt:variant>
      <vt:variant>
        <vt:i4>2162688</vt:i4>
      </vt:variant>
      <vt:variant>
        <vt:i4>263</vt:i4>
      </vt:variant>
      <vt:variant>
        <vt:i4>0</vt:i4>
      </vt:variant>
      <vt:variant>
        <vt:i4>5</vt:i4>
      </vt:variant>
      <vt:variant>
        <vt:lpwstr/>
      </vt:variant>
      <vt:variant>
        <vt:lpwstr>_Toc343301</vt:lpwstr>
      </vt:variant>
      <vt:variant>
        <vt:i4>2097152</vt:i4>
      </vt:variant>
      <vt:variant>
        <vt:i4>257</vt:i4>
      </vt:variant>
      <vt:variant>
        <vt:i4>0</vt:i4>
      </vt:variant>
      <vt:variant>
        <vt:i4>5</vt:i4>
      </vt:variant>
      <vt:variant>
        <vt:lpwstr/>
      </vt:variant>
      <vt:variant>
        <vt:lpwstr>_Toc343300</vt:lpwstr>
      </vt:variant>
      <vt:variant>
        <vt:i4>2621449</vt:i4>
      </vt:variant>
      <vt:variant>
        <vt:i4>251</vt:i4>
      </vt:variant>
      <vt:variant>
        <vt:i4>0</vt:i4>
      </vt:variant>
      <vt:variant>
        <vt:i4>5</vt:i4>
      </vt:variant>
      <vt:variant>
        <vt:lpwstr/>
      </vt:variant>
      <vt:variant>
        <vt:lpwstr>_Toc343299</vt:lpwstr>
      </vt:variant>
      <vt:variant>
        <vt:i4>2686985</vt:i4>
      </vt:variant>
      <vt:variant>
        <vt:i4>245</vt:i4>
      </vt:variant>
      <vt:variant>
        <vt:i4>0</vt:i4>
      </vt:variant>
      <vt:variant>
        <vt:i4>5</vt:i4>
      </vt:variant>
      <vt:variant>
        <vt:lpwstr/>
      </vt:variant>
      <vt:variant>
        <vt:lpwstr>_Toc343298</vt:lpwstr>
      </vt:variant>
      <vt:variant>
        <vt:i4>2490377</vt:i4>
      </vt:variant>
      <vt:variant>
        <vt:i4>239</vt:i4>
      </vt:variant>
      <vt:variant>
        <vt:i4>0</vt:i4>
      </vt:variant>
      <vt:variant>
        <vt:i4>5</vt:i4>
      </vt:variant>
      <vt:variant>
        <vt:lpwstr/>
      </vt:variant>
      <vt:variant>
        <vt:lpwstr>_Toc343297</vt:lpwstr>
      </vt:variant>
      <vt:variant>
        <vt:i4>2555913</vt:i4>
      </vt:variant>
      <vt:variant>
        <vt:i4>233</vt:i4>
      </vt:variant>
      <vt:variant>
        <vt:i4>0</vt:i4>
      </vt:variant>
      <vt:variant>
        <vt:i4>5</vt:i4>
      </vt:variant>
      <vt:variant>
        <vt:lpwstr/>
      </vt:variant>
      <vt:variant>
        <vt:lpwstr>_Toc343296</vt:lpwstr>
      </vt:variant>
      <vt:variant>
        <vt:i4>2359305</vt:i4>
      </vt:variant>
      <vt:variant>
        <vt:i4>227</vt:i4>
      </vt:variant>
      <vt:variant>
        <vt:i4>0</vt:i4>
      </vt:variant>
      <vt:variant>
        <vt:i4>5</vt:i4>
      </vt:variant>
      <vt:variant>
        <vt:lpwstr/>
      </vt:variant>
      <vt:variant>
        <vt:lpwstr>_Toc343295</vt:lpwstr>
      </vt:variant>
      <vt:variant>
        <vt:i4>2424841</vt:i4>
      </vt:variant>
      <vt:variant>
        <vt:i4>221</vt:i4>
      </vt:variant>
      <vt:variant>
        <vt:i4>0</vt:i4>
      </vt:variant>
      <vt:variant>
        <vt:i4>5</vt:i4>
      </vt:variant>
      <vt:variant>
        <vt:lpwstr/>
      </vt:variant>
      <vt:variant>
        <vt:lpwstr>_Toc343294</vt:lpwstr>
      </vt:variant>
      <vt:variant>
        <vt:i4>2228233</vt:i4>
      </vt:variant>
      <vt:variant>
        <vt:i4>215</vt:i4>
      </vt:variant>
      <vt:variant>
        <vt:i4>0</vt:i4>
      </vt:variant>
      <vt:variant>
        <vt:i4>5</vt:i4>
      </vt:variant>
      <vt:variant>
        <vt:lpwstr/>
      </vt:variant>
      <vt:variant>
        <vt:lpwstr>_Toc343293</vt:lpwstr>
      </vt:variant>
      <vt:variant>
        <vt:i4>2293769</vt:i4>
      </vt:variant>
      <vt:variant>
        <vt:i4>209</vt:i4>
      </vt:variant>
      <vt:variant>
        <vt:i4>0</vt:i4>
      </vt:variant>
      <vt:variant>
        <vt:i4>5</vt:i4>
      </vt:variant>
      <vt:variant>
        <vt:lpwstr/>
      </vt:variant>
      <vt:variant>
        <vt:lpwstr>_Toc343292</vt:lpwstr>
      </vt:variant>
      <vt:variant>
        <vt:i4>2097161</vt:i4>
      </vt:variant>
      <vt:variant>
        <vt:i4>203</vt:i4>
      </vt:variant>
      <vt:variant>
        <vt:i4>0</vt:i4>
      </vt:variant>
      <vt:variant>
        <vt:i4>5</vt:i4>
      </vt:variant>
      <vt:variant>
        <vt:lpwstr/>
      </vt:variant>
      <vt:variant>
        <vt:lpwstr>_Toc343291</vt:lpwstr>
      </vt:variant>
      <vt:variant>
        <vt:i4>2162697</vt:i4>
      </vt:variant>
      <vt:variant>
        <vt:i4>197</vt:i4>
      </vt:variant>
      <vt:variant>
        <vt:i4>0</vt:i4>
      </vt:variant>
      <vt:variant>
        <vt:i4>5</vt:i4>
      </vt:variant>
      <vt:variant>
        <vt:lpwstr/>
      </vt:variant>
      <vt:variant>
        <vt:lpwstr>_Toc343290</vt:lpwstr>
      </vt:variant>
      <vt:variant>
        <vt:i4>2621448</vt:i4>
      </vt:variant>
      <vt:variant>
        <vt:i4>191</vt:i4>
      </vt:variant>
      <vt:variant>
        <vt:i4>0</vt:i4>
      </vt:variant>
      <vt:variant>
        <vt:i4>5</vt:i4>
      </vt:variant>
      <vt:variant>
        <vt:lpwstr/>
      </vt:variant>
      <vt:variant>
        <vt:lpwstr>_Toc343289</vt:lpwstr>
      </vt:variant>
      <vt:variant>
        <vt:i4>2686984</vt:i4>
      </vt:variant>
      <vt:variant>
        <vt:i4>185</vt:i4>
      </vt:variant>
      <vt:variant>
        <vt:i4>0</vt:i4>
      </vt:variant>
      <vt:variant>
        <vt:i4>5</vt:i4>
      </vt:variant>
      <vt:variant>
        <vt:lpwstr/>
      </vt:variant>
      <vt:variant>
        <vt:lpwstr>_Toc343288</vt:lpwstr>
      </vt:variant>
      <vt:variant>
        <vt:i4>2490376</vt:i4>
      </vt:variant>
      <vt:variant>
        <vt:i4>179</vt:i4>
      </vt:variant>
      <vt:variant>
        <vt:i4>0</vt:i4>
      </vt:variant>
      <vt:variant>
        <vt:i4>5</vt:i4>
      </vt:variant>
      <vt:variant>
        <vt:lpwstr/>
      </vt:variant>
      <vt:variant>
        <vt:lpwstr>_Toc343287</vt:lpwstr>
      </vt:variant>
      <vt:variant>
        <vt:i4>2555912</vt:i4>
      </vt:variant>
      <vt:variant>
        <vt:i4>173</vt:i4>
      </vt:variant>
      <vt:variant>
        <vt:i4>0</vt:i4>
      </vt:variant>
      <vt:variant>
        <vt:i4>5</vt:i4>
      </vt:variant>
      <vt:variant>
        <vt:lpwstr/>
      </vt:variant>
      <vt:variant>
        <vt:lpwstr>_Toc343286</vt:lpwstr>
      </vt:variant>
      <vt:variant>
        <vt:i4>2359304</vt:i4>
      </vt:variant>
      <vt:variant>
        <vt:i4>167</vt:i4>
      </vt:variant>
      <vt:variant>
        <vt:i4>0</vt:i4>
      </vt:variant>
      <vt:variant>
        <vt:i4>5</vt:i4>
      </vt:variant>
      <vt:variant>
        <vt:lpwstr/>
      </vt:variant>
      <vt:variant>
        <vt:lpwstr>_Toc343285</vt:lpwstr>
      </vt:variant>
      <vt:variant>
        <vt:i4>2424840</vt:i4>
      </vt:variant>
      <vt:variant>
        <vt:i4>161</vt:i4>
      </vt:variant>
      <vt:variant>
        <vt:i4>0</vt:i4>
      </vt:variant>
      <vt:variant>
        <vt:i4>5</vt:i4>
      </vt:variant>
      <vt:variant>
        <vt:lpwstr/>
      </vt:variant>
      <vt:variant>
        <vt:lpwstr>_Toc343284</vt:lpwstr>
      </vt:variant>
      <vt:variant>
        <vt:i4>2228232</vt:i4>
      </vt:variant>
      <vt:variant>
        <vt:i4>155</vt:i4>
      </vt:variant>
      <vt:variant>
        <vt:i4>0</vt:i4>
      </vt:variant>
      <vt:variant>
        <vt:i4>5</vt:i4>
      </vt:variant>
      <vt:variant>
        <vt:lpwstr/>
      </vt:variant>
      <vt:variant>
        <vt:lpwstr>_Toc343283</vt:lpwstr>
      </vt:variant>
      <vt:variant>
        <vt:i4>2293768</vt:i4>
      </vt:variant>
      <vt:variant>
        <vt:i4>149</vt:i4>
      </vt:variant>
      <vt:variant>
        <vt:i4>0</vt:i4>
      </vt:variant>
      <vt:variant>
        <vt:i4>5</vt:i4>
      </vt:variant>
      <vt:variant>
        <vt:lpwstr/>
      </vt:variant>
      <vt:variant>
        <vt:lpwstr>_Toc343282</vt:lpwstr>
      </vt:variant>
      <vt:variant>
        <vt:i4>2097160</vt:i4>
      </vt:variant>
      <vt:variant>
        <vt:i4>143</vt:i4>
      </vt:variant>
      <vt:variant>
        <vt:i4>0</vt:i4>
      </vt:variant>
      <vt:variant>
        <vt:i4>5</vt:i4>
      </vt:variant>
      <vt:variant>
        <vt:lpwstr/>
      </vt:variant>
      <vt:variant>
        <vt:lpwstr>_Toc343281</vt:lpwstr>
      </vt:variant>
      <vt:variant>
        <vt:i4>2162696</vt:i4>
      </vt:variant>
      <vt:variant>
        <vt:i4>137</vt:i4>
      </vt:variant>
      <vt:variant>
        <vt:i4>0</vt:i4>
      </vt:variant>
      <vt:variant>
        <vt:i4>5</vt:i4>
      </vt:variant>
      <vt:variant>
        <vt:lpwstr/>
      </vt:variant>
      <vt:variant>
        <vt:lpwstr>_Toc343280</vt:lpwstr>
      </vt:variant>
      <vt:variant>
        <vt:i4>2621447</vt:i4>
      </vt:variant>
      <vt:variant>
        <vt:i4>131</vt:i4>
      </vt:variant>
      <vt:variant>
        <vt:i4>0</vt:i4>
      </vt:variant>
      <vt:variant>
        <vt:i4>5</vt:i4>
      </vt:variant>
      <vt:variant>
        <vt:lpwstr/>
      </vt:variant>
      <vt:variant>
        <vt:lpwstr>_Toc343279</vt:lpwstr>
      </vt:variant>
      <vt:variant>
        <vt:i4>2686983</vt:i4>
      </vt:variant>
      <vt:variant>
        <vt:i4>125</vt:i4>
      </vt:variant>
      <vt:variant>
        <vt:i4>0</vt:i4>
      </vt:variant>
      <vt:variant>
        <vt:i4>5</vt:i4>
      </vt:variant>
      <vt:variant>
        <vt:lpwstr/>
      </vt:variant>
      <vt:variant>
        <vt:lpwstr>_Toc343278</vt:lpwstr>
      </vt:variant>
      <vt:variant>
        <vt:i4>2490375</vt:i4>
      </vt:variant>
      <vt:variant>
        <vt:i4>119</vt:i4>
      </vt:variant>
      <vt:variant>
        <vt:i4>0</vt:i4>
      </vt:variant>
      <vt:variant>
        <vt:i4>5</vt:i4>
      </vt:variant>
      <vt:variant>
        <vt:lpwstr/>
      </vt:variant>
      <vt:variant>
        <vt:lpwstr>_Toc343277</vt:lpwstr>
      </vt:variant>
      <vt:variant>
        <vt:i4>2555911</vt:i4>
      </vt:variant>
      <vt:variant>
        <vt:i4>113</vt:i4>
      </vt:variant>
      <vt:variant>
        <vt:i4>0</vt:i4>
      </vt:variant>
      <vt:variant>
        <vt:i4>5</vt:i4>
      </vt:variant>
      <vt:variant>
        <vt:lpwstr/>
      </vt:variant>
      <vt:variant>
        <vt:lpwstr>_Toc343276</vt:lpwstr>
      </vt:variant>
      <vt:variant>
        <vt:i4>2359303</vt:i4>
      </vt:variant>
      <vt:variant>
        <vt:i4>107</vt:i4>
      </vt:variant>
      <vt:variant>
        <vt:i4>0</vt:i4>
      </vt:variant>
      <vt:variant>
        <vt:i4>5</vt:i4>
      </vt:variant>
      <vt:variant>
        <vt:lpwstr/>
      </vt:variant>
      <vt:variant>
        <vt:lpwstr>_Toc343275</vt:lpwstr>
      </vt:variant>
      <vt:variant>
        <vt:i4>2424839</vt:i4>
      </vt:variant>
      <vt:variant>
        <vt:i4>101</vt:i4>
      </vt:variant>
      <vt:variant>
        <vt:i4>0</vt:i4>
      </vt:variant>
      <vt:variant>
        <vt:i4>5</vt:i4>
      </vt:variant>
      <vt:variant>
        <vt:lpwstr/>
      </vt:variant>
      <vt:variant>
        <vt:lpwstr>_Toc343274</vt:lpwstr>
      </vt:variant>
      <vt:variant>
        <vt:i4>2228231</vt:i4>
      </vt:variant>
      <vt:variant>
        <vt:i4>95</vt:i4>
      </vt:variant>
      <vt:variant>
        <vt:i4>0</vt:i4>
      </vt:variant>
      <vt:variant>
        <vt:i4>5</vt:i4>
      </vt:variant>
      <vt:variant>
        <vt:lpwstr/>
      </vt:variant>
      <vt:variant>
        <vt:lpwstr>_Toc343273</vt:lpwstr>
      </vt:variant>
      <vt:variant>
        <vt:i4>2293767</vt:i4>
      </vt:variant>
      <vt:variant>
        <vt:i4>89</vt:i4>
      </vt:variant>
      <vt:variant>
        <vt:i4>0</vt:i4>
      </vt:variant>
      <vt:variant>
        <vt:i4>5</vt:i4>
      </vt:variant>
      <vt:variant>
        <vt:lpwstr/>
      </vt:variant>
      <vt:variant>
        <vt:lpwstr>_Toc343272</vt:lpwstr>
      </vt:variant>
      <vt:variant>
        <vt:i4>2097159</vt:i4>
      </vt:variant>
      <vt:variant>
        <vt:i4>83</vt:i4>
      </vt:variant>
      <vt:variant>
        <vt:i4>0</vt:i4>
      </vt:variant>
      <vt:variant>
        <vt:i4>5</vt:i4>
      </vt:variant>
      <vt:variant>
        <vt:lpwstr/>
      </vt:variant>
      <vt:variant>
        <vt:lpwstr>_Toc343271</vt:lpwstr>
      </vt:variant>
      <vt:variant>
        <vt:i4>2162695</vt:i4>
      </vt:variant>
      <vt:variant>
        <vt:i4>77</vt:i4>
      </vt:variant>
      <vt:variant>
        <vt:i4>0</vt:i4>
      </vt:variant>
      <vt:variant>
        <vt:i4>5</vt:i4>
      </vt:variant>
      <vt:variant>
        <vt:lpwstr/>
      </vt:variant>
      <vt:variant>
        <vt:lpwstr>_Toc343270</vt:lpwstr>
      </vt:variant>
      <vt:variant>
        <vt:i4>2621446</vt:i4>
      </vt:variant>
      <vt:variant>
        <vt:i4>71</vt:i4>
      </vt:variant>
      <vt:variant>
        <vt:i4>0</vt:i4>
      </vt:variant>
      <vt:variant>
        <vt:i4>5</vt:i4>
      </vt:variant>
      <vt:variant>
        <vt:lpwstr/>
      </vt:variant>
      <vt:variant>
        <vt:lpwstr>_Toc343269</vt:lpwstr>
      </vt:variant>
      <vt:variant>
        <vt:i4>2686982</vt:i4>
      </vt:variant>
      <vt:variant>
        <vt:i4>65</vt:i4>
      </vt:variant>
      <vt:variant>
        <vt:i4>0</vt:i4>
      </vt:variant>
      <vt:variant>
        <vt:i4>5</vt:i4>
      </vt:variant>
      <vt:variant>
        <vt:lpwstr/>
      </vt:variant>
      <vt:variant>
        <vt:lpwstr>_Toc343268</vt:lpwstr>
      </vt:variant>
      <vt:variant>
        <vt:i4>2490374</vt:i4>
      </vt:variant>
      <vt:variant>
        <vt:i4>59</vt:i4>
      </vt:variant>
      <vt:variant>
        <vt:i4>0</vt:i4>
      </vt:variant>
      <vt:variant>
        <vt:i4>5</vt:i4>
      </vt:variant>
      <vt:variant>
        <vt:lpwstr/>
      </vt:variant>
      <vt:variant>
        <vt:lpwstr>_Toc343267</vt:lpwstr>
      </vt:variant>
      <vt:variant>
        <vt:i4>2555910</vt:i4>
      </vt:variant>
      <vt:variant>
        <vt:i4>53</vt:i4>
      </vt:variant>
      <vt:variant>
        <vt:i4>0</vt:i4>
      </vt:variant>
      <vt:variant>
        <vt:i4>5</vt:i4>
      </vt:variant>
      <vt:variant>
        <vt:lpwstr/>
      </vt:variant>
      <vt:variant>
        <vt:lpwstr>_Toc343266</vt:lpwstr>
      </vt:variant>
      <vt:variant>
        <vt:i4>2359302</vt:i4>
      </vt:variant>
      <vt:variant>
        <vt:i4>47</vt:i4>
      </vt:variant>
      <vt:variant>
        <vt:i4>0</vt:i4>
      </vt:variant>
      <vt:variant>
        <vt:i4>5</vt:i4>
      </vt:variant>
      <vt:variant>
        <vt:lpwstr/>
      </vt:variant>
      <vt:variant>
        <vt:lpwstr>_Toc343265</vt:lpwstr>
      </vt:variant>
      <vt:variant>
        <vt:i4>2424838</vt:i4>
      </vt:variant>
      <vt:variant>
        <vt:i4>41</vt:i4>
      </vt:variant>
      <vt:variant>
        <vt:i4>0</vt:i4>
      </vt:variant>
      <vt:variant>
        <vt:i4>5</vt:i4>
      </vt:variant>
      <vt:variant>
        <vt:lpwstr/>
      </vt:variant>
      <vt:variant>
        <vt:lpwstr>_Toc343264</vt:lpwstr>
      </vt:variant>
      <vt:variant>
        <vt:i4>2228230</vt:i4>
      </vt:variant>
      <vt:variant>
        <vt:i4>35</vt:i4>
      </vt:variant>
      <vt:variant>
        <vt:i4>0</vt:i4>
      </vt:variant>
      <vt:variant>
        <vt:i4>5</vt:i4>
      </vt:variant>
      <vt:variant>
        <vt:lpwstr/>
      </vt:variant>
      <vt:variant>
        <vt:lpwstr>_Toc343263</vt:lpwstr>
      </vt:variant>
      <vt:variant>
        <vt:i4>2293766</vt:i4>
      </vt:variant>
      <vt:variant>
        <vt:i4>29</vt:i4>
      </vt:variant>
      <vt:variant>
        <vt:i4>0</vt:i4>
      </vt:variant>
      <vt:variant>
        <vt:i4>5</vt:i4>
      </vt:variant>
      <vt:variant>
        <vt:lpwstr/>
      </vt:variant>
      <vt:variant>
        <vt:lpwstr>_Toc343262</vt:lpwstr>
      </vt:variant>
      <vt:variant>
        <vt:i4>2097158</vt:i4>
      </vt:variant>
      <vt:variant>
        <vt:i4>23</vt:i4>
      </vt:variant>
      <vt:variant>
        <vt:i4>0</vt:i4>
      </vt:variant>
      <vt:variant>
        <vt:i4>5</vt:i4>
      </vt:variant>
      <vt:variant>
        <vt:lpwstr/>
      </vt:variant>
      <vt:variant>
        <vt:lpwstr>_Toc343261</vt:lpwstr>
      </vt:variant>
      <vt:variant>
        <vt:i4>2162694</vt:i4>
      </vt:variant>
      <vt:variant>
        <vt:i4>17</vt:i4>
      </vt:variant>
      <vt:variant>
        <vt:i4>0</vt:i4>
      </vt:variant>
      <vt:variant>
        <vt:i4>5</vt:i4>
      </vt:variant>
      <vt:variant>
        <vt:lpwstr/>
      </vt:variant>
      <vt:variant>
        <vt:lpwstr>_Toc343260</vt:lpwstr>
      </vt:variant>
      <vt:variant>
        <vt:i4>2621445</vt:i4>
      </vt:variant>
      <vt:variant>
        <vt:i4>11</vt:i4>
      </vt:variant>
      <vt:variant>
        <vt:i4>0</vt:i4>
      </vt:variant>
      <vt:variant>
        <vt:i4>5</vt:i4>
      </vt:variant>
      <vt:variant>
        <vt:lpwstr/>
      </vt:variant>
      <vt:variant>
        <vt:lpwstr>_Toc343259</vt:lpwstr>
      </vt:variant>
      <vt:variant>
        <vt:i4>7077986</vt:i4>
      </vt:variant>
      <vt:variant>
        <vt:i4>6</vt:i4>
      </vt:variant>
      <vt:variant>
        <vt:i4>0</vt:i4>
      </vt:variant>
      <vt:variant>
        <vt:i4>5</vt:i4>
      </vt:variant>
      <vt:variant>
        <vt:lpwstr>www.OhioAuditor.gov</vt:lpwstr>
      </vt:variant>
      <vt:variant>
        <vt:lpwstr/>
      </vt:variant>
      <vt:variant>
        <vt:i4>5701657</vt:i4>
      </vt:variant>
      <vt:variant>
        <vt:i4>3</vt:i4>
      </vt:variant>
      <vt:variant>
        <vt:i4>0</vt:i4>
      </vt:variant>
      <vt:variant>
        <vt:i4>5</vt:i4>
      </vt:variant>
      <vt:variant>
        <vt:lpwstr>www.OhioAttorneyGeneral.gov/Sunshine</vt:lpwstr>
      </vt:variant>
      <vt:variant>
        <vt:lpwstr/>
      </vt:variant>
      <vt:variant>
        <vt:i4>3276859</vt:i4>
      </vt:variant>
      <vt:variant>
        <vt:i4>0</vt:i4>
      </vt:variant>
      <vt:variant>
        <vt:i4>0</vt:i4>
      </vt:variant>
      <vt:variant>
        <vt:i4>5</vt:i4>
      </vt:variant>
      <vt:variant>
        <vt:lpwstr>http://www.ohioattorneygeneral.gov/Sunshine</vt:lpwstr>
      </vt:variant>
      <vt:variant>
        <vt:lpwstr/>
      </vt:variant>
      <vt:variant>
        <vt:i4>3539001</vt:i4>
      </vt:variant>
      <vt:variant>
        <vt:i4>2835</vt:i4>
      </vt:variant>
      <vt:variant>
        <vt:i4>0</vt:i4>
      </vt:variant>
      <vt:variant>
        <vt:i4>5</vt:i4>
      </vt:variant>
      <vt:variant>
        <vt:lpwstr>http://www.supremecourt.ohio.gov/rod/docs/pdf/12/2014/2014-Ohio-252.pdf</vt:lpwstr>
      </vt:variant>
      <vt:variant>
        <vt:lpwstr/>
      </vt:variant>
      <vt:variant>
        <vt:i4>3539001</vt:i4>
      </vt:variant>
      <vt:variant>
        <vt:i4>2832</vt:i4>
      </vt:variant>
      <vt:variant>
        <vt:i4>0</vt:i4>
      </vt:variant>
      <vt:variant>
        <vt:i4>5</vt:i4>
      </vt:variant>
      <vt:variant>
        <vt:lpwstr>http://www.supremecourt.ohio.gov/rod/docs/pdf/12/2014/2014-Ohio-252.pdf</vt:lpwstr>
      </vt:variant>
      <vt:variant>
        <vt:lpwstr/>
      </vt:variant>
      <vt:variant>
        <vt:i4>3342394</vt:i4>
      </vt:variant>
      <vt:variant>
        <vt:i4>2829</vt:i4>
      </vt:variant>
      <vt:variant>
        <vt:i4>0</vt:i4>
      </vt:variant>
      <vt:variant>
        <vt:i4>5</vt:i4>
      </vt:variant>
      <vt:variant>
        <vt:lpwstr>http://www.supremecourt.ohio.gov/rod/docs/pdf/2/2014/2014-Ohio-2312.pdf</vt:lpwstr>
      </vt:variant>
      <vt:variant>
        <vt:lpwstr/>
      </vt:variant>
      <vt:variant>
        <vt:i4>3932220</vt:i4>
      </vt:variant>
      <vt:variant>
        <vt:i4>2826</vt:i4>
      </vt:variant>
      <vt:variant>
        <vt:i4>0</vt:i4>
      </vt:variant>
      <vt:variant>
        <vt:i4>5</vt:i4>
      </vt:variant>
      <vt:variant>
        <vt:lpwstr>http://www.supremecourt.ohio.gov/rod/docs/pdf/5/2013/2013-Ohio-2295.pdf</vt:lpwstr>
      </vt:variant>
      <vt:variant>
        <vt:lpwstr/>
      </vt:variant>
      <vt:variant>
        <vt:i4>3342394</vt:i4>
      </vt:variant>
      <vt:variant>
        <vt:i4>2823</vt:i4>
      </vt:variant>
      <vt:variant>
        <vt:i4>0</vt:i4>
      </vt:variant>
      <vt:variant>
        <vt:i4>5</vt:i4>
      </vt:variant>
      <vt:variant>
        <vt:lpwstr>http://www.supremecourt.ohio.gov/rod/docs/pdf/2/2014/2014-Ohio-2312.pdf</vt:lpwstr>
      </vt:variant>
      <vt:variant>
        <vt:lpwstr/>
      </vt:variant>
      <vt:variant>
        <vt:i4>3997757</vt:i4>
      </vt:variant>
      <vt:variant>
        <vt:i4>2820</vt:i4>
      </vt:variant>
      <vt:variant>
        <vt:i4>0</vt:i4>
      </vt:variant>
      <vt:variant>
        <vt:i4>5</vt:i4>
      </vt:variant>
      <vt:variant>
        <vt:lpwstr>http://www.supremecourt.ohio.gov/rod/docs/pdf/0/2001/2001-Ohio-1888.pdf</vt:lpwstr>
      </vt:variant>
      <vt:variant>
        <vt:lpwstr/>
      </vt:variant>
      <vt:variant>
        <vt:i4>6881332</vt:i4>
      </vt:variant>
      <vt:variant>
        <vt:i4>2817</vt:i4>
      </vt:variant>
      <vt:variant>
        <vt:i4>0</vt:i4>
      </vt:variant>
      <vt:variant>
        <vt:i4>5</vt:i4>
      </vt:variant>
      <vt:variant>
        <vt:lpwstr>http://www.supremecourt.ohio.gov/rod/docs/pdf/0/2001/2001-Ohio-130.pdf</vt:lpwstr>
      </vt:variant>
      <vt:variant>
        <vt:lpwstr/>
      </vt:variant>
      <vt:variant>
        <vt:i4>4456531</vt:i4>
      </vt:variant>
      <vt:variant>
        <vt:i4>2814</vt:i4>
      </vt:variant>
      <vt:variant>
        <vt:i4>0</vt:i4>
      </vt:variant>
      <vt:variant>
        <vt:i4>5</vt:i4>
      </vt:variant>
      <vt:variant>
        <vt:lpwstr>https://www.supremecourt.ohio.gov/rod/docs/pdf/2/2003/2003-Ohio-7097.pdf</vt:lpwstr>
      </vt:variant>
      <vt:variant>
        <vt:lpwstr/>
      </vt:variant>
      <vt:variant>
        <vt:i4>3342394</vt:i4>
      </vt:variant>
      <vt:variant>
        <vt:i4>2811</vt:i4>
      </vt:variant>
      <vt:variant>
        <vt:i4>0</vt:i4>
      </vt:variant>
      <vt:variant>
        <vt:i4>5</vt:i4>
      </vt:variant>
      <vt:variant>
        <vt:lpwstr>http://www.supremecourt.ohio.gov/rod/docs/pdf/2/2014/2014-Ohio-2312.pdf</vt:lpwstr>
      </vt:variant>
      <vt:variant>
        <vt:lpwstr/>
      </vt:variant>
      <vt:variant>
        <vt:i4>5308421</vt:i4>
      </vt:variant>
      <vt:variant>
        <vt:i4>2808</vt:i4>
      </vt:variant>
      <vt:variant>
        <vt:i4>0</vt:i4>
      </vt:variant>
      <vt:variant>
        <vt:i4>5</vt:i4>
      </vt:variant>
      <vt:variant>
        <vt:lpwstr>http://www.supremecourt.ohio.gov/rod/docs/pdf/11/2007/2007-Ohio-6728.pdf</vt:lpwstr>
      </vt:variant>
      <vt:variant>
        <vt:lpwstr/>
      </vt:variant>
      <vt:variant>
        <vt:i4>3473470</vt:i4>
      </vt:variant>
      <vt:variant>
        <vt:i4>2805</vt:i4>
      </vt:variant>
      <vt:variant>
        <vt:i4>0</vt:i4>
      </vt:variant>
      <vt:variant>
        <vt:i4>5</vt:i4>
      </vt:variant>
      <vt:variant>
        <vt:lpwstr>http://www.supremecourt.ohio.gov/rod/docs/pdf/6/2002/2002-Ohio-4660.pdf</vt:lpwstr>
      </vt:variant>
      <vt:variant>
        <vt:lpwstr/>
      </vt:variant>
      <vt:variant>
        <vt:i4>3932220</vt:i4>
      </vt:variant>
      <vt:variant>
        <vt:i4>2802</vt:i4>
      </vt:variant>
      <vt:variant>
        <vt:i4>0</vt:i4>
      </vt:variant>
      <vt:variant>
        <vt:i4>5</vt:i4>
      </vt:variant>
      <vt:variant>
        <vt:lpwstr>http://www.supremecourt.ohio.gov/rod/docs/pdf/5/2013/2013-Ohio-2295.pdf</vt:lpwstr>
      </vt:variant>
      <vt:variant>
        <vt:lpwstr/>
      </vt:variant>
      <vt:variant>
        <vt:i4>3932221</vt:i4>
      </vt:variant>
      <vt:variant>
        <vt:i4>2799</vt:i4>
      </vt:variant>
      <vt:variant>
        <vt:i4>0</vt:i4>
      </vt:variant>
      <vt:variant>
        <vt:i4>5</vt:i4>
      </vt:variant>
      <vt:variant>
        <vt:lpwstr>http://www.supremecourt.ohio.gov/rod/docs/pdf/5/2014/2014-Ohio-4889.pdf</vt:lpwstr>
      </vt:variant>
      <vt:variant>
        <vt:lpwstr/>
      </vt:variant>
      <vt:variant>
        <vt:i4>4653147</vt:i4>
      </vt:variant>
      <vt:variant>
        <vt:i4>2796</vt:i4>
      </vt:variant>
      <vt:variant>
        <vt:i4>0</vt:i4>
      </vt:variant>
      <vt:variant>
        <vt:i4>5</vt:i4>
      </vt:variant>
      <vt:variant>
        <vt:lpwstr>https://www.supremecourt.ohio.gov/rod/docs/pdf/7/2016/2016-Ohio-4663.pdf</vt:lpwstr>
      </vt:variant>
      <vt:variant>
        <vt:lpwstr/>
      </vt:variant>
      <vt:variant>
        <vt:i4>7012406</vt:i4>
      </vt:variant>
      <vt:variant>
        <vt:i4>2793</vt:i4>
      </vt:variant>
      <vt:variant>
        <vt:i4>0</vt:i4>
      </vt:variant>
      <vt:variant>
        <vt:i4>5</vt:i4>
      </vt:variant>
      <vt:variant>
        <vt:lpwstr>http://www.supremecourt.ohio.gov/rod/docs/pdf/0/1995/1995-Ohio-266.pdf</vt:lpwstr>
      </vt:variant>
      <vt:variant>
        <vt:lpwstr/>
      </vt:variant>
      <vt:variant>
        <vt:i4>5373953</vt:i4>
      </vt:variant>
      <vt:variant>
        <vt:i4>2790</vt:i4>
      </vt:variant>
      <vt:variant>
        <vt:i4>0</vt:i4>
      </vt:variant>
      <vt:variant>
        <vt:i4>5</vt:i4>
      </vt:variant>
      <vt:variant>
        <vt:lpwstr>http://www.supremecourt.ohio.gov/rod/docs/pdf/11/2017/2017-Ohio-2934.pdf</vt:lpwstr>
      </vt:variant>
      <vt:variant>
        <vt:lpwstr/>
      </vt:variant>
      <vt:variant>
        <vt:i4>4653147</vt:i4>
      </vt:variant>
      <vt:variant>
        <vt:i4>2787</vt:i4>
      </vt:variant>
      <vt:variant>
        <vt:i4>0</vt:i4>
      </vt:variant>
      <vt:variant>
        <vt:i4>5</vt:i4>
      </vt:variant>
      <vt:variant>
        <vt:lpwstr>https://www.supremecourt.ohio.gov/rod/docs/pdf/7/2016/2016-Ohio-4663.pdf</vt:lpwstr>
      </vt:variant>
      <vt:variant>
        <vt:lpwstr/>
      </vt:variant>
      <vt:variant>
        <vt:i4>3211320</vt:i4>
      </vt:variant>
      <vt:variant>
        <vt:i4>2784</vt:i4>
      </vt:variant>
      <vt:variant>
        <vt:i4>0</vt:i4>
      </vt:variant>
      <vt:variant>
        <vt:i4>5</vt:i4>
      </vt:variant>
      <vt:variant>
        <vt:lpwstr>http://www.supremecourt.ohio.gov/rod/docs/pdf/4/2001/2001-Ohio-2372.pdf</vt:lpwstr>
      </vt:variant>
      <vt:variant>
        <vt:lpwstr/>
      </vt:variant>
      <vt:variant>
        <vt:i4>3145785</vt:i4>
      </vt:variant>
      <vt:variant>
        <vt:i4>2781</vt:i4>
      </vt:variant>
      <vt:variant>
        <vt:i4>0</vt:i4>
      </vt:variant>
      <vt:variant>
        <vt:i4>5</vt:i4>
      </vt:variant>
      <vt:variant>
        <vt:lpwstr>http://www.supremecourt.ohio.gov/rod/docs/pdf/7/2016/2016-Ohio-4663.pdf</vt:lpwstr>
      </vt:variant>
      <vt:variant>
        <vt:lpwstr/>
      </vt:variant>
      <vt:variant>
        <vt:i4>3407933</vt:i4>
      </vt:variant>
      <vt:variant>
        <vt:i4>2778</vt:i4>
      </vt:variant>
      <vt:variant>
        <vt:i4>0</vt:i4>
      </vt:variant>
      <vt:variant>
        <vt:i4>5</vt:i4>
      </vt:variant>
      <vt:variant>
        <vt:lpwstr>http://www.supremecourt.ohio.gov/rod/docs/pdf/4/2005/2005-Ohio-2868.pdf</vt:lpwstr>
      </vt:variant>
      <vt:variant>
        <vt:lpwstr/>
      </vt:variant>
      <vt:variant>
        <vt:i4>3276856</vt:i4>
      </vt:variant>
      <vt:variant>
        <vt:i4>2775</vt:i4>
      </vt:variant>
      <vt:variant>
        <vt:i4>0</vt:i4>
      </vt:variant>
      <vt:variant>
        <vt:i4>5</vt:i4>
      </vt:variant>
      <vt:variant>
        <vt:lpwstr>http://www.supremecourt.ohio.gov/rod/docs/pdf/0/2010/2010-Ohio-6207.pdf</vt:lpwstr>
      </vt:variant>
      <vt:variant>
        <vt:lpwstr/>
      </vt:variant>
      <vt:variant>
        <vt:i4>7274550</vt:i4>
      </vt:variant>
      <vt:variant>
        <vt:i4>2772</vt:i4>
      </vt:variant>
      <vt:variant>
        <vt:i4>0</vt:i4>
      </vt:variant>
      <vt:variant>
        <vt:i4>5</vt:i4>
      </vt:variant>
      <vt:variant>
        <vt:lpwstr>http://www.supremecourt.ohio.gov/rod/docs/pdf/0/1993/1993-Ohio-204.pdf</vt:lpwstr>
      </vt:variant>
      <vt:variant>
        <vt:lpwstr/>
      </vt:variant>
      <vt:variant>
        <vt:i4>3801144</vt:i4>
      </vt:variant>
      <vt:variant>
        <vt:i4>2769</vt:i4>
      </vt:variant>
      <vt:variant>
        <vt:i4>0</vt:i4>
      </vt:variant>
      <vt:variant>
        <vt:i4>5</vt:i4>
      </vt:variant>
      <vt:variant>
        <vt:lpwstr>http://www.supremecourt.ohio.gov/rod/docs/pdf/0/2008/2008-Ohio-1965.pdf</vt:lpwstr>
      </vt:variant>
      <vt:variant>
        <vt:lpwstr/>
      </vt:variant>
      <vt:variant>
        <vt:i4>4718680</vt:i4>
      </vt:variant>
      <vt:variant>
        <vt:i4>2766</vt:i4>
      </vt:variant>
      <vt:variant>
        <vt:i4>0</vt:i4>
      </vt:variant>
      <vt:variant>
        <vt:i4>5</vt:i4>
      </vt:variant>
      <vt:variant>
        <vt:lpwstr>https://www.supremecourt.ohio.gov/rod/docs/pdf/0/2016/2016-Ohio-5449.pdf</vt:lpwstr>
      </vt:variant>
      <vt:variant>
        <vt:lpwstr/>
      </vt:variant>
      <vt:variant>
        <vt:i4>6881332</vt:i4>
      </vt:variant>
      <vt:variant>
        <vt:i4>2763</vt:i4>
      </vt:variant>
      <vt:variant>
        <vt:i4>0</vt:i4>
      </vt:variant>
      <vt:variant>
        <vt:i4>5</vt:i4>
      </vt:variant>
      <vt:variant>
        <vt:lpwstr>http://www.supremecourt.ohio.gov/rod/docs/pdf/0/2001/2001-Ohio-130.pdf</vt:lpwstr>
      </vt:variant>
      <vt:variant>
        <vt:lpwstr/>
      </vt:variant>
      <vt:variant>
        <vt:i4>6553649</vt:i4>
      </vt:variant>
      <vt:variant>
        <vt:i4>2760</vt:i4>
      </vt:variant>
      <vt:variant>
        <vt:i4>0</vt:i4>
      </vt:variant>
      <vt:variant>
        <vt:i4>5</vt:i4>
      </vt:variant>
      <vt:variant>
        <vt:lpwstr>http://www.supremecourt.ohio.gov/rod/docs/pdf/8/2017/2017-Ohio-398.pdf</vt:lpwstr>
      </vt:variant>
      <vt:variant>
        <vt:lpwstr/>
      </vt:variant>
      <vt:variant>
        <vt:i4>3342394</vt:i4>
      </vt:variant>
      <vt:variant>
        <vt:i4>2757</vt:i4>
      </vt:variant>
      <vt:variant>
        <vt:i4>0</vt:i4>
      </vt:variant>
      <vt:variant>
        <vt:i4>5</vt:i4>
      </vt:variant>
      <vt:variant>
        <vt:lpwstr>http://www.supremecourt.ohio.gov/rod/docs/pdf/2/2014/2014-Ohio-2312.pdf</vt:lpwstr>
      </vt:variant>
      <vt:variant>
        <vt:lpwstr/>
      </vt:variant>
      <vt:variant>
        <vt:i4>6225930</vt:i4>
      </vt:variant>
      <vt:variant>
        <vt:i4>2754</vt:i4>
      </vt:variant>
      <vt:variant>
        <vt:i4>0</vt:i4>
      </vt:variant>
      <vt:variant>
        <vt:i4>5</vt:i4>
      </vt:variant>
      <vt:variant>
        <vt:lpwstr>http://www.supremecourt.ohio.gov/rod/docs/pdf/10/2001/2001-Ohio-8751.pdf</vt:lpwstr>
      </vt:variant>
      <vt:variant>
        <vt:lpwstr/>
      </vt:variant>
      <vt:variant>
        <vt:i4>4653147</vt:i4>
      </vt:variant>
      <vt:variant>
        <vt:i4>2751</vt:i4>
      </vt:variant>
      <vt:variant>
        <vt:i4>0</vt:i4>
      </vt:variant>
      <vt:variant>
        <vt:i4>5</vt:i4>
      </vt:variant>
      <vt:variant>
        <vt:lpwstr>https://www.supremecourt.ohio.gov/rod/docs/pdf/7/2016/2016-Ohio-4663.pdf</vt:lpwstr>
      </vt:variant>
      <vt:variant>
        <vt:lpwstr/>
      </vt:variant>
      <vt:variant>
        <vt:i4>3801145</vt:i4>
      </vt:variant>
      <vt:variant>
        <vt:i4>2748</vt:i4>
      </vt:variant>
      <vt:variant>
        <vt:i4>0</vt:i4>
      </vt:variant>
      <vt:variant>
        <vt:i4>5</vt:i4>
      </vt:variant>
      <vt:variant>
        <vt:lpwstr>http://www.supremecourt.ohio.gov/rod/docs/pdf/2/2003/2003-Ohio-4084.pdf</vt:lpwstr>
      </vt:variant>
      <vt:variant>
        <vt:lpwstr/>
      </vt:variant>
      <vt:variant>
        <vt:i4>3407932</vt:i4>
      </vt:variant>
      <vt:variant>
        <vt:i4>2745</vt:i4>
      </vt:variant>
      <vt:variant>
        <vt:i4>0</vt:i4>
      </vt:variant>
      <vt:variant>
        <vt:i4>5</vt:i4>
      </vt:variant>
      <vt:variant>
        <vt:lpwstr>http://www.supremecourt.ohio.gov/rod/docs/pdf/4/2005/2005-Ohio-2869.pdf</vt:lpwstr>
      </vt:variant>
      <vt:variant>
        <vt:lpwstr/>
      </vt:variant>
      <vt:variant>
        <vt:i4>3801145</vt:i4>
      </vt:variant>
      <vt:variant>
        <vt:i4>2742</vt:i4>
      </vt:variant>
      <vt:variant>
        <vt:i4>0</vt:i4>
      </vt:variant>
      <vt:variant>
        <vt:i4>5</vt:i4>
      </vt:variant>
      <vt:variant>
        <vt:lpwstr>http://www.supremecourt.ohio.gov/rod/docs/pdf/2/2003/2003-Ohio-4084.pdf</vt:lpwstr>
      </vt:variant>
      <vt:variant>
        <vt:lpwstr/>
      </vt:variant>
      <vt:variant>
        <vt:i4>5570561</vt:i4>
      </vt:variant>
      <vt:variant>
        <vt:i4>2739</vt:i4>
      </vt:variant>
      <vt:variant>
        <vt:i4>0</vt:i4>
      </vt:variant>
      <vt:variant>
        <vt:i4>5</vt:i4>
      </vt:variant>
      <vt:variant>
        <vt:lpwstr>http://www.supremecourt.ohio.gov/rod/docs/pdf/12/2012/2012-Ohio-2569.pdf</vt:lpwstr>
      </vt:variant>
      <vt:variant>
        <vt:lpwstr/>
      </vt:variant>
      <vt:variant>
        <vt:i4>5373953</vt:i4>
      </vt:variant>
      <vt:variant>
        <vt:i4>2736</vt:i4>
      </vt:variant>
      <vt:variant>
        <vt:i4>0</vt:i4>
      </vt:variant>
      <vt:variant>
        <vt:i4>5</vt:i4>
      </vt:variant>
      <vt:variant>
        <vt:lpwstr>http://www.supremecourt.ohio.gov/rod/docs/pdf/11/2017/2017-Ohio-2934.pdf</vt:lpwstr>
      </vt:variant>
      <vt:variant>
        <vt:lpwstr/>
      </vt:variant>
      <vt:variant>
        <vt:i4>4128823</vt:i4>
      </vt:variant>
      <vt:variant>
        <vt:i4>2733</vt:i4>
      </vt:variant>
      <vt:variant>
        <vt:i4>0</vt:i4>
      </vt:variant>
      <vt:variant>
        <vt:i4>5</vt:i4>
      </vt:variant>
      <vt:variant>
        <vt:lpwstr>http://www.supremecourt.ohio.gov/rod/docs/pdf/11/2013/2013-Ohio-881.pdf</vt:lpwstr>
      </vt:variant>
      <vt:variant>
        <vt:lpwstr/>
      </vt:variant>
      <vt:variant>
        <vt:i4>3407923</vt:i4>
      </vt:variant>
      <vt:variant>
        <vt:i4>2730</vt:i4>
      </vt:variant>
      <vt:variant>
        <vt:i4>0</vt:i4>
      </vt:variant>
      <vt:variant>
        <vt:i4>5</vt:i4>
      </vt:variant>
      <vt:variant>
        <vt:lpwstr>http://www.supremecourt.ohio.gov/rod/docs/pdf/4/2007/2007-Ohio-4925.pdf</vt:lpwstr>
      </vt:variant>
      <vt:variant>
        <vt:lpwstr/>
      </vt:variant>
      <vt:variant>
        <vt:i4>5767181</vt:i4>
      </vt:variant>
      <vt:variant>
        <vt:i4>2727</vt:i4>
      </vt:variant>
      <vt:variant>
        <vt:i4>0</vt:i4>
      </vt:variant>
      <vt:variant>
        <vt:i4>5</vt:i4>
      </vt:variant>
      <vt:variant>
        <vt:lpwstr>http://www.supremecourt.ohio.gov/rod/docs/pdf/11/2010/2010-Ohio-2282.pdf</vt:lpwstr>
      </vt:variant>
      <vt:variant>
        <vt:lpwstr/>
      </vt:variant>
      <vt:variant>
        <vt:i4>3145790</vt:i4>
      </vt:variant>
      <vt:variant>
        <vt:i4>2724</vt:i4>
      </vt:variant>
      <vt:variant>
        <vt:i4>0</vt:i4>
      </vt:variant>
      <vt:variant>
        <vt:i4>5</vt:i4>
      </vt:variant>
      <vt:variant>
        <vt:lpwstr>http://www.supremecourt.ohio.gov/rod/docs/pdf/3/2013/2013-Ohio-4635.pdf</vt:lpwstr>
      </vt:variant>
      <vt:variant>
        <vt:lpwstr/>
      </vt:variant>
      <vt:variant>
        <vt:i4>6094858</vt:i4>
      </vt:variant>
      <vt:variant>
        <vt:i4>2721</vt:i4>
      </vt:variant>
      <vt:variant>
        <vt:i4>0</vt:i4>
      </vt:variant>
      <vt:variant>
        <vt:i4>5</vt:i4>
      </vt:variant>
      <vt:variant>
        <vt:lpwstr>http://www.supremecourt.ohio.gov/rod/docs/pdf/10/2014/2014-Ohio-1181.pdf</vt:lpwstr>
      </vt:variant>
      <vt:variant>
        <vt:lpwstr/>
      </vt:variant>
      <vt:variant>
        <vt:i4>4128822</vt:i4>
      </vt:variant>
      <vt:variant>
        <vt:i4>2718</vt:i4>
      </vt:variant>
      <vt:variant>
        <vt:i4>0</vt:i4>
      </vt:variant>
      <vt:variant>
        <vt:i4>5</vt:i4>
      </vt:variant>
      <vt:variant>
        <vt:lpwstr>http://www.supremecourt.ohio.gov/rod/docs/pdf/9/2012/2012-Ohio-1787.pdf</vt:lpwstr>
      </vt:variant>
      <vt:variant>
        <vt:lpwstr/>
      </vt:variant>
      <vt:variant>
        <vt:i4>3342394</vt:i4>
      </vt:variant>
      <vt:variant>
        <vt:i4>2715</vt:i4>
      </vt:variant>
      <vt:variant>
        <vt:i4>0</vt:i4>
      </vt:variant>
      <vt:variant>
        <vt:i4>5</vt:i4>
      </vt:variant>
      <vt:variant>
        <vt:lpwstr>http://www.supremecourt.ohio.gov/rod/docs/pdf/2/2014/2014-Ohio-2312.pdf</vt:lpwstr>
      </vt:variant>
      <vt:variant>
        <vt:lpwstr/>
      </vt:variant>
      <vt:variant>
        <vt:i4>4128817</vt:i4>
      </vt:variant>
      <vt:variant>
        <vt:i4>2712</vt:i4>
      </vt:variant>
      <vt:variant>
        <vt:i4>0</vt:i4>
      </vt:variant>
      <vt:variant>
        <vt:i4>5</vt:i4>
      </vt:variant>
      <vt:variant>
        <vt:lpwstr>http://www.supremecourt.ohio.gov/rod/docs/pdf/4/2008/2008-Ohio-6342.pdf</vt:lpwstr>
      </vt:variant>
      <vt:variant>
        <vt:lpwstr/>
      </vt:variant>
      <vt:variant>
        <vt:i4>3997749</vt:i4>
      </vt:variant>
      <vt:variant>
        <vt:i4>2709</vt:i4>
      </vt:variant>
      <vt:variant>
        <vt:i4>0</vt:i4>
      </vt:variant>
      <vt:variant>
        <vt:i4>5</vt:i4>
      </vt:variant>
      <vt:variant>
        <vt:lpwstr>http://www.supremecourt.ohio.gov/rod/docs/pdf/4/2006/2006-Ohio-6289.pdf</vt:lpwstr>
      </vt:variant>
      <vt:variant>
        <vt:lpwstr/>
      </vt:variant>
      <vt:variant>
        <vt:i4>3801145</vt:i4>
      </vt:variant>
      <vt:variant>
        <vt:i4>2706</vt:i4>
      </vt:variant>
      <vt:variant>
        <vt:i4>0</vt:i4>
      </vt:variant>
      <vt:variant>
        <vt:i4>5</vt:i4>
      </vt:variant>
      <vt:variant>
        <vt:lpwstr>http://www.supremecourt.ohio.gov/rod/docs/pdf/2/2003/2003-Ohio-4084.pdf</vt:lpwstr>
      </vt:variant>
      <vt:variant>
        <vt:lpwstr/>
      </vt:variant>
      <vt:variant>
        <vt:i4>3407932</vt:i4>
      </vt:variant>
      <vt:variant>
        <vt:i4>2703</vt:i4>
      </vt:variant>
      <vt:variant>
        <vt:i4>0</vt:i4>
      </vt:variant>
      <vt:variant>
        <vt:i4>5</vt:i4>
      </vt:variant>
      <vt:variant>
        <vt:lpwstr>http://www.supremecourt.ohio.gov/rod/docs/pdf/4/2005/2005-Ohio-2869.pdf</vt:lpwstr>
      </vt:variant>
      <vt:variant>
        <vt:lpwstr/>
      </vt:variant>
      <vt:variant>
        <vt:i4>5832704</vt:i4>
      </vt:variant>
      <vt:variant>
        <vt:i4>2700</vt:i4>
      </vt:variant>
      <vt:variant>
        <vt:i4>0</vt:i4>
      </vt:variant>
      <vt:variant>
        <vt:i4>5</vt:i4>
      </vt:variant>
      <vt:variant>
        <vt:lpwstr>http://www.supremecourt.ohio.gov/rod/docs/pdf/10/2014/2014-Ohio-3307.pdf</vt:lpwstr>
      </vt:variant>
      <vt:variant>
        <vt:lpwstr/>
      </vt:variant>
      <vt:variant>
        <vt:i4>3932220</vt:i4>
      </vt:variant>
      <vt:variant>
        <vt:i4>2697</vt:i4>
      </vt:variant>
      <vt:variant>
        <vt:i4>0</vt:i4>
      </vt:variant>
      <vt:variant>
        <vt:i4>5</vt:i4>
      </vt:variant>
      <vt:variant>
        <vt:lpwstr>http://www.supremecourt.ohio.gov/rod/docs/pdf/5/2013/2013-Ohio-2295.pdf</vt:lpwstr>
      </vt:variant>
      <vt:variant>
        <vt:lpwstr/>
      </vt:variant>
      <vt:variant>
        <vt:i4>4128817</vt:i4>
      </vt:variant>
      <vt:variant>
        <vt:i4>2694</vt:i4>
      </vt:variant>
      <vt:variant>
        <vt:i4>0</vt:i4>
      </vt:variant>
      <vt:variant>
        <vt:i4>5</vt:i4>
      </vt:variant>
      <vt:variant>
        <vt:lpwstr>http://www.supremecourt.ohio.gov/rod/docs/pdf/4/2008/2008-Ohio-6342.pdf</vt:lpwstr>
      </vt:variant>
      <vt:variant>
        <vt:lpwstr/>
      </vt:variant>
      <vt:variant>
        <vt:i4>3342394</vt:i4>
      </vt:variant>
      <vt:variant>
        <vt:i4>2691</vt:i4>
      </vt:variant>
      <vt:variant>
        <vt:i4>0</vt:i4>
      </vt:variant>
      <vt:variant>
        <vt:i4>5</vt:i4>
      </vt:variant>
      <vt:variant>
        <vt:lpwstr>http://www.supremecourt.ohio.gov/rod/docs/pdf/2/2014/2014-Ohio-2312.pdf</vt:lpwstr>
      </vt:variant>
      <vt:variant>
        <vt:lpwstr/>
      </vt:variant>
      <vt:variant>
        <vt:i4>5570561</vt:i4>
      </vt:variant>
      <vt:variant>
        <vt:i4>2688</vt:i4>
      </vt:variant>
      <vt:variant>
        <vt:i4>0</vt:i4>
      </vt:variant>
      <vt:variant>
        <vt:i4>5</vt:i4>
      </vt:variant>
      <vt:variant>
        <vt:lpwstr>http://www.supremecourt.ohio.gov/rod/docs/pdf/12/2012/2012-Ohio-2569.pdf</vt:lpwstr>
      </vt:variant>
      <vt:variant>
        <vt:lpwstr/>
      </vt:variant>
      <vt:variant>
        <vt:i4>3342386</vt:i4>
      </vt:variant>
      <vt:variant>
        <vt:i4>2685</vt:i4>
      </vt:variant>
      <vt:variant>
        <vt:i4>0</vt:i4>
      </vt:variant>
      <vt:variant>
        <vt:i4>5</vt:i4>
      </vt:variant>
      <vt:variant>
        <vt:lpwstr>http://www.supremecourt.ohio.gov/rod/docs/pdf/8/2017/2017-Ohio-8484.pdf</vt:lpwstr>
      </vt:variant>
      <vt:variant>
        <vt:lpwstr/>
      </vt:variant>
      <vt:variant>
        <vt:i4>6881332</vt:i4>
      </vt:variant>
      <vt:variant>
        <vt:i4>2682</vt:i4>
      </vt:variant>
      <vt:variant>
        <vt:i4>0</vt:i4>
      </vt:variant>
      <vt:variant>
        <vt:i4>5</vt:i4>
      </vt:variant>
      <vt:variant>
        <vt:lpwstr>http://www.supremecourt.ohio.gov/rod/docs/pdf/0/2001/2001-Ohio-130.pdf</vt:lpwstr>
      </vt:variant>
      <vt:variant>
        <vt:lpwstr/>
      </vt:variant>
      <vt:variant>
        <vt:i4>6881332</vt:i4>
      </vt:variant>
      <vt:variant>
        <vt:i4>2679</vt:i4>
      </vt:variant>
      <vt:variant>
        <vt:i4>0</vt:i4>
      </vt:variant>
      <vt:variant>
        <vt:i4>5</vt:i4>
      </vt:variant>
      <vt:variant>
        <vt:lpwstr>http://www.supremecourt.ohio.gov/rod/docs/pdf/0/2001/2001-Ohio-130.pdf</vt:lpwstr>
      </vt:variant>
      <vt:variant>
        <vt:lpwstr/>
      </vt:variant>
      <vt:variant>
        <vt:i4>6881332</vt:i4>
      </vt:variant>
      <vt:variant>
        <vt:i4>2676</vt:i4>
      </vt:variant>
      <vt:variant>
        <vt:i4>0</vt:i4>
      </vt:variant>
      <vt:variant>
        <vt:i4>5</vt:i4>
      </vt:variant>
      <vt:variant>
        <vt:lpwstr>http://www.supremecourt.ohio.gov/rod/docs/pdf/0/2001/2001-Ohio-130.pdf</vt:lpwstr>
      </vt:variant>
      <vt:variant>
        <vt:lpwstr/>
      </vt:variant>
      <vt:variant>
        <vt:i4>3342394</vt:i4>
      </vt:variant>
      <vt:variant>
        <vt:i4>2673</vt:i4>
      </vt:variant>
      <vt:variant>
        <vt:i4>0</vt:i4>
      </vt:variant>
      <vt:variant>
        <vt:i4>5</vt:i4>
      </vt:variant>
      <vt:variant>
        <vt:lpwstr>http://www.supremecourt.ohio.gov/rod/docs/pdf/2/2014/2014-Ohio-2312.pdf</vt:lpwstr>
      </vt:variant>
      <vt:variant>
        <vt:lpwstr/>
      </vt:variant>
      <vt:variant>
        <vt:i4>3538999</vt:i4>
      </vt:variant>
      <vt:variant>
        <vt:i4>2670</vt:i4>
      </vt:variant>
      <vt:variant>
        <vt:i4>0</vt:i4>
      </vt:variant>
      <vt:variant>
        <vt:i4>5</vt:i4>
      </vt:variant>
      <vt:variant>
        <vt:lpwstr>http://www.supremecourt.ohio.gov/rod/docs/pdf/1/2002/2002-Ohio-2038.pdf</vt:lpwstr>
      </vt:variant>
      <vt:variant>
        <vt:lpwstr/>
      </vt:variant>
      <vt:variant>
        <vt:i4>5570561</vt:i4>
      </vt:variant>
      <vt:variant>
        <vt:i4>2667</vt:i4>
      </vt:variant>
      <vt:variant>
        <vt:i4>0</vt:i4>
      </vt:variant>
      <vt:variant>
        <vt:i4>5</vt:i4>
      </vt:variant>
      <vt:variant>
        <vt:lpwstr>http://www.supremecourt.ohio.gov/rod/docs/pdf/12/2012/2012-Ohio-2569.pdf</vt:lpwstr>
      </vt:variant>
      <vt:variant>
        <vt:lpwstr/>
      </vt:variant>
      <vt:variant>
        <vt:i4>5701636</vt:i4>
      </vt:variant>
      <vt:variant>
        <vt:i4>2664</vt:i4>
      </vt:variant>
      <vt:variant>
        <vt:i4>0</vt:i4>
      </vt:variant>
      <vt:variant>
        <vt:i4>5</vt:i4>
      </vt:variant>
      <vt:variant>
        <vt:lpwstr>http://www.supremecourt.ohio.gov/rod/docs/pdf/12/2007/2007-Ohio-4218.pdf</vt:lpwstr>
      </vt:variant>
      <vt:variant>
        <vt:lpwstr/>
      </vt:variant>
      <vt:variant>
        <vt:i4>5963776</vt:i4>
      </vt:variant>
      <vt:variant>
        <vt:i4>2661</vt:i4>
      </vt:variant>
      <vt:variant>
        <vt:i4>0</vt:i4>
      </vt:variant>
      <vt:variant>
        <vt:i4>5</vt:i4>
      </vt:variant>
      <vt:variant>
        <vt:lpwstr>http://www.supremecourt.ohio.gov/rod/docs/pdf/10/2009/2009-Ohio-6993.pdf</vt:lpwstr>
      </vt:variant>
      <vt:variant>
        <vt:lpwstr/>
      </vt:variant>
      <vt:variant>
        <vt:i4>3932220</vt:i4>
      </vt:variant>
      <vt:variant>
        <vt:i4>2658</vt:i4>
      </vt:variant>
      <vt:variant>
        <vt:i4>0</vt:i4>
      </vt:variant>
      <vt:variant>
        <vt:i4>5</vt:i4>
      </vt:variant>
      <vt:variant>
        <vt:lpwstr>http://www.supremecourt.ohio.gov/rod/docs/pdf/5/2013/2013-Ohio-2295.pdf</vt:lpwstr>
      </vt:variant>
      <vt:variant>
        <vt:lpwstr/>
      </vt:variant>
      <vt:variant>
        <vt:i4>3342395</vt:i4>
      </vt:variant>
      <vt:variant>
        <vt:i4>2655</vt:i4>
      </vt:variant>
      <vt:variant>
        <vt:i4>0</vt:i4>
      </vt:variant>
      <vt:variant>
        <vt:i4>5</vt:i4>
      </vt:variant>
      <vt:variant>
        <vt:lpwstr>http://www.supremecourt.ohio.gov/rod/docs/pdf/5/2011/2011-Ohio-1775.pdf</vt:lpwstr>
      </vt:variant>
      <vt:variant>
        <vt:lpwstr/>
      </vt:variant>
      <vt:variant>
        <vt:i4>3342394</vt:i4>
      </vt:variant>
      <vt:variant>
        <vt:i4>2652</vt:i4>
      </vt:variant>
      <vt:variant>
        <vt:i4>0</vt:i4>
      </vt:variant>
      <vt:variant>
        <vt:i4>5</vt:i4>
      </vt:variant>
      <vt:variant>
        <vt:lpwstr>http://www.supremecourt.ohio.gov/rod/docs/pdf/2/2014/2014-Ohio-2312.pdf</vt:lpwstr>
      </vt:variant>
      <vt:variant>
        <vt:lpwstr/>
      </vt:variant>
      <vt:variant>
        <vt:i4>3342394</vt:i4>
      </vt:variant>
      <vt:variant>
        <vt:i4>2649</vt:i4>
      </vt:variant>
      <vt:variant>
        <vt:i4>0</vt:i4>
      </vt:variant>
      <vt:variant>
        <vt:i4>5</vt:i4>
      </vt:variant>
      <vt:variant>
        <vt:lpwstr>http://www.supremecourt.ohio.gov/rod/docs/pdf/3/2014/2014-Ohio-2717.pdf</vt:lpwstr>
      </vt:variant>
      <vt:variant>
        <vt:lpwstr/>
      </vt:variant>
      <vt:variant>
        <vt:i4>6029321</vt:i4>
      </vt:variant>
      <vt:variant>
        <vt:i4>2646</vt:i4>
      </vt:variant>
      <vt:variant>
        <vt:i4>0</vt:i4>
      </vt:variant>
      <vt:variant>
        <vt:i4>5</vt:i4>
      </vt:variant>
      <vt:variant>
        <vt:lpwstr>http://www.supremecourt.ohio.gov/rod/docs/pdf/12/2014/2014-Ohio-3291.pdf</vt:lpwstr>
      </vt:variant>
      <vt:variant>
        <vt:lpwstr/>
      </vt:variant>
      <vt:variant>
        <vt:i4>3997748</vt:i4>
      </vt:variant>
      <vt:variant>
        <vt:i4>2643</vt:i4>
      </vt:variant>
      <vt:variant>
        <vt:i4>0</vt:i4>
      </vt:variant>
      <vt:variant>
        <vt:i4>5</vt:i4>
      </vt:variant>
      <vt:variant>
        <vt:lpwstr>http://www.supremecourt.ohio.gov/rod/docs/pdf/6/2005/2005-Ohio-5883.pdf</vt:lpwstr>
      </vt:variant>
      <vt:variant>
        <vt:lpwstr/>
      </vt:variant>
      <vt:variant>
        <vt:i4>3342394</vt:i4>
      </vt:variant>
      <vt:variant>
        <vt:i4>2640</vt:i4>
      </vt:variant>
      <vt:variant>
        <vt:i4>0</vt:i4>
      </vt:variant>
      <vt:variant>
        <vt:i4>5</vt:i4>
      </vt:variant>
      <vt:variant>
        <vt:lpwstr>http://www.supremecourt.ohio.gov/rod/docs/pdf/2/2014/2014-Ohio-2312.pdf</vt:lpwstr>
      </vt:variant>
      <vt:variant>
        <vt:lpwstr/>
      </vt:variant>
      <vt:variant>
        <vt:i4>5767172</vt:i4>
      </vt:variant>
      <vt:variant>
        <vt:i4>2637</vt:i4>
      </vt:variant>
      <vt:variant>
        <vt:i4>0</vt:i4>
      </vt:variant>
      <vt:variant>
        <vt:i4>5</vt:i4>
      </vt:variant>
      <vt:variant>
        <vt:lpwstr>http://www.supremecourt.ohio.gov/rod/docs/pdf/12/2013/2013-Ohio-1111.pdf</vt:lpwstr>
      </vt:variant>
      <vt:variant>
        <vt:lpwstr/>
      </vt:variant>
      <vt:variant>
        <vt:i4>3932220</vt:i4>
      </vt:variant>
      <vt:variant>
        <vt:i4>2634</vt:i4>
      </vt:variant>
      <vt:variant>
        <vt:i4>0</vt:i4>
      </vt:variant>
      <vt:variant>
        <vt:i4>5</vt:i4>
      </vt:variant>
      <vt:variant>
        <vt:lpwstr>http://www.supremecourt.ohio.gov/rod/docs/pdf/5/2013/2013-Ohio-2295.pdf</vt:lpwstr>
      </vt:variant>
      <vt:variant>
        <vt:lpwstr/>
      </vt:variant>
      <vt:variant>
        <vt:i4>3342394</vt:i4>
      </vt:variant>
      <vt:variant>
        <vt:i4>2631</vt:i4>
      </vt:variant>
      <vt:variant>
        <vt:i4>0</vt:i4>
      </vt:variant>
      <vt:variant>
        <vt:i4>5</vt:i4>
      </vt:variant>
      <vt:variant>
        <vt:lpwstr>http://www.supremecourt.ohio.gov/rod/docs/pdf/2/2014/2014-Ohio-2312.pdf</vt:lpwstr>
      </vt:variant>
      <vt:variant>
        <vt:lpwstr/>
      </vt:variant>
      <vt:variant>
        <vt:i4>6881332</vt:i4>
      </vt:variant>
      <vt:variant>
        <vt:i4>2628</vt:i4>
      </vt:variant>
      <vt:variant>
        <vt:i4>0</vt:i4>
      </vt:variant>
      <vt:variant>
        <vt:i4>5</vt:i4>
      </vt:variant>
      <vt:variant>
        <vt:lpwstr>http://www.supremecourt.ohio.gov/rod/docs/pdf/0/2001/2001-Ohio-130.pdf</vt:lpwstr>
      </vt:variant>
      <vt:variant>
        <vt:lpwstr/>
      </vt:variant>
      <vt:variant>
        <vt:i4>3342393</vt:i4>
      </vt:variant>
      <vt:variant>
        <vt:i4>2625</vt:i4>
      </vt:variant>
      <vt:variant>
        <vt:i4>0</vt:i4>
      </vt:variant>
      <vt:variant>
        <vt:i4>5</vt:i4>
      </vt:variant>
      <vt:variant>
        <vt:lpwstr>http://www.supremecourt.ohio.gov/rod/docs/pdf/1/2013/2013-Ohio-5513.pdf</vt:lpwstr>
      </vt:variant>
      <vt:variant>
        <vt:lpwstr/>
      </vt:variant>
      <vt:variant>
        <vt:i4>6422589</vt:i4>
      </vt:variant>
      <vt:variant>
        <vt:i4>2622</vt:i4>
      </vt:variant>
      <vt:variant>
        <vt:i4>0</vt:i4>
      </vt:variant>
      <vt:variant>
        <vt:i4>5</vt:i4>
      </vt:variant>
      <vt:variant>
        <vt:lpwstr>http://www.supremecourt.ohio.gov/rod/docs/pdf/1/2012/2012-Ohio-890.pdf</vt:lpwstr>
      </vt:variant>
      <vt:variant>
        <vt:lpwstr/>
      </vt:variant>
      <vt:variant>
        <vt:i4>7143479</vt:i4>
      </vt:variant>
      <vt:variant>
        <vt:i4>2619</vt:i4>
      </vt:variant>
      <vt:variant>
        <vt:i4>0</vt:i4>
      </vt:variant>
      <vt:variant>
        <vt:i4>5</vt:i4>
      </vt:variant>
      <vt:variant>
        <vt:lpwstr>http://www.supremecourt.ohio.gov/rod/docs/pdf/0/1997/1997-Ohio-353.pdf</vt:lpwstr>
      </vt:variant>
      <vt:variant>
        <vt:lpwstr/>
      </vt:variant>
      <vt:variant>
        <vt:i4>6553653</vt:i4>
      </vt:variant>
      <vt:variant>
        <vt:i4>2616</vt:i4>
      </vt:variant>
      <vt:variant>
        <vt:i4>0</vt:i4>
      </vt:variant>
      <vt:variant>
        <vt:i4>5</vt:i4>
      </vt:variant>
      <vt:variant>
        <vt:lpwstr>http://www.supremecourt.ohio.gov/rod/docs/pdf/3/2015/2015-Ohio-148.pdf</vt:lpwstr>
      </vt:variant>
      <vt:variant>
        <vt:lpwstr/>
      </vt:variant>
      <vt:variant>
        <vt:i4>5570561</vt:i4>
      </vt:variant>
      <vt:variant>
        <vt:i4>2613</vt:i4>
      </vt:variant>
      <vt:variant>
        <vt:i4>0</vt:i4>
      </vt:variant>
      <vt:variant>
        <vt:i4>5</vt:i4>
      </vt:variant>
      <vt:variant>
        <vt:lpwstr>http://www.supremecourt.ohio.gov/rod/docs/pdf/12/2012/2012-Ohio-2569.pdf</vt:lpwstr>
      </vt:variant>
      <vt:variant>
        <vt:lpwstr/>
      </vt:variant>
      <vt:variant>
        <vt:i4>5767172</vt:i4>
      </vt:variant>
      <vt:variant>
        <vt:i4>2610</vt:i4>
      </vt:variant>
      <vt:variant>
        <vt:i4>0</vt:i4>
      </vt:variant>
      <vt:variant>
        <vt:i4>5</vt:i4>
      </vt:variant>
      <vt:variant>
        <vt:lpwstr>http://www.supremecourt.ohio.gov/rod/docs/pdf/12/2013/2013-Ohio-1111.pdf</vt:lpwstr>
      </vt:variant>
      <vt:variant>
        <vt:lpwstr/>
      </vt:variant>
      <vt:variant>
        <vt:i4>3407933</vt:i4>
      </vt:variant>
      <vt:variant>
        <vt:i4>2607</vt:i4>
      </vt:variant>
      <vt:variant>
        <vt:i4>0</vt:i4>
      </vt:variant>
      <vt:variant>
        <vt:i4>5</vt:i4>
      </vt:variant>
      <vt:variant>
        <vt:lpwstr>http://www.supremecourt.ohio.gov/rod/docs/pdf/4/2005/2005-Ohio-2868.pdf</vt:lpwstr>
      </vt:variant>
      <vt:variant>
        <vt:lpwstr/>
      </vt:variant>
      <vt:variant>
        <vt:i4>4653147</vt:i4>
      </vt:variant>
      <vt:variant>
        <vt:i4>2604</vt:i4>
      </vt:variant>
      <vt:variant>
        <vt:i4>0</vt:i4>
      </vt:variant>
      <vt:variant>
        <vt:i4>5</vt:i4>
      </vt:variant>
      <vt:variant>
        <vt:lpwstr>https://www.supremecourt.ohio.gov/rod/docs/pdf/7/2016/2016-Ohio-4663.pdf</vt:lpwstr>
      </vt:variant>
      <vt:variant>
        <vt:lpwstr/>
      </vt:variant>
      <vt:variant>
        <vt:i4>6225930</vt:i4>
      </vt:variant>
      <vt:variant>
        <vt:i4>2601</vt:i4>
      </vt:variant>
      <vt:variant>
        <vt:i4>0</vt:i4>
      </vt:variant>
      <vt:variant>
        <vt:i4>5</vt:i4>
      </vt:variant>
      <vt:variant>
        <vt:lpwstr>http://www.supremecourt.ohio.gov/rod/docs/pdf/10/2001/2001-Ohio-8751.pdf</vt:lpwstr>
      </vt:variant>
      <vt:variant>
        <vt:lpwstr/>
      </vt:variant>
      <vt:variant>
        <vt:i4>6881332</vt:i4>
      </vt:variant>
      <vt:variant>
        <vt:i4>2598</vt:i4>
      </vt:variant>
      <vt:variant>
        <vt:i4>0</vt:i4>
      </vt:variant>
      <vt:variant>
        <vt:i4>5</vt:i4>
      </vt:variant>
      <vt:variant>
        <vt:lpwstr>http://www.supremecourt.ohio.gov/rod/docs/pdf/0/2001/2001-Ohio-130.pdf</vt:lpwstr>
      </vt:variant>
      <vt:variant>
        <vt:lpwstr/>
      </vt:variant>
      <vt:variant>
        <vt:i4>4653147</vt:i4>
      </vt:variant>
      <vt:variant>
        <vt:i4>2595</vt:i4>
      </vt:variant>
      <vt:variant>
        <vt:i4>0</vt:i4>
      </vt:variant>
      <vt:variant>
        <vt:i4>5</vt:i4>
      </vt:variant>
      <vt:variant>
        <vt:lpwstr>https://www.supremecourt.ohio.gov/rod/docs/pdf/7/2016/2016-Ohio-4663.pdf</vt:lpwstr>
      </vt:variant>
      <vt:variant>
        <vt:lpwstr/>
      </vt:variant>
      <vt:variant>
        <vt:i4>6815792</vt:i4>
      </vt:variant>
      <vt:variant>
        <vt:i4>2592</vt:i4>
      </vt:variant>
      <vt:variant>
        <vt:i4>0</vt:i4>
      </vt:variant>
      <vt:variant>
        <vt:i4>5</vt:i4>
      </vt:variant>
      <vt:variant>
        <vt:lpwstr>http://www.supremecourt.ohio.gov/rod/docs/pdf/0/1996/1996-Ohio-236.pdf</vt:lpwstr>
      </vt:variant>
      <vt:variant>
        <vt:lpwstr/>
      </vt:variant>
      <vt:variant>
        <vt:i4>5308418</vt:i4>
      </vt:variant>
      <vt:variant>
        <vt:i4>2589</vt:i4>
      </vt:variant>
      <vt:variant>
        <vt:i4>0</vt:i4>
      </vt:variant>
      <vt:variant>
        <vt:i4>5</vt:i4>
      </vt:variant>
      <vt:variant>
        <vt:lpwstr>http://www.supremecourt.ohio.gov/rod/docs/pdf/11/2017/2017-Ohio-7957.pdf</vt:lpwstr>
      </vt:variant>
      <vt:variant>
        <vt:lpwstr/>
      </vt:variant>
      <vt:variant>
        <vt:i4>3211322</vt:i4>
      </vt:variant>
      <vt:variant>
        <vt:i4>2586</vt:i4>
      </vt:variant>
      <vt:variant>
        <vt:i4>0</vt:i4>
      </vt:variant>
      <vt:variant>
        <vt:i4>5</vt:i4>
      </vt:variant>
      <vt:variant>
        <vt:lpwstr>http://www.supremecourt.ohio.gov/rod/docs/pdf/8/2017/2017-Ohio-1038.pdf</vt:lpwstr>
      </vt:variant>
      <vt:variant>
        <vt:lpwstr/>
      </vt:variant>
      <vt:variant>
        <vt:i4>6815792</vt:i4>
      </vt:variant>
      <vt:variant>
        <vt:i4>2583</vt:i4>
      </vt:variant>
      <vt:variant>
        <vt:i4>0</vt:i4>
      </vt:variant>
      <vt:variant>
        <vt:i4>5</vt:i4>
      </vt:variant>
      <vt:variant>
        <vt:lpwstr>http://www.supremecourt.ohio.gov/rod/docs/pdf/0/1996/1996-Ohio-236.pdf</vt:lpwstr>
      </vt:variant>
      <vt:variant>
        <vt:lpwstr/>
      </vt:variant>
      <vt:variant>
        <vt:i4>6881332</vt:i4>
      </vt:variant>
      <vt:variant>
        <vt:i4>2580</vt:i4>
      </vt:variant>
      <vt:variant>
        <vt:i4>0</vt:i4>
      </vt:variant>
      <vt:variant>
        <vt:i4>5</vt:i4>
      </vt:variant>
      <vt:variant>
        <vt:lpwstr>http://www.supremecourt.ohio.gov/rod/docs/pdf/0/2001/2001-Ohio-130.pdf</vt:lpwstr>
      </vt:variant>
      <vt:variant>
        <vt:lpwstr/>
      </vt:variant>
      <vt:variant>
        <vt:i4>3342395</vt:i4>
      </vt:variant>
      <vt:variant>
        <vt:i4>2577</vt:i4>
      </vt:variant>
      <vt:variant>
        <vt:i4>0</vt:i4>
      </vt:variant>
      <vt:variant>
        <vt:i4>5</vt:i4>
      </vt:variant>
      <vt:variant>
        <vt:lpwstr>http://www.supremecourt.ohio.gov/rod/docs/pdf/4/2013/2013-Ohio-5415.pdf</vt:lpwstr>
      </vt:variant>
      <vt:variant>
        <vt:lpwstr/>
      </vt:variant>
      <vt:variant>
        <vt:i4>6225929</vt:i4>
      </vt:variant>
      <vt:variant>
        <vt:i4>2574</vt:i4>
      </vt:variant>
      <vt:variant>
        <vt:i4>0</vt:i4>
      </vt:variant>
      <vt:variant>
        <vt:i4>5</vt:i4>
      </vt:variant>
      <vt:variant>
        <vt:lpwstr>http://www.supremecourt.ohio.gov/rod/docs/pdf/12/2009/2009-Ohio-2448.pdf</vt:lpwstr>
      </vt:variant>
      <vt:variant>
        <vt:lpwstr/>
      </vt:variant>
      <vt:variant>
        <vt:i4>5767172</vt:i4>
      </vt:variant>
      <vt:variant>
        <vt:i4>2571</vt:i4>
      </vt:variant>
      <vt:variant>
        <vt:i4>0</vt:i4>
      </vt:variant>
      <vt:variant>
        <vt:i4>5</vt:i4>
      </vt:variant>
      <vt:variant>
        <vt:lpwstr>http://www.supremecourt.ohio.gov/rod/docs/pdf/12/2013/2013-Ohio-1111.pdf</vt:lpwstr>
      </vt:variant>
      <vt:variant>
        <vt:lpwstr/>
      </vt:variant>
      <vt:variant>
        <vt:i4>6881332</vt:i4>
      </vt:variant>
      <vt:variant>
        <vt:i4>2568</vt:i4>
      </vt:variant>
      <vt:variant>
        <vt:i4>0</vt:i4>
      </vt:variant>
      <vt:variant>
        <vt:i4>5</vt:i4>
      </vt:variant>
      <vt:variant>
        <vt:lpwstr>http://www.supremecourt.ohio.gov/rod/docs/pdf/0/2001/2001-Ohio-130.pdf</vt:lpwstr>
      </vt:variant>
      <vt:variant>
        <vt:lpwstr/>
      </vt:variant>
      <vt:variant>
        <vt:i4>7274555</vt:i4>
      </vt:variant>
      <vt:variant>
        <vt:i4>2565</vt:i4>
      </vt:variant>
      <vt:variant>
        <vt:i4>0</vt:i4>
      </vt:variant>
      <vt:variant>
        <vt:i4>5</vt:i4>
      </vt:variant>
      <vt:variant>
        <vt:lpwstr>http://www.supremecourt.ohio.gov/rod/docs/pdf/0/1996/1996-Ohio-380.pdf</vt:lpwstr>
      </vt:variant>
      <vt:variant>
        <vt:lpwstr/>
      </vt:variant>
      <vt:variant>
        <vt:i4>3407933</vt:i4>
      </vt:variant>
      <vt:variant>
        <vt:i4>2562</vt:i4>
      </vt:variant>
      <vt:variant>
        <vt:i4>0</vt:i4>
      </vt:variant>
      <vt:variant>
        <vt:i4>5</vt:i4>
      </vt:variant>
      <vt:variant>
        <vt:lpwstr>http://www.supremecourt.ohio.gov/rod/docs/pdf/4/2005/2005-Ohio-2868.pdf</vt:lpwstr>
      </vt:variant>
      <vt:variant>
        <vt:lpwstr/>
      </vt:variant>
      <vt:variant>
        <vt:i4>6488126</vt:i4>
      </vt:variant>
      <vt:variant>
        <vt:i4>2559</vt:i4>
      </vt:variant>
      <vt:variant>
        <vt:i4>0</vt:i4>
      </vt:variant>
      <vt:variant>
        <vt:i4>5</vt:i4>
      </vt:variant>
      <vt:variant>
        <vt:lpwstr>http://www.supremecourt.ohio.gov/rod/docs/pdf/8/2018/2018-Ohio-497.pdf</vt:lpwstr>
      </vt:variant>
      <vt:variant>
        <vt:lpwstr/>
      </vt:variant>
      <vt:variant>
        <vt:i4>3342394</vt:i4>
      </vt:variant>
      <vt:variant>
        <vt:i4>2556</vt:i4>
      </vt:variant>
      <vt:variant>
        <vt:i4>0</vt:i4>
      </vt:variant>
      <vt:variant>
        <vt:i4>5</vt:i4>
      </vt:variant>
      <vt:variant>
        <vt:lpwstr>http://www.supremecourt.ohio.gov/rod/docs/pdf/3/2014/2014-Ohio-2717.pdf</vt:lpwstr>
      </vt:variant>
      <vt:variant>
        <vt:lpwstr/>
      </vt:variant>
      <vt:variant>
        <vt:i4>5111823</vt:i4>
      </vt:variant>
      <vt:variant>
        <vt:i4>2553</vt:i4>
      </vt:variant>
      <vt:variant>
        <vt:i4>0</vt:i4>
      </vt:variant>
      <vt:variant>
        <vt:i4>5</vt:i4>
      </vt:variant>
      <vt:variant>
        <vt:lpwstr>State ex rel. Long v. Cardington Village Council</vt:lpwstr>
      </vt:variant>
      <vt:variant>
        <vt:lpwstr/>
      </vt:variant>
      <vt:variant>
        <vt:i4>5111823</vt:i4>
      </vt:variant>
      <vt:variant>
        <vt:i4>2550</vt:i4>
      </vt:variant>
      <vt:variant>
        <vt:i4>0</vt:i4>
      </vt:variant>
      <vt:variant>
        <vt:i4>5</vt:i4>
      </vt:variant>
      <vt:variant>
        <vt:lpwstr>State ex rel. Long v. Cardington Village Council</vt:lpwstr>
      </vt:variant>
      <vt:variant>
        <vt:lpwstr/>
      </vt:variant>
      <vt:variant>
        <vt:i4>7274555</vt:i4>
      </vt:variant>
      <vt:variant>
        <vt:i4>2547</vt:i4>
      </vt:variant>
      <vt:variant>
        <vt:i4>0</vt:i4>
      </vt:variant>
      <vt:variant>
        <vt:i4>5</vt:i4>
      </vt:variant>
      <vt:variant>
        <vt:lpwstr>http://www.supremecourt.ohio.gov/rod/docs/pdf/0/1996/1996-Ohio-380.pdf</vt:lpwstr>
      </vt:variant>
      <vt:variant>
        <vt:lpwstr/>
      </vt:variant>
      <vt:variant>
        <vt:i4>3932220</vt:i4>
      </vt:variant>
      <vt:variant>
        <vt:i4>2544</vt:i4>
      </vt:variant>
      <vt:variant>
        <vt:i4>0</vt:i4>
      </vt:variant>
      <vt:variant>
        <vt:i4>5</vt:i4>
      </vt:variant>
      <vt:variant>
        <vt:lpwstr>http://www.supremecourt.ohio.gov/rod/docs/pdf/5/2013/2013-Ohio-2295.pdf</vt:lpwstr>
      </vt:variant>
      <vt:variant>
        <vt:lpwstr/>
      </vt:variant>
      <vt:variant>
        <vt:i4>6881332</vt:i4>
      </vt:variant>
      <vt:variant>
        <vt:i4>2541</vt:i4>
      </vt:variant>
      <vt:variant>
        <vt:i4>0</vt:i4>
      </vt:variant>
      <vt:variant>
        <vt:i4>5</vt:i4>
      </vt:variant>
      <vt:variant>
        <vt:lpwstr>http://www.supremecourt.ohio.gov/rod/docs/pdf/0/2001/2001-Ohio-130.pdf</vt:lpwstr>
      </vt:variant>
      <vt:variant>
        <vt:lpwstr/>
      </vt:variant>
      <vt:variant>
        <vt:i4>7274555</vt:i4>
      </vt:variant>
      <vt:variant>
        <vt:i4>2538</vt:i4>
      </vt:variant>
      <vt:variant>
        <vt:i4>0</vt:i4>
      </vt:variant>
      <vt:variant>
        <vt:i4>5</vt:i4>
      </vt:variant>
      <vt:variant>
        <vt:lpwstr>http://www.supremecourt.ohio.gov/rod/docs/pdf/0/1996/1996-Ohio-380.pdf</vt:lpwstr>
      </vt:variant>
      <vt:variant>
        <vt:lpwstr/>
      </vt:variant>
      <vt:variant>
        <vt:i4>3342396</vt:i4>
      </vt:variant>
      <vt:variant>
        <vt:i4>2535</vt:i4>
      </vt:variant>
      <vt:variant>
        <vt:i4>0</vt:i4>
      </vt:variant>
      <vt:variant>
        <vt:i4>5</vt:i4>
      </vt:variant>
      <vt:variant>
        <vt:lpwstr>http://www.supremecourt.ohio.gov/rod/docs/pdf/0/2007/2007-Ohio-5542.pdf</vt:lpwstr>
      </vt:variant>
      <vt:variant>
        <vt:lpwstr/>
      </vt:variant>
      <vt:variant>
        <vt:i4>3342394</vt:i4>
      </vt:variant>
      <vt:variant>
        <vt:i4>2532</vt:i4>
      </vt:variant>
      <vt:variant>
        <vt:i4>0</vt:i4>
      </vt:variant>
      <vt:variant>
        <vt:i4>5</vt:i4>
      </vt:variant>
      <vt:variant>
        <vt:lpwstr>http://www.supremecourt.ohio.gov/rod/docs/pdf/3/2014/2014-Ohio-2717.pdf</vt:lpwstr>
      </vt:variant>
      <vt:variant>
        <vt:lpwstr/>
      </vt:variant>
      <vt:variant>
        <vt:i4>7274555</vt:i4>
      </vt:variant>
      <vt:variant>
        <vt:i4>2529</vt:i4>
      </vt:variant>
      <vt:variant>
        <vt:i4>0</vt:i4>
      </vt:variant>
      <vt:variant>
        <vt:i4>5</vt:i4>
      </vt:variant>
      <vt:variant>
        <vt:lpwstr>http://www.supremecourt.ohio.gov/rod/docs/pdf/0/1996/1996-Ohio-380.pdf</vt:lpwstr>
      </vt:variant>
      <vt:variant>
        <vt:lpwstr/>
      </vt:variant>
      <vt:variant>
        <vt:i4>3670070</vt:i4>
      </vt:variant>
      <vt:variant>
        <vt:i4>2526</vt:i4>
      </vt:variant>
      <vt:variant>
        <vt:i4>0</vt:i4>
      </vt:variant>
      <vt:variant>
        <vt:i4>5</vt:i4>
      </vt:variant>
      <vt:variant>
        <vt:lpwstr>http://www.supremecourt.ohio.gov/rod/docs/pdf/3/2003/2003-Ohio-6288.pdf</vt:lpwstr>
      </vt:variant>
      <vt:variant>
        <vt:lpwstr/>
      </vt:variant>
      <vt:variant>
        <vt:i4>7209022</vt:i4>
      </vt:variant>
      <vt:variant>
        <vt:i4>2523</vt:i4>
      </vt:variant>
      <vt:variant>
        <vt:i4>0</vt:i4>
      </vt:variant>
      <vt:variant>
        <vt:i4>5</vt:i4>
      </vt:variant>
      <vt:variant>
        <vt:lpwstr>http://www.supremecourt.ohio.gov/rod/docs/pdf/2/2002/2002-Ohio-386.pdf</vt:lpwstr>
      </vt:variant>
      <vt:variant>
        <vt:lpwstr/>
      </vt:variant>
      <vt:variant>
        <vt:i4>7209022</vt:i4>
      </vt:variant>
      <vt:variant>
        <vt:i4>2520</vt:i4>
      </vt:variant>
      <vt:variant>
        <vt:i4>0</vt:i4>
      </vt:variant>
      <vt:variant>
        <vt:i4>5</vt:i4>
      </vt:variant>
      <vt:variant>
        <vt:lpwstr>http://www.supremecourt.ohio.gov/rod/docs/pdf/2/2002/2002-Ohio-386.pdf</vt:lpwstr>
      </vt:variant>
      <vt:variant>
        <vt:lpwstr/>
      </vt:variant>
      <vt:variant>
        <vt:i4>7209022</vt:i4>
      </vt:variant>
      <vt:variant>
        <vt:i4>2517</vt:i4>
      </vt:variant>
      <vt:variant>
        <vt:i4>0</vt:i4>
      </vt:variant>
      <vt:variant>
        <vt:i4>5</vt:i4>
      </vt:variant>
      <vt:variant>
        <vt:lpwstr>http://www.supremecourt.ohio.gov/rod/docs/pdf/2/2002/2002-Ohio-386.pdf</vt:lpwstr>
      </vt:variant>
      <vt:variant>
        <vt:lpwstr/>
      </vt:variant>
      <vt:variant>
        <vt:i4>3342394</vt:i4>
      </vt:variant>
      <vt:variant>
        <vt:i4>2514</vt:i4>
      </vt:variant>
      <vt:variant>
        <vt:i4>0</vt:i4>
      </vt:variant>
      <vt:variant>
        <vt:i4>5</vt:i4>
      </vt:variant>
      <vt:variant>
        <vt:lpwstr>http://www.supremecourt.ohio.gov/rod/docs/pdf/3/2014/2014-Ohio-2717.pdf</vt:lpwstr>
      </vt:variant>
      <vt:variant>
        <vt:lpwstr/>
      </vt:variant>
      <vt:variant>
        <vt:i4>5898247</vt:i4>
      </vt:variant>
      <vt:variant>
        <vt:i4>2511</vt:i4>
      </vt:variant>
      <vt:variant>
        <vt:i4>0</vt:i4>
      </vt:variant>
      <vt:variant>
        <vt:i4>5</vt:i4>
      </vt:variant>
      <vt:variant>
        <vt:lpwstr>http://www.supremecourt.ohio.gov/rod/docs/pdf/11/2017/2017-Ohio-4237.pdf</vt:lpwstr>
      </vt:variant>
      <vt:variant>
        <vt:lpwstr/>
      </vt:variant>
      <vt:variant>
        <vt:i4>4718680</vt:i4>
      </vt:variant>
      <vt:variant>
        <vt:i4>2508</vt:i4>
      </vt:variant>
      <vt:variant>
        <vt:i4>0</vt:i4>
      </vt:variant>
      <vt:variant>
        <vt:i4>5</vt:i4>
      </vt:variant>
      <vt:variant>
        <vt:lpwstr>https://www.supremecourt.ohio.gov/rod/docs/pdf/0/2016/2016-Ohio-5449.pdf</vt:lpwstr>
      </vt:variant>
      <vt:variant>
        <vt:lpwstr/>
      </vt:variant>
      <vt:variant>
        <vt:i4>5898247</vt:i4>
      </vt:variant>
      <vt:variant>
        <vt:i4>2505</vt:i4>
      </vt:variant>
      <vt:variant>
        <vt:i4>0</vt:i4>
      </vt:variant>
      <vt:variant>
        <vt:i4>5</vt:i4>
      </vt:variant>
      <vt:variant>
        <vt:lpwstr>http://www.supremecourt.ohio.gov/rod/docs/pdf/11/2017/2017-Ohio-4237.pdf</vt:lpwstr>
      </vt:variant>
      <vt:variant>
        <vt:lpwstr/>
      </vt:variant>
      <vt:variant>
        <vt:i4>6291514</vt:i4>
      </vt:variant>
      <vt:variant>
        <vt:i4>2502</vt:i4>
      </vt:variant>
      <vt:variant>
        <vt:i4>0</vt:i4>
      </vt:variant>
      <vt:variant>
        <vt:i4>5</vt:i4>
      </vt:variant>
      <vt:variant>
        <vt:lpwstr>http://www.supremecourt.ohio.gov/rod/docs/pdf/2/2018/2018-Ohio-676.pdf</vt:lpwstr>
      </vt:variant>
      <vt:variant>
        <vt:lpwstr/>
      </vt:variant>
      <vt:variant>
        <vt:i4>5767172</vt:i4>
      </vt:variant>
      <vt:variant>
        <vt:i4>2499</vt:i4>
      </vt:variant>
      <vt:variant>
        <vt:i4>0</vt:i4>
      </vt:variant>
      <vt:variant>
        <vt:i4>5</vt:i4>
      </vt:variant>
      <vt:variant>
        <vt:lpwstr>http://www.supremecourt.ohio.gov/rod/docs/pdf/12/2013/2013-Ohio-1111.pdf</vt:lpwstr>
      </vt:variant>
      <vt:variant>
        <vt:lpwstr/>
      </vt:variant>
      <vt:variant>
        <vt:i4>4653147</vt:i4>
      </vt:variant>
      <vt:variant>
        <vt:i4>2496</vt:i4>
      </vt:variant>
      <vt:variant>
        <vt:i4>0</vt:i4>
      </vt:variant>
      <vt:variant>
        <vt:i4>5</vt:i4>
      </vt:variant>
      <vt:variant>
        <vt:lpwstr>https://www.supremecourt.ohio.gov/rod/docs/pdf/7/2016/2016-Ohio-4663.pdf</vt:lpwstr>
      </vt:variant>
      <vt:variant>
        <vt:lpwstr/>
      </vt:variant>
      <vt:variant>
        <vt:i4>7012406</vt:i4>
      </vt:variant>
      <vt:variant>
        <vt:i4>2493</vt:i4>
      </vt:variant>
      <vt:variant>
        <vt:i4>0</vt:i4>
      </vt:variant>
      <vt:variant>
        <vt:i4>5</vt:i4>
      </vt:variant>
      <vt:variant>
        <vt:lpwstr>http://www.supremecourt.ohio.gov/rod/docs/pdf/0/1995/1995-Ohio-266.pdf</vt:lpwstr>
      </vt:variant>
      <vt:variant>
        <vt:lpwstr/>
      </vt:variant>
      <vt:variant>
        <vt:i4>7209022</vt:i4>
      </vt:variant>
      <vt:variant>
        <vt:i4>2490</vt:i4>
      </vt:variant>
      <vt:variant>
        <vt:i4>0</vt:i4>
      </vt:variant>
      <vt:variant>
        <vt:i4>5</vt:i4>
      </vt:variant>
      <vt:variant>
        <vt:lpwstr>http://www.supremecourt.ohio.gov/rod/docs/pdf/2/2002/2002-Ohio-386.pdf</vt:lpwstr>
      </vt:variant>
      <vt:variant>
        <vt:lpwstr/>
      </vt:variant>
      <vt:variant>
        <vt:i4>7209022</vt:i4>
      </vt:variant>
      <vt:variant>
        <vt:i4>2487</vt:i4>
      </vt:variant>
      <vt:variant>
        <vt:i4>0</vt:i4>
      </vt:variant>
      <vt:variant>
        <vt:i4>5</vt:i4>
      </vt:variant>
      <vt:variant>
        <vt:lpwstr>http://www.supremecourt.ohio.gov/rod/docs/pdf/2/2002/2002-Ohio-386.pdf</vt:lpwstr>
      </vt:variant>
      <vt:variant>
        <vt:lpwstr/>
      </vt:variant>
      <vt:variant>
        <vt:i4>3342394</vt:i4>
      </vt:variant>
      <vt:variant>
        <vt:i4>2484</vt:i4>
      </vt:variant>
      <vt:variant>
        <vt:i4>0</vt:i4>
      </vt:variant>
      <vt:variant>
        <vt:i4>5</vt:i4>
      </vt:variant>
      <vt:variant>
        <vt:lpwstr>http://www.supremecourt.ohio.gov/rod/docs/pdf/3/2014/2014-Ohio-2717.pdf</vt:lpwstr>
      </vt:variant>
      <vt:variant>
        <vt:lpwstr/>
      </vt:variant>
      <vt:variant>
        <vt:i4>5701634</vt:i4>
      </vt:variant>
      <vt:variant>
        <vt:i4>2481</vt:i4>
      </vt:variant>
      <vt:variant>
        <vt:i4>0</vt:i4>
      </vt:variant>
      <vt:variant>
        <vt:i4>5</vt:i4>
      </vt:variant>
      <vt:variant>
        <vt:lpwstr>http://www.supremecourt.ohio.gov/rod/docs/pdf/10/2011/2011-Ohio-6728.pdf</vt:lpwstr>
      </vt:variant>
      <vt:variant>
        <vt:lpwstr/>
      </vt:variant>
      <vt:variant>
        <vt:i4>3407932</vt:i4>
      </vt:variant>
      <vt:variant>
        <vt:i4>2478</vt:i4>
      </vt:variant>
      <vt:variant>
        <vt:i4>0</vt:i4>
      </vt:variant>
      <vt:variant>
        <vt:i4>5</vt:i4>
      </vt:variant>
      <vt:variant>
        <vt:lpwstr>http://www.supremecourt.ohio.gov/rod/docs/pdf/4/2005/2005-Ohio-2869.pdf</vt:lpwstr>
      </vt:variant>
      <vt:variant>
        <vt:lpwstr/>
      </vt:variant>
      <vt:variant>
        <vt:i4>1769559</vt:i4>
      </vt:variant>
      <vt:variant>
        <vt:i4>2475</vt:i4>
      </vt:variant>
      <vt:variant>
        <vt:i4>0</vt:i4>
      </vt:variant>
      <vt:variant>
        <vt:i4>5</vt:i4>
      </vt:variant>
      <vt:variant>
        <vt:lpwstr>https://www.supremecourt.ohio.gov/rod/docs/pdf/10/2016/2016-Ohio-1035.pdf</vt:lpwstr>
      </vt:variant>
      <vt:variant>
        <vt:lpwstr/>
      </vt:variant>
      <vt:variant>
        <vt:i4>4128823</vt:i4>
      </vt:variant>
      <vt:variant>
        <vt:i4>2472</vt:i4>
      </vt:variant>
      <vt:variant>
        <vt:i4>0</vt:i4>
      </vt:variant>
      <vt:variant>
        <vt:i4>5</vt:i4>
      </vt:variant>
      <vt:variant>
        <vt:lpwstr>http://www.supremecourt.ohio.gov/rod/docs/pdf/11/2013/2013-Ohio-881.pdf</vt:lpwstr>
      </vt:variant>
      <vt:variant>
        <vt:lpwstr/>
      </vt:variant>
      <vt:variant>
        <vt:i4>4128823</vt:i4>
      </vt:variant>
      <vt:variant>
        <vt:i4>2469</vt:i4>
      </vt:variant>
      <vt:variant>
        <vt:i4>0</vt:i4>
      </vt:variant>
      <vt:variant>
        <vt:i4>5</vt:i4>
      </vt:variant>
      <vt:variant>
        <vt:lpwstr>http://www.supremecourt.ohio.gov/rod/docs/pdf/11/2013/2013-Ohio-881.pdf</vt:lpwstr>
      </vt:variant>
      <vt:variant>
        <vt:lpwstr/>
      </vt:variant>
      <vt:variant>
        <vt:i4>3342386</vt:i4>
      </vt:variant>
      <vt:variant>
        <vt:i4>2466</vt:i4>
      </vt:variant>
      <vt:variant>
        <vt:i4>0</vt:i4>
      </vt:variant>
      <vt:variant>
        <vt:i4>5</vt:i4>
      </vt:variant>
      <vt:variant>
        <vt:lpwstr>http://www.supremecourt.ohio.gov/rod/docs/pdf/8/2017/2017-Ohio-8484.pdf</vt:lpwstr>
      </vt:variant>
      <vt:variant>
        <vt:lpwstr/>
      </vt:variant>
      <vt:variant>
        <vt:i4>3473470</vt:i4>
      </vt:variant>
      <vt:variant>
        <vt:i4>2463</vt:i4>
      </vt:variant>
      <vt:variant>
        <vt:i4>0</vt:i4>
      </vt:variant>
      <vt:variant>
        <vt:i4>5</vt:i4>
      </vt:variant>
      <vt:variant>
        <vt:lpwstr>http://www.supremecourt.ohio.gov/rod/docs/pdf/6/2002/2002-Ohio-4660.pdf</vt:lpwstr>
      </vt:variant>
      <vt:variant>
        <vt:lpwstr/>
      </vt:variant>
      <vt:variant>
        <vt:i4>4128823</vt:i4>
      </vt:variant>
      <vt:variant>
        <vt:i4>2460</vt:i4>
      </vt:variant>
      <vt:variant>
        <vt:i4>0</vt:i4>
      </vt:variant>
      <vt:variant>
        <vt:i4>5</vt:i4>
      </vt:variant>
      <vt:variant>
        <vt:lpwstr>http://www.supremecourt.ohio.gov/rod/docs/pdf/11/2013/2013-Ohio-881.pdf</vt:lpwstr>
      </vt:variant>
      <vt:variant>
        <vt:lpwstr/>
      </vt:variant>
      <vt:variant>
        <vt:i4>4128823</vt:i4>
      </vt:variant>
      <vt:variant>
        <vt:i4>2457</vt:i4>
      </vt:variant>
      <vt:variant>
        <vt:i4>0</vt:i4>
      </vt:variant>
      <vt:variant>
        <vt:i4>5</vt:i4>
      </vt:variant>
      <vt:variant>
        <vt:lpwstr>http://www.supremecourt.ohio.gov/rod/docs/pdf/11/2013/2013-Ohio-881.pdf</vt:lpwstr>
      </vt:variant>
      <vt:variant>
        <vt:lpwstr/>
      </vt:variant>
      <vt:variant>
        <vt:i4>7274550</vt:i4>
      </vt:variant>
      <vt:variant>
        <vt:i4>2454</vt:i4>
      </vt:variant>
      <vt:variant>
        <vt:i4>0</vt:i4>
      </vt:variant>
      <vt:variant>
        <vt:i4>5</vt:i4>
      </vt:variant>
      <vt:variant>
        <vt:lpwstr>http://www.supremecourt.ohio.gov/rod/docs/pdf/0/1993/1993-Ohio-204.pdf</vt:lpwstr>
      </vt:variant>
      <vt:variant>
        <vt:lpwstr/>
      </vt:variant>
      <vt:variant>
        <vt:i4>5701636</vt:i4>
      </vt:variant>
      <vt:variant>
        <vt:i4>2451</vt:i4>
      </vt:variant>
      <vt:variant>
        <vt:i4>0</vt:i4>
      </vt:variant>
      <vt:variant>
        <vt:i4>5</vt:i4>
      </vt:variant>
      <vt:variant>
        <vt:lpwstr>http://www.supremecourt.ohio.gov/rod/docs/pdf/12/2007/2007-Ohio-4218.pdf</vt:lpwstr>
      </vt:variant>
      <vt:variant>
        <vt:lpwstr/>
      </vt:variant>
      <vt:variant>
        <vt:i4>3932212</vt:i4>
      </vt:variant>
      <vt:variant>
        <vt:i4>2448</vt:i4>
      </vt:variant>
      <vt:variant>
        <vt:i4>0</vt:i4>
      </vt:variant>
      <vt:variant>
        <vt:i4>5</vt:i4>
      </vt:variant>
      <vt:variant>
        <vt:lpwstr>http://www.supremecourt.ohio.gov/rod/docs/pdf/10/2018/2018-Ohio-716.pdf</vt:lpwstr>
      </vt:variant>
      <vt:variant>
        <vt:lpwstr/>
      </vt:variant>
      <vt:variant>
        <vt:i4>3801142</vt:i4>
      </vt:variant>
      <vt:variant>
        <vt:i4>2445</vt:i4>
      </vt:variant>
      <vt:variant>
        <vt:i4>0</vt:i4>
      </vt:variant>
      <vt:variant>
        <vt:i4>5</vt:i4>
      </vt:variant>
      <vt:variant>
        <vt:lpwstr>http://www.supremecourt.ohio.gov/rod/docs/pdf/8/2013/2013-Ohio-5585.pdf</vt:lpwstr>
      </vt:variant>
      <vt:variant>
        <vt:lpwstr/>
      </vt:variant>
      <vt:variant>
        <vt:i4>7209008</vt:i4>
      </vt:variant>
      <vt:variant>
        <vt:i4>2442</vt:i4>
      </vt:variant>
      <vt:variant>
        <vt:i4>0</vt:i4>
      </vt:variant>
      <vt:variant>
        <vt:i4>5</vt:i4>
      </vt:variant>
      <vt:variant>
        <vt:lpwstr>http://www.supremecourt.ohio.gov/rod/docs/pdf/6/2013/2013-Ohio-722.pdf</vt:lpwstr>
      </vt:variant>
      <vt:variant>
        <vt:lpwstr/>
      </vt:variant>
      <vt:variant>
        <vt:i4>3145787</vt:i4>
      </vt:variant>
      <vt:variant>
        <vt:i4>2439</vt:i4>
      </vt:variant>
      <vt:variant>
        <vt:i4>0</vt:i4>
      </vt:variant>
      <vt:variant>
        <vt:i4>5</vt:i4>
      </vt:variant>
      <vt:variant>
        <vt:lpwstr>http://www.supremecourt.ohio.gov/rod/docs/pdf/0/2010/2010-Ohio-2167.pdf</vt:lpwstr>
      </vt:variant>
      <vt:variant>
        <vt:lpwstr/>
      </vt:variant>
      <vt:variant>
        <vt:i4>3604539</vt:i4>
      </vt:variant>
      <vt:variant>
        <vt:i4>2436</vt:i4>
      </vt:variant>
      <vt:variant>
        <vt:i4>0</vt:i4>
      </vt:variant>
      <vt:variant>
        <vt:i4>5</vt:i4>
      </vt:variant>
      <vt:variant>
        <vt:lpwstr>http://www.supremecourt.ohio.gov/rod/docs/pdf/10/2017/2017-Ohio-756.pdf</vt:lpwstr>
      </vt:variant>
      <vt:variant>
        <vt:lpwstr/>
      </vt:variant>
      <vt:variant>
        <vt:i4>4128817</vt:i4>
      </vt:variant>
      <vt:variant>
        <vt:i4>2433</vt:i4>
      </vt:variant>
      <vt:variant>
        <vt:i4>0</vt:i4>
      </vt:variant>
      <vt:variant>
        <vt:i4>5</vt:i4>
      </vt:variant>
      <vt:variant>
        <vt:lpwstr>http://www.supremecourt.ohio.gov/rod/docs/pdf/5/2008/2008-Ohio-4060.pdf</vt:lpwstr>
      </vt:variant>
      <vt:variant>
        <vt:lpwstr/>
      </vt:variant>
      <vt:variant>
        <vt:i4>4456542</vt:i4>
      </vt:variant>
      <vt:variant>
        <vt:i4>2430</vt:i4>
      </vt:variant>
      <vt:variant>
        <vt:i4>0</vt:i4>
      </vt:variant>
      <vt:variant>
        <vt:i4>5</vt:i4>
      </vt:variant>
      <vt:variant>
        <vt:lpwstr>https://www.supremecourt.ohio.gov/rod/docs/pdf/5/2016/2016-Ohio-2652.pdf</vt:lpwstr>
      </vt:variant>
      <vt:variant>
        <vt:lpwstr/>
      </vt:variant>
      <vt:variant>
        <vt:i4>3145787</vt:i4>
      </vt:variant>
      <vt:variant>
        <vt:i4>2427</vt:i4>
      </vt:variant>
      <vt:variant>
        <vt:i4>0</vt:i4>
      </vt:variant>
      <vt:variant>
        <vt:i4>5</vt:i4>
      </vt:variant>
      <vt:variant>
        <vt:lpwstr>http://www.supremecourt.ohio.gov/rod/docs/pdf/0/2010/2010-Ohio-2167.pdf</vt:lpwstr>
      </vt:variant>
      <vt:variant>
        <vt:lpwstr/>
      </vt:variant>
      <vt:variant>
        <vt:i4>6488121</vt:i4>
      </vt:variant>
      <vt:variant>
        <vt:i4>2424</vt:i4>
      </vt:variant>
      <vt:variant>
        <vt:i4>0</vt:i4>
      </vt:variant>
      <vt:variant>
        <vt:i4>5</vt:i4>
      </vt:variant>
      <vt:variant>
        <vt:lpwstr>http://www.supremecourt.ohio.gov/rod/docs/pdf/0/1998/1998-Ohio-445.pdf</vt:lpwstr>
      </vt:variant>
      <vt:variant>
        <vt:lpwstr/>
      </vt:variant>
      <vt:variant>
        <vt:i4>6488121</vt:i4>
      </vt:variant>
      <vt:variant>
        <vt:i4>2421</vt:i4>
      </vt:variant>
      <vt:variant>
        <vt:i4>0</vt:i4>
      </vt:variant>
      <vt:variant>
        <vt:i4>5</vt:i4>
      </vt:variant>
      <vt:variant>
        <vt:lpwstr>http://www.supremecourt.ohio.gov/rod/docs/pdf/0/1998/1998-Ohio-445.pdf</vt:lpwstr>
      </vt:variant>
      <vt:variant>
        <vt:lpwstr/>
      </vt:variant>
      <vt:variant>
        <vt:i4>3145790</vt:i4>
      </vt:variant>
      <vt:variant>
        <vt:i4>2418</vt:i4>
      </vt:variant>
      <vt:variant>
        <vt:i4>0</vt:i4>
      </vt:variant>
      <vt:variant>
        <vt:i4>5</vt:i4>
      </vt:variant>
      <vt:variant>
        <vt:lpwstr>http://www.supremecourt.ohio.gov/rod/docs/pdf/9/2014/2014-Ohio-4749.pdf</vt:lpwstr>
      </vt:variant>
      <vt:variant>
        <vt:lpwstr/>
      </vt:variant>
      <vt:variant>
        <vt:i4>7143479</vt:i4>
      </vt:variant>
      <vt:variant>
        <vt:i4>2415</vt:i4>
      </vt:variant>
      <vt:variant>
        <vt:i4>0</vt:i4>
      </vt:variant>
      <vt:variant>
        <vt:i4>5</vt:i4>
      </vt:variant>
      <vt:variant>
        <vt:lpwstr>http://www.supremecourt.ohio.gov/rod/docs/pdf/1/2011/2011-Ohio-703.pdf</vt:lpwstr>
      </vt:variant>
      <vt:variant>
        <vt:lpwstr/>
      </vt:variant>
      <vt:variant>
        <vt:i4>7143479</vt:i4>
      </vt:variant>
      <vt:variant>
        <vt:i4>2412</vt:i4>
      </vt:variant>
      <vt:variant>
        <vt:i4>0</vt:i4>
      </vt:variant>
      <vt:variant>
        <vt:i4>5</vt:i4>
      </vt:variant>
      <vt:variant>
        <vt:lpwstr>http://www.supremecourt.ohio.gov/rod/docs/pdf/1/2011/2011-Ohio-703.pdf</vt:lpwstr>
      </vt:variant>
      <vt:variant>
        <vt:lpwstr/>
      </vt:variant>
      <vt:variant>
        <vt:i4>6094863</vt:i4>
      </vt:variant>
      <vt:variant>
        <vt:i4>2409</vt:i4>
      </vt:variant>
      <vt:variant>
        <vt:i4>0</vt:i4>
      </vt:variant>
      <vt:variant>
        <vt:i4>5</vt:i4>
      </vt:variant>
      <vt:variant>
        <vt:lpwstr>http://www.supremecourt.ohio.gov/rod/docs/pdf/12/2013/2013-Ohio-2396.pdf</vt:lpwstr>
      </vt:variant>
      <vt:variant>
        <vt:lpwstr/>
      </vt:variant>
      <vt:variant>
        <vt:i4>3407933</vt:i4>
      </vt:variant>
      <vt:variant>
        <vt:i4>2406</vt:i4>
      </vt:variant>
      <vt:variant>
        <vt:i4>0</vt:i4>
      </vt:variant>
      <vt:variant>
        <vt:i4>5</vt:i4>
      </vt:variant>
      <vt:variant>
        <vt:lpwstr>http://www.supremecourt.ohio.gov/rod/docs/pdf/4/2005/2005-Ohio-2868.pdf</vt:lpwstr>
      </vt:variant>
      <vt:variant>
        <vt:lpwstr/>
      </vt:variant>
      <vt:variant>
        <vt:i4>5242885</vt:i4>
      </vt:variant>
      <vt:variant>
        <vt:i4>2403</vt:i4>
      </vt:variant>
      <vt:variant>
        <vt:i4>0</vt:i4>
      </vt:variant>
      <vt:variant>
        <vt:i4>5</vt:i4>
      </vt:variant>
      <vt:variant>
        <vt:lpwstr>http://www.supremecourt.ohio.gov/rod/docs/pdf/11/2018/2018-Ohio-2888.pdf</vt:lpwstr>
      </vt:variant>
      <vt:variant>
        <vt:lpwstr/>
      </vt:variant>
      <vt:variant>
        <vt:i4>4325468</vt:i4>
      </vt:variant>
      <vt:variant>
        <vt:i4>2400</vt:i4>
      </vt:variant>
      <vt:variant>
        <vt:i4>0</vt:i4>
      </vt:variant>
      <vt:variant>
        <vt:i4>5</vt:i4>
      </vt:variant>
      <vt:variant>
        <vt:lpwstr>https://www.supremecourt.ohio.gov/rod/docs/pdf/0/2016/2016-Ohio-2770.pdf</vt:lpwstr>
      </vt:variant>
      <vt:variant>
        <vt:lpwstr/>
      </vt:variant>
      <vt:variant>
        <vt:i4>3407933</vt:i4>
      </vt:variant>
      <vt:variant>
        <vt:i4>2397</vt:i4>
      </vt:variant>
      <vt:variant>
        <vt:i4>0</vt:i4>
      </vt:variant>
      <vt:variant>
        <vt:i4>5</vt:i4>
      </vt:variant>
      <vt:variant>
        <vt:lpwstr>http://www.supremecourt.ohio.gov/rod/docs/pdf/4/2005/2005-Ohio-2868.pdf</vt:lpwstr>
      </vt:variant>
      <vt:variant>
        <vt:lpwstr/>
      </vt:variant>
      <vt:variant>
        <vt:i4>3407927</vt:i4>
      </vt:variant>
      <vt:variant>
        <vt:i4>2394</vt:i4>
      </vt:variant>
      <vt:variant>
        <vt:i4>0</vt:i4>
      </vt:variant>
      <vt:variant>
        <vt:i4>5</vt:i4>
      </vt:variant>
      <vt:variant>
        <vt:lpwstr>http://www.supremecourt.ohio.gov/rod/docs/pdf/9/2007/2007-Ohio-6207.pdf</vt:lpwstr>
      </vt:variant>
      <vt:variant>
        <vt:lpwstr/>
      </vt:variant>
      <vt:variant>
        <vt:i4>7143479</vt:i4>
      </vt:variant>
      <vt:variant>
        <vt:i4>2391</vt:i4>
      </vt:variant>
      <vt:variant>
        <vt:i4>0</vt:i4>
      </vt:variant>
      <vt:variant>
        <vt:i4>5</vt:i4>
      </vt:variant>
      <vt:variant>
        <vt:lpwstr>http://www.supremecourt.ohio.gov/rod/docs/pdf/1/2011/2011-Ohio-703.pdf</vt:lpwstr>
      </vt:variant>
      <vt:variant>
        <vt:lpwstr/>
      </vt:variant>
      <vt:variant>
        <vt:i4>7143479</vt:i4>
      </vt:variant>
      <vt:variant>
        <vt:i4>2388</vt:i4>
      </vt:variant>
      <vt:variant>
        <vt:i4>0</vt:i4>
      </vt:variant>
      <vt:variant>
        <vt:i4>5</vt:i4>
      </vt:variant>
      <vt:variant>
        <vt:lpwstr>http://www.supremecourt.ohio.gov/rod/docs/pdf/1/2011/2011-Ohio-703.pdf</vt:lpwstr>
      </vt:variant>
      <vt:variant>
        <vt:lpwstr/>
      </vt:variant>
      <vt:variant>
        <vt:i4>4325468</vt:i4>
      </vt:variant>
      <vt:variant>
        <vt:i4>2385</vt:i4>
      </vt:variant>
      <vt:variant>
        <vt:i4>0</vt:i4>
      </vt:variant>
      <vt:variant>
        <vt:i4>5</vt:i4>
      </vt:variant>
      <vt:variant>
        <vt:lpwstr>https://www.supremecourt.ohio.gov/rod/docs/pdf/0/2016/2016-Ohio-2770.pdf</vt:lpwstr>
      </vt:variant>
      <vt:variant>
        <vt:lpwstr/>
      </vt:variant>
      <vt:variant>
        <vt:i4>6029315</vt:i4>
      </vt:variant>
      <vt:variant>
        <vt:i4>2382</vt:i4>
      </vt:variant>
      <vt:variant>
        <vt:i4>0</vt:i4>
      </vt:variant>
      <vt:variant>
        <vt:i4>5</vt:i4>
      </vt:variant>
      <vt:variant>
        <vt:lpwstr>http://www.supremecourt.ohio.gov/rod/docs/pdf/10/2013/2013-Ohio-2751.pdf</vt:lpwstr>
      </vt:variant>
      <vt:variant>
        <vt:lpwstr/>
      </vt:variant>
      <vt:variant>
        <vt:i4>3342396</vt:i4>
      </vt:variant>
      <vt:variant>
        <vt:i4>2379</vt:i4>
      </vt:variant>
      <vt:variant>
        <vt:i4>0</vt:i4>
      </vt:variant>
      <vt:variant>
        <vt:i4>5</vt:i4>
      </vt:variant>
      <vt:variant>
        <vt:lpwstr>http://www.supremecourt.ohio.gov/rod/docs/pdf/0/2002/2002-Ohio-5311.pdf</vt:lpwstr>
      </vt:variant>
      <vt:variant>
        <vt:lpwstr/>
      </vt:variant>
      <vt:variant>
        <vt:i4>7143476</vt:i4>
      </vt:variant>
      <vt:variant>
        <vt:i4>2376</vt:i4>
      </vt:variant>
      <vt:variant>
        <vt:i4>0</vt:i4>
      </vt:variant>
      <vt:variant>
        <vt:i4>5</vt:i4>
      </vt:variant>
      <vt:variant>
        <vt:lpwstr>http://www.supremecourt.ohio.gov/rod/docs/pdf/0/1996/1996-Ohio-372.pdf</vt:lpwstr>
      </vt:variant>
      <vt:variant>
        <vt:lpwstr/>
      </vt:variant>
      <vt:variant>
        <vt:i4>7143476</vt:i4>
      </vt:variant>
      <vt:variant>
        <vt:i4>2373</vt:i4>
      </vt:variant>
      <vt:variant>
        <vt:i4>0</vt:i4>
      </vt:variant>
      <vt:variant>
        <vt:i4>5</vt:i4>
      </vt:variant>
      <vt:variant>
        <vt:lpwstr>http://www.supremecourt.ohio.gov/rod/docs/pdf/0/1996/1996-Ohio-372.pdf</vt:lpwstr>
      </vt:variant>
      <vt:variant>
        <vt:lpwstr/>
      </vt:variant>
      <vt:variant>
        <vt:i4>3866677</vt:i4>
      </vt:variant>
      <vt:variant>
        <vt:i4>2370</vt:i4>
      </vt:variant>
      <vt:variant>
        <vt:i4>0</vt:i4>
      </vt:variant>
      <vt:variant>
        <vt:i4>5</vt:i4>
      </vt:variant>
      <vt:variant>
        <vt:lpwstr>http://www.supremecourt.ohio.gov/rod/docs/pdf/1/2005/2005-Ohio-3489.pdf</vt:lpwstr>
      </vt:variant>
      <vt:variant>
        <vt:lpwstr/>
      </vt:variant>
      <vt:variant>
        <vt:i4>7143476</vt:i4>
      </vt:variant>
      <vt:variant>
        <vt:i4>2367</vt:i4>
      </vt:variant>
      <vt:variant>
        <vt:i4>0</vt:i4>
      </vt:variant>
      <vt:variant>
        <vt:i4>5</vt:i4>
      </vt:variant>
      <vt:variant>
        <vt:lpwstr>http://www.supremecourt.ohio.gov/rod/docs/pdf/0/1996/1996-Ohio-372.pdf</vt:lpwstr>
      </vt:variant>
      <vt:variant>
        <vt:lpwstr/>
      </vt:variant>
      <vt:variant>
        <vt:i4>3866677</vt:i4>
      </vt:variant>
      <vt:variant>
        <vt:i4>2364</vt:i4>
      </vt:variant>
      <vt:variant>
        <vt:i4>0</vt:i4>
      </vt:variant>
      <vt:variant>
        <vt:i4>5</vt:i4>
      </vt:variant>
      <vt:variant>
        <vt:lpwstr>http://www.supremecourt.ohio.gov/rod/docs/pdf/1/2005/2005-Ohio-3489.pdf</vt:lpwstr>
      </vt:variant>
      <vt:variant>
        <vt:lpwstr/>
      </vt:variant>
      <vt:variant>
        <vt:i4>6881332</vt:i4>
      </vt:variant>
      <vt:variant>
        <vt:i4>2361</vt:i4>
      </vt:variant>
      <vt:variant>
        <vt:i4>0</vt:i4>
      </vt:variant>
      <vt:variant>
        <vt:i4>5</vt:i4>
      </vt:variant>
      <vt:variant>
        <vt:lpwstr>http://www.supremecourt.ohio.gov/rod/docs/pdf/0/2001/2001-Ohio-130.pdf</vt:lpwstr>
      </vt:variant>
      <vt:variant>
        <vt:lpwstr/>
      </vt:variant>
      <vt:variant>
        <vt:i4>5439492</vt:i4>
      </vt:variant>
      <vt:variant>
        <vt:i4>2358</vt:i4>
      </vt:variant>
      <vt:variant>
        <vt:i4>0</vt:i4>
      </vt:variant>
      <vt:variant>
        <vt:i4>5</vt:i4>
      </vt:variant>
      <vt:variant>
        <vt:lpwstr>http://www.supremecourt.ohio.gov/rod/docs/pdf/12/2010/2010-Ohio-4078.pdf</vt:lpwstr>
      </vt:variant>
      <vt:variant>
        <vt:lpwstr/>
      </vt:variant>
      <vt:variant>
        <vt:i4>3407927</vt:i4>
      </vt:variant>
      <vt:variant>
        <vt:i4>2355</vt:i4>
      </vt:variant>
      <vt:variant>
        <vt:i4>0</vt:i4>
      </vt:variant>
      <vt:variant>
        <vt:i4>5</vt:i4>
      </vt:variant>
      <vt:variant>
        <vt:lpwstr>http://www.supremecourt.ohio.gov/rod/docs/pdf/9/2007/2007-Ohio-6207.pdf</vt:lpwstr>
      </vt:variant>
      <vt:variant>
        <vt:lpwstr/>
      </vt:variant>
      <vt:variant>
        <vt:i4>4325468</vt:i4>
      </vt:variant>
      <vt:variant>
        <vt:i4>2352</vt:i4>
      </vt:variant>
      <vt:variant>
        <vt:i4>0</vt:i4>
      </vt:variant>
      <vt:variant>
        <vt:i4>5</vt:i4>
      </vt:variant>
      <vt:variant>
        <vt:lpwstr>https://www.supremecourt.ohio.gov/rod/docs/pdf/0/2016/2016-Ohio-2770.pdf</vt:lpwstr>
      </vt:variant>
      <vt:variant>
        <vt:lpwstr/>
      </vt:variant>
      <vt:variant>
        <vt:i4>3866677</vt:i4>
      </vt:variant>
      <vt:variant>
        <vt:i4>2349</vt:i4>
      </vt:variant>
      <vt:variant>
        <vt:i4>0</vt:i4>
      </vt:variant>
      <vt:variant>
        <vt:i4>5</vt:i4>
      </vt:variant>
      <vt:variant>
        <vt:lpwstr>http://www.supremecourt.ohio.gov/rod/docs/pdf/1/2005/2005-Ohio-3489.pdf</vt:lpwstr>
      </vt:variant>
      <vt:variant>
        <vt:lpwstr/>
      </vt:variant>
      <vt:variant>
        <vt:i4>7143476</vt:i4>
      </vt:variant>
      <vt:variant>
        <vt:i4>2346</vt:i4>
      </vt:variant>
      <vt:variant>
        <vt:i4>0</vt:i4>
      </vt:variant>
      <vt:variant>
        <vt:i4>5</vt:i4>
      </vt:variant>
      <vt:variant>
        <vt:lpwstr>http://www.supremecourt.ohio.gov/rod/docs/pdf/0/1996/1996-Ohio-372.pdf</vt:lpwstr>
      </vt:variant>
      <vt:variant>
        <vt:lpwstr/>
      </vt:variant>
      <vt:variant>
        <vt:i4>6225930</vt:i4>
      </vt:variant>
      <vt:variant>
        <vt:i4>2343</vt:i4>
      </vt:variant>
      <vt:variant>
        <vt:i4>0</vt:i4>
      </vt:variant>
      <vt:variant>
        <vt:i4>5</vt:i4>
      </vt:variant>
      <vt:variant>
        <vt:lpwstr>http://www.supremecourt.ohio.gov/rod/docs/pdf/10/2001/2001-Ohio-8751.pdf</vt:lpwstr>
      </vt:variant>
      <vt:variant>
        <vt:lpwstr/>
      </vt:variant>
      <vt:variant>
        <vt:i4>6225930</vt:i4>
      </vt:variant>
      <vt:variant>
        <vt:i4>2340</vt:i4>
      </vt:variant>
      <vt:variant>
        <vt:i4>0</vt:i4>
      </vt:variant>
      <vt:variant>
        <vt:i4>5</vt:i4>
      </vt:variant>
      <vt:variant>
        <vt:lpwstr>http://www.supremecourt.ohio.gov/rod/docs/pdf/10/2001/2001-Ohio-8751.pdf</vt:lpwstr>
      </vt:variant>
      <vt:variant>
        <vt:lpwstr/>
      </vt:variant>
      <vt:variant>
        <vt:i4>6225930</vt:i4>
      </vt:variant>
      <vt:variant>
        <vt:i4>2337</vt:i4>
      </vt:variant>
      <vt:variant>
        <vt:i4>0</vt:i4>
      </vt:variant>
      <vt:variant>
        <vt:i4>5</vt:i4>
      </vt:variant>
      <vt:variant>
        <vt:lpwstr>http://www.supremecourt.ohio.gov/rod/docs/pdf/10/2001/2001-Ohio-8751.pdf</vt:lpwstr>
      </vt:variant>
      <vt:variant>
        <vt:lpwstr/>
      </vt:variant>
      <vt:variant>
        <vt:i4>6225930</vt:i4>
      </vt:variant>
      <vt:variant>
        <vt:i4>2334</vt:i4>
      </vt:variant>
      <vt:variant>
        <vt:i4>0</vt:i4>
      </vt:variant>
      <vt:variant>
        <vt:i4>5</vt:i4>
      </vt:variant>
      <vt:variant>
        <vt:lpwstr>http://www.supremecourt.ohio.gov/rod/docs/pdf/10/2001/2001-Ohio-8751.pdf</vt:lpwstr>
      </vt:variant>
      <vt:variant>
        <vt:lpwstr/>
      </vt:variant>
      <vt:variant>
        <vt:i4>6225930</vt:i4>
      </vt:variant>
      <vt:variant>
        <vt:i4>2331</vt:i4>
      </vt:variant>
      <vt:variant>
        <vt:i4>0</vt:i4>
      </vt:variant>
      <vt:variant>
        <vt:i4>5</vt:i4>
      </vt:variant>
      <vt:variant>
        <vt:lpwstr>http://www.supremecourt.ohio.gov/rod/docs/pdf/10/2001/2001-Ohio-8751.pdf</vt:lpwstr>
      </vt:variant>
      <vt:variant>
        <vt:lpwstr/>
      </vt:variant>
      <vt:variant>
        <vt:i4>6946868</vt:i4>
      </vt:variant>
      <vt:variant>
        <vt:i4>2328</vt:i4>
      </vt:variant>
      <vt:variant>
        <vt:i4>0</vt:i4>
      </vt:variant>
      <vt:variant>
        <vt:i4>5</vt:i4>
      </vt:variant>
      <vt:variant>
        <vt:lpwstr>http://www.supremecourt.ohio.gov/rod/docs/pdf/0/2011/2011-Ohio-625.pdf</vt:lpwstr>
      </vt:variant>
      <vt:variant>
        <vt:lpwstr/>
      </vt:variant>
      <vt:variant>
        <vt:i4>6225930</vt:i4>
      </vt:variant>
      <vt:variant>
        <vt:i4>2325</vt:i4>
      </vt:variant>
      <vt:variant>
        <vt:i4>0</vt:i4>
      </vt:variant>
      <vt:variant>
        <vt:i4>5</vt:i4>
      </vt:variant>
      <vt:variant>
        <vt:lpwstr>http://www.supremecourt.ohio.gov/rod/docs/pdf/10/2001/2001-Ohio-8751.pdf</vt:lpwstr>
      </vt:variant>
      <vt:variant>
        <vt:lpwstr/>
      </vt:variant>
      <vt:variant>
        <vt:i4>4128817</vt:i4>
      </vt:variant>
      <vt:variant>
        <vt:i4>2322</vt:i4>
      </vt:variant>
      <vt:variant>
        <vt:i4>0</vt:i4>
      </vt:variant>
      <vt:variant>
        <vt:i4>5</vt:i4>
      </vt:variant>
      <vt:variant>
        <vt:lpwstr>http://www.supremecourt.ohio.gov/rod/docs/pdf/5/2008/2008-Ohio-4060.pdf</vt:lpwstr>
      </vt:variant>
      <vt:variant>
        <vt:lpwstr/>
      </vt:variant>
      <vt:variant>
        <vt:i4>6881332</vt:i4>
      </vt:variant>
      <vt:variant>
        <vt:i4>2319</vt:i4>
      </vt:variant>
      <vt:variant>
        <vt:i4>0</vt:i4>
      </vt:variant>
      <vt:variant>
        <vt:i4>5</vt:i4>
      </vt:variant>
      <vt:variant>
        <vt:lpwstr>http://www.supremecourt.ohio.gov/rod/docs/pdf/0/2001/2001-Ohio-130.pdf</vt:lpwstr>
      </vt:variant>
      <vt:variant>
        <vt:lpwstr/>
      </vt:variant>
      <vt:variant>
        <vt:i4>6946868</vt:i4>
      </vt:variant>
      <vt:variant>
        <vt:i4>2316</vt:i4>
      </vt:variant>
      <vt:variant>
        <vt:i4>0</vt:i4>
      </vt:variant>
      <vt:variant>
        <vt:i4>5</vt:i4>
      </vt:variant>
      <vt:variant>
        <vt:lpwstr>http://www.supremecourt.ohio.gov/rod/docs/pdf/0/2011/2011-Ohio-625.pdf</vt:lpwstr>
      </vt:variant>
      <vt:variant>
        <vt:lpwstr/>
      </vt:variant>
      <vt:variant>
        <vt:i4>6946868</vt:i4>
      </vt:variant>
      <vt:variant>
        <vt:i4>2313</vt:i4>
      </vt:variant>
      <vt:variant>
        <vt:i4>0</vt:i4>
      </vt:variant>
      <vt:variant>
        <vt:i4>5</vt:i4>
      </vt:variant>
      <vt:variant>
        <vt:lpwstr>http://www.supremecourt.ohio.gov/rod/docs/pdf/0/2011/2011-Ohio-625.pdf</vt:lpwstr>
      </vt:variant>
      <vt:variant>
        <vt:lpwstr/>
      </vt:variant>
      <vt:variant>
        <vt:i4>3342397</vt:i4>
      </vt:variant>
      <vt:variant>
        <vt:i4>2310</vt:i4>
      </vt:variant>
      <vt:variant>
        <vt:i4>0</vt:i4>
      </vt:variant>
      <vt:variant>
        <vt:i4>5</vt:i4>
      </vt:variant>
      <vt:variant>
        <vt:lpwstr>http://www.supremecourt.ohio.gov/rod/docs/pdf/0/2006/2006-Ohio-1215.pdf</vt:lpwstr>
      </vt:variant>
      <vt:variant>
        <vt:lpwstr/>
      </vt:variant>
      <vt:variant>
        <vt:i4>3342397</vt:i4>
      </vt:variant>
      <vt:variant>
        <vt:i4>2307</vt:i4>
      </vt:variant>
      <vt:variant>
        <vt:i4>0</vt:i4>
      </vt:variant>
      <vt:variant>
        <vt:i4>5</vt:i4>
      </vt:variant>
      <vt:variant>
        <vt:lpwstr>http://www.supremecourt.ohio.gov/rod/docs/pdf/0/2006/2006-Ohio-1215.pdf</vt:lpwstr>
      </vt:variant>
      <vt:variant>
        <vt:lpwstr/>
      </vt:variant>
      <vt:variant>
        <vt:i4>5373966</vt:i4>
      </vt:variant>
      <vt:variant>
        <vt:i4>2304</vt:i4>
      </vt:variant>
      <vt:variant>
        <vt:i4>0</vt:i4>
      </vt:variant>
      <vt:variant>
        <vt:i4>5</vt:i4>
      </vt:variant>
      <vt:variant>
        <vt:lpwstr>http://www.supremecourt.ohio.gov/rod/docs/pdf/13/2018/2018-Ohio-5444.pdf</vt:lpwstr>
      </vt:variant>
      <vt:variant>
        <vt:lpwstr/>
      </vt:variant>
      <vt:variant>
        <vt:i4>4391000</vt:i4>
      </vt:variant>
      <vt:variant>
        <vt:i4>2301</vt:i4>
      </vt:variant>
      <vt:variant>
        <vt:i4>0</vt:i4>
      </vt:variant>
      <vt:variant>
        <vt:i4>5</vt:i4>
      </vt:variant>
      <vt:variant>
        <vt:lpwstr>https://www.supremecourt.ohio.gov/rod/docs/pdf/0/2006/2006-Ohio-1215.pdf</vt:lpwstr>
      </vt:variant>
      <vt:variant>
        <vt:lpwstr/>
      </vt:variant>
      <vt:variant>
        <vt:i4>7012406</vt:i4>
      </vt:variant>
      <vt:variant>
        <vt:i4>2298</vt:i4>
      </vt:variant>
      <vt:variant>
        <vt:i4>0</vt:i4>
      </vt:variant>
      <vt:variant>
        <vt:i4>5</vt:i4>
      </vt:variant>
      <vt:variant>
        <vt:lpwstr>http://www.supremecourt.ohio.gov/rod/docs/pdf/0/2006/2006-Ohio-662.pdf</vt:lpwstr>
      </vt:variant>
      <vt:variant>
        <vt:lpwstr/>
      </vt:variant>
      <vt:variant>
        <vt:i4>7012406</vt:i4>
      </vt:variant>
      <vt:variant>
        <vt:i4>2295</vt:i4>
      </vt:variant>
      <vt:variant>
        <vt:i4>0</vt:i4>
      </vt:variant>
      <vt:variant>
        <vt:i4>5</vt:i4>
      </vt:variant>
      <vt:variant>
        <vt:lpwstr>http://www.supremecourt.ohio.gov/rod/docs/pdf/0/2006/2006-Ohio-662.pdf</vt:lpwstr>
      </vt:variant>
      <vt:variant>
        <vt:lpwstr/>
      </vt:variant>
      <vt:variant>
        <vt:i4>3211320</vt:i4>
      </vt:variant>
      <vt:variant>
        <vt:i4>2292</vt:i4>
      </vt:variant>
      <vt:variant>
        <vt:i4>0</vt:i4>
      </vt:variant>
      <vt:variant>
        <vt:i4>5</vt:i4>
      </vt:variant>
      <vt:variant>
        <vt:lpwstr>http://www.supremecourt.ohio.gov/rod/docs/pdf/0/2002/2002-Ohio-7117.pdf</vt:lpwstr>
      </vt:variant>
      <vt:variant>
        <vt:lpwstr/>
      </vt:variant>
      <vt:variant>
        <vt:i4>3211320</vt:i4>
      </vt:variant>
      <vt:variant>
        <vt:i4>2289</vt:i4>
      </vt:variant>
      <vt:variant>
        <vt:i4>0</vt:i4>
      </vt:variant>
      <vt:variant>
        <vt:i4>5</vt:i4>
      </vt:variant>
      <vt:variant>
        <vt:lpwstr>http://www.supremecourt.ohio.gov/rod/docs/pdf/0/2002/2002-Ohio-7117.pdf</vt:lpwstr>
      </vt:variant>
      <vt:variant>
        <vt:lpwstr/>
      </vt:variant>
      <vt:variant>
        <vt:i4>7012406</vt:i4>
      </vt:variant>
      <vt:variant>
        <vt:i4>2286</vt:i4>
      </vt:variant>
      <vt:variant>
        <vt:i4>0</vt:i4>
      </vt:variant>
      <vt:variant>
        <vt:i4>5</vt:i4>
      </vt:variant>
      <vt:variant>
        <vt:lpwstr>http://www.supremecourt.ohio.gov/rod/docs/pdf/0/2006/2006-Ohio-662.pdf</vt:lpwstr>
      </vt:variant>
      <vt:variant>
        <vt:lpwstr/>
      </vt:variant>
      <vt:variant>
        <vt:i4>7274546</vt:i4>
      </vt:variant>
      <vt:variant>
        <vt:i4>2283</vt:i4>
      </vt:variant>
      <vt:variant>
        <vt:i4>0</vt:i4>
      </vt:variant>
      <vt:variant>
        <vt:i4>5</vt:i4>
      </vt:variant>
      <vt:variant>
        <vt:lpwstr>http://www.supremecourt.ohio.gov/rod/docs/pdf/0/2000/2000-Ohio-345.pdf</vt:lpwstr>
      </vt:variant>
      <vt:variant>
        <vt:lpwstr/>
      </vt:variant>
      <vt:variant>
        <vt:i4>3211320</vt:i4>
      </vt:variant>
      <vt:variant>
        <vt:i4>2280</vt:i4>
      </vt:variant>
      <vt:variant>
        <vt:i4>0</vt:i4>
      </vt:variant>
      <vt:variant>
        <vt:i4>5</vt:i4>
      </vt:variant>
      <vt:variant>
        <vt:lpwstr>http://www.supremecourt.ohio.gov/rod/docs/pdf/0/2002/2002-Ohio-7117.pdf</vt:lpwstr>
      </vt:variant>
      <vt:variant>
        <vt:lpwstr/>
      </vt:variant>
      <vt:variant>
        <vt:i4>3211320</vt:i4>
      </vt:variant>
      <vt:variant>
        <vt:i4>2277</vt:i4>
      </vt:variant>
      <vt:variant>
        <vt:i4>0</vt:i4>
      </vt:variant>
      <vt:variant>
        <vt:i4>5</vt:i4>
      </vt:variant>
      <vt:variant>
        <vt:lpwstr>http://www.supremecourt.ohio.gov/rod/docs/pdf/0/2002/2002-Ohio-7117.pdf</vt:lpwstr>
      </vt:variant>
      <vt:variant>
        <vt:lpwstr/>
      </vt:variant>
      <vt:variant>
        <vt:i4>3211320</vt:i4>
      </vt:variant>
      <vt:variant>
        <vt:i4>2274</vt:i4>
      </vt:variant>
      <vt:variant>
        <vt:i4>0</vt:i4>
      </vt:variant>
      <vt:variant>
        <vt:i4>5</vt:i4>
      </vt:variant>
      <vt:variant>
        <vt:lpwstr>http://www.supremecourt.ohio.gov/rod/docs/pdf/0/2002/2002-Ohio-7117.pdf</vt:lpwstr>
      </vt:variant>
      <vt:variant>
        <vt:lpwstr/>
      </vt:variant>
      <vt:variant>
        <vt:i4>3211320</vt:i4>
      </vt:variant>
      <vt:variant>
        <vt:i4>2271</vt:i4>
      </vt:variant>
      <vt:variant>
        <vt:i4>0</vt:i4>
      </vt:variant>
      <vt:variant>
        <vt:i4>5</vt:i4>
      </vt:variant>
      <vt:variant>
        <vt:lpwstr>http://www.supremecourt.ohio.gov/rod/docs/pdf/0/2002/2002-Ohio-7117.pdf</vt:lpwstr>
      </vt:variant>
      <vt:variant>
        <vt:lpwstr/>
      </vt:variant>
      <vt:variant>
        <vt:i4>6291509</vt:i4>
      </vt:variant>
      <vt:variant>
        <vt:i4>2268</vt:i4>
      </vt:variant>
      <vt:variant>
        <vt:i4>0</vt:i4>
      </vt:variant>
      <vt:variant>
        <vt:i4>5</vt:i4>
      </vt:variant>
      <vt:variant>
        <vt:lpwstr>http://www.supremecourt.ohio.gov/rod/docs/pdf/0/2015/2015-Ohio-974.pdf</vt:lpwstr>
      </vt:variant>
      <vt:variant>
        <vt:lpwstr/>
      </vt:variant>
      <vt:variant>
        <vt:i4>3604532</vt:i4>
      </vt:variant>
      <vt:variant>
        <vt:i4>2265</vt:i4>
      </vt:variant>
      <vt:variant>
        <vt:i4>0</vt:i4>
      </vt:variant>
      <vt:variant>
        <vt:i4>5</vt:i4>
      </vt:variant>
      <vt:variant>
        <vt:lpwstr>http://www.supremecourt.ohio.gov/rod/docs/pdf/0/2012/2012-Ohio-3328.pdf</vt:lpwstr>
      </vt:variant>
      <vt:variant>
        <vt:lpwstr/>
      </vt:variant>
      <vt:variant>
        <vt:i4>3342388</vt:i4>
      </vt:variant>
      <vt:variant>
        <vt:i4>2262</vt:i4>
      </vt:variant>
      <vt:variant>
        <vt:i4>0</vt:i4>
      </vt:variant>
      <vt:variant>
        <vt:i4>5</vt:i4>
      </vt:variant>
      <vt:variant>
        <vt:lpwstr>http://www.supremecourt.ohio.gov/rod/docs/pdf/1/2002/2002-Ohio-4803.pdf</vt:lpwstr>
      </vt:variant>
      <vt:variant>
        <vt:lpwstr/>
      </vt:variant>
      <vt:variant>
        <vt:i4>3342388</vt:i4>
      </vt:variant>
      <vt:variant>
        <vt:i4>2259</vt:i4>
      </vt:variant>
      <vt:variant>
        <vt:i4>0</vt:i4>
      </vt:variant>
      <vt:variant>
        <vt:i4>5</vt:i4>
      </vt:variant>
      <vt:variant>
        <vt:lpwstr>http://www.supremecourt.ohio.gov/rod/docs/pdf/1/2002/2002-Ohio-4803.pdf</vt:lpwstr>
      </vt:variant>
      <vt:variant>
        <vt:lpwstr/>
      </vt:variant>
      <vt:variant>
        <vt:i4>3342388</vt:i4>
      </vt:variant>
      <vt:variant>
        <vt:i4>2256</vt:i4>
      </vt:variant>
      <vt:variant>
        <vt:i4>0</vt:i4>
      </vt:variant>
      <vt:variant>
        <vt:i4>5</vt:i4>
      </vt:variant>
      <vt:variant>
        <vt:lpwstr>http://www.supremecourt.ohio.gov/rod/docs/pdf/1/2002/2002-Ohio-4803.pdf</vt:lpwstr>
      </vt:variant>
      <vt:variant>
        <vt:lpwstr/>
      </vt:variant>
      <vt:variant>
        <vt:i4>3670076</vt:i4>
      </vt:variant>
      <vt:variant>
        <vt:i4>2253</vt:i4>
      </vt:variant>
      <vt:variant>
        <vt:i4>0</vt:i4>
      </vt:variant>
      <vt:variant>
        <vt:i4>5</vt:i4>
      </vt:variant>
      <vt:variant>
        <vt:lpwstr>http://www.supremecourt.ohio.gov/rod/docs/pdf/0/2004/2004-Ohio-1581.pdf</vt:lpwstr>
      </vt:variant>
      <vt:variant>
        <vt:lpwstr/>
      </vt:variant>
      <vt:variant>
        <vt:i4>3670076</vt:i4>
      </vt:variant>
      <vt:variant>
        <vt:i4>2250</vt:i4>
      </vt:variant>
      <vt:variant>
        <vt:i4>0</vt:i4>
      </vt:variant>
      <vt:variant>
        <vt:i4>5</vt:i4>
      </vt:variant>
      <vt:variant>
        <vt:lpwstr>http://www.supremecourt.ohio.gov/rod/docs/pdf/0/2004/2004-Ohio-1581.pdf</vt:lpwstr>
      </vt:variant>
      <vt:variant>
        <vt:lpwstr/>
      </vt:variant>
      <vt:variant>
        <vt:i4>3670076</vt:i4>
      </vt:variant>
      <vt:variant>
        <vt:i4>2247</vt:i4>
      </vt:variant>
      <vt:variant>
        <vt:i4>0</vt:i4>
      </vt:variant>
      <vt:variant>
        <vt:i4>5</vt:i4>
      </vt:variant>
      <vt:variant>
        <vt:lpwstr>http://www.supremecourt.ohio.gov/rod/docs/pdf/0/2004/2004-Ohio-1581.pdf</vt:lpwstr>
      </vt:variant>
      <vt:variant>
        <vt:lpwstr/>
      </vt:variant>
      <vt:variant>
        <vt:i4>3211320</vt:i4>
      </vt:variant>
      <vt:variant>
        <vt:i4>2244</vt:i4>
      </vt:variant>
      <vt:variant>
        <vt:i4>0</vt:i4>
      </vt:variant>
      <vt:variant>
        <vt:i4>5</vt:i4>
      </vt:variant>
      <vt:variant>
        <vt:lpwstr>http://www.supremecourt.ohio.gov/rod/docs/pdf/0/2002/2002-Ohio-7117.pdf</vt:lpwstr>
      </vt:variant>
      <vt:variant>
        <vt:lpwstr/>
      </vt:variant>
      <vt:variant>
        <vt:i4>6488117</vt:i4>
      </vt:variant>
      <vt:variant>
        <vt:i4>2241</vt:i4>
      </vt:variant>
      <vt:variant>
        <vt:i4>0</vt:i4>
      </vt:variant>
      <vt:variant>
        <vt:i4>5</vt:i4>
      </vt:variant>
      <vt:variant>
        <vt:lpwstr>http://www.supremecourt.ohio.gov/rod/docs/pdf/0/1998/1998-Ohio-180.pdf</vt:lpwstr>
      </vt:variant>
      <vt:variant>
        <vt:lpwstr/>
      </vt:variant>
      <vt:variant>
        <vt:i4>7012406</vt:i4>
      </vt:variant>
      <vt:variant>
        <vt:i4>2238</vt:i4>
      </vt:variant>
      <vt:variant>
        <vt:i4>0</vt:i4>
      </vt:variant>
      <vt:variant>
        <vt:i4>5</vt:i4>
      </vt:variant>
      <vt:variant>
        <vt:lpwstr>http://www.supremecourt.ohio.gov/rod/docs/pdf/0/2006/2006-Ohio-662.pdf</vt:lpwstr>
      </vt:variant>
      <vt:variant>
        <vt:lpwstr/>
      </vt:variant>
      <vt:variant>
        <vt:i4>4718681</vt:i4>
      </vt:variant>
      <vt:variant>
        <vt:i4>2235</vt:i4>
      </vt:variant>
      <vt:variant>
        <vt:i4>0</vt:i4>
      </vt:variant>
      <vt:variant>
        <vt:i4>5</vt:i4>
      </vt:variant>
      <vt:variant>
        <vt:lpwstr>https://www.supremecourt.ohio.gov/rod/docs/pdf/8/2017/2017-Ohio-8490.pdf</vt:lpwstr>
      </vt:variant>
      <vt:variant>
        <vt:lpwstr/>
      </vt:variant>
      <vt:variant>
        <vt:i4>3211320</vt:i4>
      </vt:variant>
      <vt:variant>
        <vt:i4>2232</vt:i4>
      </vt:variant>
      <vt:variant>
        <vt:i4>0</vt:i4>
      </vt:variant>
      <vt:variant>
        <vt:i4>5</vt:i4>
      </vt:variant>
      <vt:variant>
        <vt:lpwstr>http://www.supremecourt.ohio.gov/rod/docs/pdf/0/2002/2002-Ohio-7117.pdf</vt:lpwstr>
      </vt:variant>
      <vt:variant>
        <vt:lpwstr/>
      </vt:variant>
      <vt:variant>
        <vt:i4>786441</vt:i4>
      </vt:variant>
      <vt:variant>
        <vt:i4>2229</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3538994</vt:i4>
      </vt:variant>
      <vt:variant>
        <vt:i4>2226</vt:i4>
      </vt:variant>
      <vt:variant>
        <vt:i4>0</vt:i4>
      </vt:variant>
      <vt:variant>
        <vt:i4>5</vt:i4>
      </vt:variant>
      <vt:variant>
        <vt:lpwstr>http://www.supremecourt.ohio.gov/rod/docs/pdf/1/2013/2013-Ohio-4459.pdf</vt:lpwstr>
      </vt:variant>
      <vt:variant>
        <vt:lpwstr/>
      </vt:variant>
      <vt:variant>
        <vt:i4>3604532</vt:i4>
      </vt:variant>
      <vt:variant>
        <vt:i4>2223</vt:i4>
      </vt:variant>
      <vt:variant>
        <vt:i4>0</vt:i4>
      </vt:variant>
      <vt:variant>
        <vt:i4>5</vt:i4>
      </vt:variant>
      <vt:variant>
        <vt:lpwstr>http://www.supremecourt.ohio.gov/rod/docs/pdf/0/2012/2012-Ohio-3328.pdf</vt:lpwstr>
      </vt:variant>
      <vt:variant>
        <vt:lpwstr/>
      </vt:variant>
      <vt:variant>
        <vt:i4>6881329</vt:i4>
      </vt:variant>
      <vt:variant>
        <vt:i4>2220</vt:i4>
      </vt:variant>
      <vt:variant>
        <vt:i4>0</vt:i4>
      </vt:variant>
      <vt:variant>
        <vt:i4>5</vt:i4>
      </vt:variant>
      <vt:variant>
        <vt:lpwstr>http://www.supremecourt.ohio.gov/rod/docs/pdf/0/2015/2015-Ohio-236.pdf</vt:lpwstr>
      </vt:variant>
      <vt:variant>
        <vt:lpwstr/>
      </vt:variant>
      <vt:variant>
        <vt:i4>6946865</vt:i4>
      </vt:variant>
      <vt:variant>
        <vt:i4>2217</vt:i4>
      </vt:variant>
      <vt:variant>
        <vt:i4>0</vt:i4>
      </vt:variant>
      <vt:variant>
        <vt:i4>5</vt:i4>
      </vt:variant>
      <vt:variant>
        <vt:lpwstr>http://www.supremecourt.ohio.gov/rod/docs/pdf/0/2015/2015-Ohio-235.pdf</vt:lpwstr>
      </vt:variant>
      <vt:variant>
        <vt:lpwstr/>
      </vt:variant>
      <vt:variant>
        <vt:i4>6946865</vt:i4>
      </vt:variant>
      <vt:variant>
        <vt:i4>2214</vt:i4>
      </vt:variant>
      <vt:variant>
        <vt:i4>0</vt:i4>
      </vt:variant>
      <vt:variant>
        <vt:i4>5</vt:i4>
      </vt:variant>
      <vt:variant>
        <vt:lpwstr>http://www.supremecourt.ohio.gov/rod/docs/pdf/0/2015/2015-Ohio-235.pdf</vt:lpwstr>
      </vt:variant>
      <vt:variant>
        <vt:lpwstr/>
      </vt:variant>
      <vt:variant>
        <vt:i4>6946865</vt:i4>
      </vt:variant>
      <vt:variant>
        <vt:i4>2211</vt:i4>
      </vt:variant>
      <vt:variant>
        <vt:i4>0</vt:i4>
      </vt:variant>
      <vt:variant>
        <vt:i4>5</vt:i4>
      </vt:variant>
      <vt:variant>
        <vt:lpwstr>http://www.supremecourt.ohio.gov/rod/docs/pdf/0/2015/2015-Ohio-235.pdf</vt:lpwstr>
      </vt:variant>
      <vt:variant>
        <vt:lpwstr/>
      </vt:variant>
      <vt:variant>
        <vt:i4>3211314</vt:i4>
      </vt:variant>
      <vt:variant>
        <vt:i4>2208</vt:i4>
      </vt:variant>
      <vt:variant>
        <vt:i4>0</vt:i4>
      </vt:variant>
      <vt:variant>
        <vt:i4>5</vt:i4>
      </vt:variant>
      <vt:variant>
        <vt:lpwstr>http://www.supremecourt.ohio.gov/rod/docs/pdf/0/2013/2013-Ohio-4529.pdf</vt:lpwstr>
      </vt:variant>
      <vt:variant>
        <vt:lpwstr/>
      </vt:variant>
      <vt:variant>
        <vt:i4>3145779</vt:i4>
      </vt:variant>
      <vt:variant>
        <vt:i4>2205</vt:i4>
      </vt:variant>
      <vt:variant>
        <vt:i4>0</vt:i4>
      </vt:variant>
      <vt:variant>
        <vt:i4>5</vt:i4>
      </vt:variant>
      <vt:variant>
        <vt:lpwstr>http://www.supremecourt.ohio.gov/rod/docs/pdf/0/2004/2004-Ohio-4952.pdf</vt:lpwstr>
      </vt:variant>
      <vt:variant>
        <vt:lpwstr/>
      </vt:variant>
      <vt:variant>
        <vt:i4>3932221</vt:i4>
      </vt:variant>
      <vt:variant>
        <vt:i4>2202</vt:i4>
      </vt:variant>
      <vt:variant>
        <vt:i4>0</vt:i4>
      </vt:variant>
      <vt:variant>
        <vt:i4>5</vt:i4>
      </vt:variant>
      <vt:variant>
        <vt:lpwstr>http://www.supremecourt.ohio.gov/rod/docs/pdf/0/2009/2009-Ohio-4149.pdf</vt:lpwstr>
      </vt:variant>
      <vt:variant>
        <vt:lpwstr/>
      </vt:variant>
      <vt:variant>
        <vt:i4>3604542</vt:i4>
      </vt:variant>
      <vt:variant>
        <vt:i4>2199</vt:i4>
      </vt:variant>
      <vt:variant>
        <vt:i4>0</vt:i4>
      </vt:variant>
      <vt:variant>
        <vt:i4>5</vt:i4>
      </vt:variant>
      <vt:variant>
        <vt:lpwstr>http://www.supremecourt.ohio.gov/rod/docs/pdf/0/2014/2014-Ohio-2354.pdf</vt:lpwstr>
      </vt:variant>
      <vt:variant>
        <vt:lpwstr/>
      </vt:variant>
      <vt:variant>
        <vt:i4>6422586</vt:i4>
      </vt:variant>
      <vt:variant>
        <vt:i4>2196</vt:i4>
      </vt:variant>
      <vt:variant>
        <vt:i4>0</vt:i4>
      </vt:variant>
      <vt:variant>
        <vt:i4>5</vt:i4>
      </vt:variant>
      <vt:variant>
        <vt:lpwstr>http://www.supremecourt.ohio.gov/rod/docs/pdf/1/2008/2008-Ohio-152.pdf</vt:lpwstr>
      </vt:variant>
      <vt:variant>
        <vt:lpwstr/>
      </vt:variant>
      <vt:variant>
        <vt:i4>3670076</vt:i4>
      </vt:variant>
      <vt:variant>
        <vt:i4>2193</vt:i4>
      </vt:variant>
      <vt:variant>
        <vt:i4>0</vt:i4>
      </vt:variant>
      <vt:variant>
        <vt:i4>5</vt:i4>
      </vt:variant>
      <vt:variant>
        <vt:lpwstr>http://www.supremecourt.ohio.gov/rod/docs/pdf/0/2004/2004-Ohio-1581.pdf</vt:lpwstr>
      </vt:variant>
      <vt:variant>
        <vt:lpwstr/>
      </vt:variant>
      <vt:variant>
        <vt:i4>3538994</vt:i4>
      </vt:variant>
      <vt:variant>
        <vt:i4>2190</vt:i4>
      </vt:variant>
      <vt:variant>
        <vt:i4>0</vt:i4>
      </vt:variant>
      <vt:variant>
        <vt:i4>5</vt:i4>
      </vt:variant>
      <vt:variant>
        <vt:lpwstr>http://www.supremecourt.ohio.gov/rod/docs/pdf/1/2013/2013-Ohio-4459.pdf</vt:lpwstr>
      </vt:variant>
      <vt:variant>
        <vt:lpwstr/>
      </vt:variant>
      <vt:variant>
        <vt:i4>131083</vt:i4>
      </vt:variant>
      <vt:variant>
        <vt:i4>2187</vt:i4>
      </vt:variant>
      <vt:variant>
        <vt:i4>0</vt:i4>
      </vt:variant>
      <vt:variant>
        <vt:i4>5</vt:i4>
      </vt:variant>
      <vt:variant>
        <vt:lpwstr>http://www.supremecourt.ohio.gov/rod/docs/pdf/0/1993/1993-Ohio-77.pdf</vt:lpwstr>
      </vt:variant>
      <vt:variant>
        <vt:lpwstr/>
      </vt:variant>
      <vt:variant>
        <vt:i4>131083</vt:i4>
      </vt:variant>
      <vt:variant>
        <vt:i4>2184</vt:i4>
      </vt:variant>
      <vt:variant>
        <vt:i4>0</vt:i4>
      </vt:variant>
      <vt:variant>
        <vt:i4>5</vt:i4>
      </vt:variant>
      <vt:variant>
        <vt:lpwstr>http://www.supremecourt.ohio.gov/rod/docs/pdf/0/1993/1993-Ohio-77.pdf</vt:lpwstr>
      </vt:variant>
      <vt:variant>
        <vt:lpwstr/>
      </vt:variant>
      <vt:variant>
        <vt:i4>3735610</vt:i4>
      </vt:variant>
      <vt:variant>
        <vt:i4>2181</vt:i4>
      </vt:variant>
      <vt:variant>
        <vt:i4>0</vt:i4>
      </vt:variant>
      <vt:variant>
        <vt:i4>5</vt:i4>
      </vt:variant>
      <vt:variant>
        <vt:lpwstr>http://www.supremecourt.ohio.gov/rod/docs/pdf/0/2018/2018-Ohio-4718.pdf</vt:lpwstr>
      </vt:variant>
      <vt:variant>
        <vt:lpwstr/>
      </vt:variant>
      <vt:variant>
        <vt:i4>7143479</vt:i4>
      </vt:variant>
      <vt:variant>
        <vt:i4>2178</vt:i4>
      </vt:variant>
      <vt:variant>
        <vt:i4>0</vt:i4>
      </vt:variant>
      <vt:variant>
        <vt:i4>5</vt:i4>
      </vt:variant>
      <vt:variant>
        <vt:lpwstr>http://www.supremecourt.ohio.gov/rod/docs/pdf/0/2014/2014-Ohio-243.pdf</vt:lpwstr>
      </vt:variant>
      <vt:variant>
        <vt:lpwstr/>
      </vt:variant>
      <vt:variant>
        <vt:i4>3145788</vt:i4>
      </vt:variant>
      <vt:variant>
        <vt:i4>2175</vt:i4>
      </vt:variant>
      <vt:variant>
        <vt:i4>0</vt:i4>
      </vt:variant>
      <vt:variant>
        <vt:i4>5</vt:i4>
      </vt:variant>
      <vt:variant>
        <vt:lpwstr>http://www.supremecourt.ohio.gov/rod/docs/pdf/0/2011/2011-Ohio-2878.pdf</vt:lpwstr>
      </vt:variant>
      <vt:variant>
        <vt:lpwstr/>
      </vt:variant>
      <vt:variant>
        <vt:i4>3604532</vt:i4>
      </vt:variant>
      <vt:variant>
        <vt:i4>2172</vt:i4>
      </vt:variant>
      <vt:variant>
        <vt:i4>0</vt:i4>
      </vt:variant>
      <vt:variant>
        <vt:i4>5</vt:i4>
      </vt:variant>
      <vt:variant>
        <vt:lpwstr>http://www.supremecourt.ohio.gov/rod/docs/pdf/0/2012/2012-Ohio-3328.pdf</vt:lpwstr>
      </vt:variant>
      <vt:variant>
        <vt:lpwstr/>
      </vt:variant>
      <vt:variant>
        <vt:i4>3670076</vt:i4>
      </vt:variant>
      <vt:variant>
        <vt:i4>2169</vt:i4>
      </vt:variant>
      <vt:variant>
        <vt:i4>0</vt:i4>
      </vt:variant>
      <vt:variant>
        <vt:i4>5</vt:i4>
      </vt:variant>
      <vt:variant>
        <vt:lpwstr>http://www.supremecourt.ohio.gov/rod/docs/pdf/0/2004/2004-Ohio-1581.pdf</vt:lpwstr>
      </vt:variant>
      <vt:variant>
        <vt:lpwstr/>
      </vt:variant>
      <vt:variant>
        <vt:i4>6291509</vt:i4>
      </vt:variant>
      <vt:variant>
        <vt:i4>2166</vt:i4>
      </vt:variant>
      <vt:variant>
        <vt:i4>0</vt:i4>
      </vt:variant>
      <vt:variant>
        <vt:i4>5</vt:i4>
      </vt:variant>
      <vt:variant>
        <vt:lpwstr>http://www.supremecourt.ohio.gov/rod/docs/pdf/8/2009/2009-Ohio-727.pdf</vt:lpwstr>
      </vt:variant>
      <vt:variant>
        <vt:lpwstr/>
      </vt:variant>
      <vt:variant>
        <vt:i4>5308422</vt:i4>
      </vt:variant>
      <vt:variant>
        <vt:i4>2163</vt:i4>
      </vt:variant>
      <vt:variant>
        <vt:i4>0</vt:i4>
      </vt:variant>
      <vt:variant>
        <vt:i4>5</vt:i4>
      </vt:variant>
      <vt:variant>
        <vt:lpwstr>http://www.supremecourt.ohio.gov/rod/docs/pdf/0/2000/2000-Ohio-8.pdf</vt:lpwstr>
      </vt:variant>
      <vt:variant>
        <vt:lpwstr/>
      </vt:variant>
      <vt:variant>
        <vt:i4>7012408</vt:i4>
      </vt:variant>
      <vt:variant>
        <vt:i4>2160</vt:i4>
      </vt:variant>
      <vt:variant>
        <vt:i4>0</vt:i4>
      </vt:variant>
      <vt:variant>
        <vt:i4>5</vt:i4>
      </vt:variant>
      <vt:variant>
        <vt:lpwstr>http://www.supremecourt.ohio.gov/rod/docs/pdf/2/2004/2004-Ohio-781.pdf</vt:lpwstr>
      </vt:variant>
      <vt:variant>
        <vt:lpwstr/>
      </vt:variant>
      <vt:variant>
        <vt:i4>5767169</vt:i4>
      </vt:variant>
      <vt:variant>
        <vt:i4>2157</vt:i4>
      </vt:variant>
      <vt:variant>
        <vt:i4>0</vt:i4>
      </vt:variant>
      <vt:variant>
        <vt:i4>5</vt:i4>
      </vt:variant>
      <vt:variant>
        <vt:lpwstr>http://www.supremecourt.ohio.gov/rod/docs/pdf/0/1994/1994-Ohio-6.pdf</vt:lpwstr>
      </vt:variant>
      <vt:variant>
        <vt:lpwstr/>
      </vt:variant>
      <vt:variant>
        <vt:i4>6750262</vt:i4>
      </vt:variant>
      <vt:variant>
        <vt:i4>2154</vt:i4>
      </vt:variant>
      <vt:variant>
        <vt:i4>0</vt:i4>
      </vt:variant>
      <vt:variant>
        <vt:i4>5</vt:i4>
      </vt:variant>
      <vt:variant>
        <vt:lpwstr>http://www.supremecourt.ohio.gov/rod/docs/pdf/0/1997/1997-Ohio-349.pdf</vt:lpwstr>
      </vt:variant>
      <vt:variant>
        <vt:lpwstr/>
      </vt:variant>
      <vt:variant>
        <vt:i4>3670065</vt:i4>
      </vt:variant>
      <vt:variant>
        <vt:i4>2151</vt:i4>
      </vt:variant>
      <vt:variant>
        <vt:i4>0</vt:i4>
      </vt:variant>
      <vt:variant>
        <vt:i4>5</vt:i4>
      </vt:variant>
      <vt:variant>
        <vt:lpwstr>http://www.supremecourt.ohio.gov/rod/docs/pdf/0/2010/2010-Ohio-5995.pdf</vt:lpwstr>
      </vt:variant>
      <vt:variant>
        <vt:lpwstr/>
      </vt:variant>
      <vt:variant>
        <vt:i4>6619188</vt:i4>
      </vt:variant>
      <vt:variant>
        <vt:i4>2148</vt:i4>
      </vt:variant>
      <vt:variant>
        <vt:i4>0</vt:i4>
      </vt:variant>
      <vt:variant>
        <vt:i4>5</vt:i4>
      </vt:variant>
      <vt:variant>
        <vt:lpwstr>http://www.supremecourt.ohio.gov/rod/docs/pdf/0/1995/1995-Ohio-248.pdf</vt:lpwstr>
      </vt:variant>
      <vt:variant>
        <vt:lpwstr/>
      </vt:variant>
      <vt:variant>
        <vt:i4>6619188</vt:i4>
      </vt:variant>
      <vt:variant>
        <vt:i4>2145</vt:i4>
      </vt:variant>
      <vt:variant>
        <vt:i4>0</vt:i4>
      </vt:variant>
      <vt:variant>
        <vt:i4>5</vt:i4>
      </vt:variant>
      <vt:variant>
        <vt:lpwstr>http://www.supremecourt.ohio.gov/rod/docs/pdf/0/1995/1995-Ohio-248.pdf</vt:lpwstr>
      </vt:variant>
      <vt:variant>
        <vt:lpwstr/>
      </vt:variant>
      <vt:variant>
        <vt:i4>3604540</vt:i4>
      </vt:variant>
      <vt:variant>
        <vt:i4>2142</vt:i4>
      </vt:variant>
      <vt:variant>
        <vt:i4>0</vt:i4>
      </vt:variant>
      <vt:variant>
        <vt:i4>5</vt:i4>
      </vt:variant>
      <vt:variant>
        <vt:lpwstr>http://www.supremecourt.ohio.gov/rod/docs/pdf/4/2015/2015-Ohio-5333.pdf</vt:lpwstr>
      </vt:variant>
      <vt:variant>
        <vt:lpwstr/>
      </vt:variant>
      <vt:variant>
        <vt:i4>3473456</vt:i4>
      </vt:variant>
      <vt:variant>
        <vt:i4>2139</vt:i4>
      </vt:variant>
      <vt:variant>
        <vt:i4>0</vt:i4>
      </vt:variant>
      <vt:variant>
        <vt:i4>5</vt:i4>
      </vt:variant>
      <vt:variant>
        <vt:lpwstr>http://www.supremecourt.ohio.gov/rod/docs/pdf/4/2001/2001-Ohio-4059.pdf</vt:lpwstr>
      </vt:variant>
      <vt:variant>
        <vt:lpwstr/>
      </vt:variant>
      <vt:variant>
        <vt:i4>7209015</vt:i4>
      </vt:variant>
      <vt:variant>
        <vt:i4>2136</vt:i4>
      </vt:variant>
      <vt:variant>
        <vt:i4>0</vt:i4>
      </vt:variant>
      <vt:variant>
        <vt:i4>5</vt:i4>
      </vt:variant>
      <vt:variant>
        <vt:lpwstr>http://www.supremecourt.ohio.gov/rod/docs/pdf/6/2007/2007-Ohio-101.pdf</vt:lpwstr>
      </vt:variant>
      <vt:variant>
        <vt:lpwstr/>
      </vt:variant>
      <vt:variant>
        <vt:i4>6619188</vt:i4>
      </vt:variant>
      <vt:variant>
        <vt:i4>2133</vt:i4>
      </vt:variant>
      <vt:variant>
        <vt:i4>0</vt:i4>
      </vt:variant>
      <vt:variant>
        <vt:i4>5</vt:i4>
      </vt:variant>
      <vt:variant>
        <vt:lpwstr>http://www.supremecourt.ohio.gov/rod/docs/pdf/0/1995/1995-Ohio-248.pdf</vt:lpwstr>
      </vt:variant>
      <vt:variant>
        <vt:lpwstr/>
      </vt:variant>
      <vt:variant>
        <vt:i4>6750268</vt:i4>
      </vt:variant>
      <vt:variant>
        <vt:i4>2130</vt:i4>
      </vt:variant>
      <vt:variant>
        <vt:i4>0</vt:i4>
      </vt:variant>
      <vt:variant>
        <vt:i4>5</vt:i4>
      </vt:variant>
      <vt:variant>
        <vt:lpwstr>http://www.supremecourt.ohio.gov/rod/docs/pdf/0/1998/1998-Ohio-411.pdf</vt:lpwstr>
      </vt:variant>
      <vt:variant>
        <vt:lpwstr/>
      </vt:variant>
      <vt:variant>
        <vt:i4>3342396</vt:i4>
      </vt:variant>
      <vt:variant>
        <vt:i4>2127</vt:i4>
      </vt:variant>
      <vt:variant>
        <vt:i4>0</vt:i4>
      </vt:variant>
      <vt:variant>
        <vt:i4>5</vt:i4>
      </vt:variant>
      <vt:variant>
        <vt:lpwstr>http://www.supremecourt.ohio.gov/rod/docs/pdf/0/2006/2006-Ohio-6365.pdf</vt:lpwstr>
      </vt:variant>
      <vt:variant>
        <vt:lpwstr/>
      </vt:variant>
      <vt:variant>
        <vt:i4>5242895</vt:i4>
      </vt:variant>
      <vt:variant>
        <vt:i4>2124</vt:i4>
      </vt:variant>
      <vt:variant>
        <vt:i4>0</vt:i4>
      </vt:variant>
      <vt:variant>
        <vt:i4>5</vt:i4>
      </vt:variant>
      <vt:variant>
        <vt:lpwstr>http://www.supremecourt.ohio.gov/rod/docs/pdf/11/2008/2008-Ohio-6776.pdf</vt:lpwstr>
      </vt:variant>
      <vt:variant>
        <vt:lpwstr/>
      </vt:variant>
      <vt:variant>
        <vt:i4>6619188</vt:i4>
      </vt:variant>
      <vt:variant>
        <vt:i4>2121</vt:i4>
      </vt:variant>
      <vt:variant>
        <vt:i4>0</vt:i4>
      </vt:variant>
      <vt:variant>
        <vt:i4>5</vt:i4>
      </vt:variant>
      <vt:variant>
        <vt:lpwstr>http://www.supremecourt.ohio.gov/rod/docs/pdf/0/1995/1995-Ohio-248.pdf</vt:lpwstr>
      </vt:variant>
      <vt:variant>
        <vt:lpwstr/>
      </vt:variant>
      <vt:variant>
        <vt:i4>7274551</vt:i4>
      </vt:variant>
      <vt:variant>
        <vt:i4>2118</vt:i4>
      </vt:variant>
      <vt:variant>
        <vt:i4>0</vt:i4>
      </vt:variant>
      <vt:variant>
        <vt:i4>5</vt:i4>
      </vt:variant>
      <vt:variant>
        <vt:lpwstr>http://www.supremecourt.ohio.gov/rod/docs/pdf/0/2000/2000-Ohio-214.pdf</vt:lpwstr>
      </vt:variant>
      <vt:variant>
        <vt:lpwstr/>
      </vt:variant>
      <vt:variant>
        <vt:i4>3276861</vt:i4>
      </vt:variant>
      <vt:variant>
        <vt:i4>2115</vt:i4>
      </vt:variant>
      <vt:variant>
        <vt:i4>0</vt:i4>
      </vt:variant>
      <vt:variant>
        <vt:i4>5</vt:i4>
      </vt:variant>
      <vt:variant>
        <vt:lpwstr>http://www.supremecourt.ohio.gov/rod/docs/pdf/0/2003/2003-Ohio-2260.pdf</vt:lpwstr>
      </vt:variant>
      <vt:variant>
        <vt:lpwstr/>
      </vt:variant>
      <vt:variant>
        <vt:i4>6881330</vt:i4>
      </vt:variant>
      <vt:variant>
        <vt:i4>2112</vt:i4>
      </vt:variant>
      <vt:variant>
        <vt:i4>0</vt:i4>
      </vt:variant>
      <vt:variant>
        <vt:i4>5</vt:i4>
      </vt:variant>
      <vt:variant>
        <vt:lpwstr>http://www.supremecourt.ohio.gov/rod/docs/pdf/0/1997/1997-Ohio-206.pdf</vt:lpwstr>
      </vt:variant>
      <vt:variant>
        <vt:lpwstr/>
      </vt:variant>
      <vt:variant>
        <vt:i4>6881330</vt:i4>
      </vt:variant>
      <vt:variant>
        <vt:i4>2109</vt:i4>
      </vt:variant>
      <vt:variant>
        <vt:i4>0</vt:i4>
      </vt:variant>
      <vt:variant>
        <vt:i4>5</vt:i4>
      </vt:variant>
      <vt:variant>
        <vt:lpwstr>http://www.supremecourt.ohio.gov/rod/docs/pdf/0/1997/1997-Ohio-206.pdf</vt:lpwstr>
      </vt:variant>
      <vt:variant>
        <vt:lpwstr/>
      </vt:variant>
      <vt:variant>
        <vt:i4>3342396</vt:i4>
      </vt:variant>
      <vt:variant>
        <vt:i4>2106</vt:i4>
      </vt:variant>
      <vt:variant>
        <vt:i4>0</vt:i4>
      </vt:variant>
      <vt:variant>
        <vt:i4>5</vt:i4>
      </vt:variant>
      <vt:variant>
        <vt:lpwstr>http://www.supremecourt.ohio.gov/rod/docs/pdf/0/2002/2002-Ohio-5311.pdf</vt:lpwstr>
      </vt:variant>
      <vt:variant>
        <vt:lpwstr/>
      </vt:variant>
      <vt:variant>
        <vt:i4>3342396</vt:i4>
      </vt:variant>
      <vt:variant>
        <vt:i4>2103</vt:i4>
      </vt:variant>
      <vt:variant>
        <vt:i4>0</vt:i4>
      </vt:variant>
      <vt:variant>
        <vt:i4>5</vt:i4>
      </vt:variant>
      <vt:variant>
        <vt:lpwstr>http://www.supremecourt.ohio.gov/rod/docs/pdf/0/2002/2002-Ohio-5311.pdf</vt:lpwstr>
      </vt:variant>
      <vt:variant>
        <vt:lpwstr/>
      </vt:variant>
      <vt:variant>
        <vt:i4>3342396</vt:i4>
      </vt:variant>
      <vt:variant>
        <vt:i4>2100</vt:i4>
      </vt:variant>
      <vt:variant>
        <vt:i4>0</vt:i4>
      </vt:variant>
      <vt:variant>
        <vt:i4>5</vt:i4>
      </vt:variant>
      <vt:variant>
        <vt:lpwstr>http://www.supremecourt.ohio.gov/rod/docs/pdf/0/2002/2002-Ohio-5311.pdf</vt:lpwstr>
      </vt:variant>
      <vt:variant>
        <vt:lpwstr/>
      </vt:variant>
      <vt:variant>
        <vt:i4>6881330</vt:i4>
      </vt:variant>
      <vt:variant>
        <vt:i4>2097</vt:i4>
      </vt:variant>
      <vt:variant>
        <vt:i4>0</vt:i4>
      </vt:variant>
      <vt:variant>
        <vt:i4>5</vt:i4>
      </vt:variant>
      <vt:variant>
        <vt:lpwstr>http://www.supremecourt.ohio.gov/rod/docs/pdf/0/1997/1997-Ohio-206.pdf</vt:lpwstr>
      </vt:variant>
      <vt:variant>
        <vt:lpwstr/>
      </vt:variant>
      <vt:variant>
        <vt:i4>3342396</vt:i4>
      </vt:variant>
      <vt:variant>
        <vt:i4>2094</vt:i4>
      </vt:variant>
      <vt:variant>
        <vt:i4>0</vt:i4>
      </vt:variant>
      <vt:variant>
        <vt:i4>5</vt:i4>
      </vt:variant>
      <vt:variant>
        <vt:lpwstr>http://www.supremecourt.ohio.gov/rod/docs/pdf/0/2002/2002-Ohio-5311.pdf</vt:lpwstr>
      </vt:variant>
      <vt:variant>
        <vt:lpwstr/>
      </vt:variant>
      <vt:variant>
        <vt:i4>3145779</vt:i4>
      </vt:variant>
      <vt:variant>
        <vt:i4>2091</vt:i4>
      </vt:variant>
      <vt:variant>
        <vt:i4>0</vt:i4>
      </vt:variant>
      <vt:variant>
        <vt:i4>5</vt:i4>
      </vt:variant>
      <vt:variant>
        <vt:lpwstr>http://www.supremecourt.ohio.gov/rod/docs/pdf/0/2014/2014-Ohio-2329.pdf</vt:lpwstr>
      </vt:variant>
      <vt:variant>
        <vt:lpwstr/>
      </vt:variant>
      <vt:variant>
        <vt:i4>3932222</vt:i4>
      </vt:variant>
      <vt:variant>
        <vt:i4>2088</vt:i4>
      </vt:variant>
      <vt:variant>
        <vt:i4>0</vt:i4>
      </vt:variant>
      <vt:variant>
        <vt:i4>5</vt:i4>
      </vt:variant>
      <vt:variant>
        <vt:lpwstr>http://www.supremecourt.ohio.gov/rod/docs/pdf/0/2005/2005-Ohio-4384.pdf</vt:lpwstr>
      </vt:variant>
      <vt:variant>
        <vt:lpwstr/>
      </vt:variant>
      <vt:variant>
        <vt:i4>6291518</vt:i4>
      </vt:variant>
      <vt:variant>
        <vt:i4>2085</vt:i4>
      </vt:variant>
      <vt:variant>
        <vt:i4>0</vt:i4>
      </vt:variant>
      <vt:variant>
        <vt:i4>5</vt:i4>
      </vt:variant>
      <vt:variant>
        <vt:lpwstr>http://www.supremecourt.ohio.gov/rod/docs/pdf/0/1993/1993-Ohio-188.pdf</vt:lpwstr>
      </vt:variant>
      <vt:variant>
        <vt:lpwstr/>
      </vt:variant>
      <vt:variant>
        <vt:i4>7274546</vt:i4>
      </vt:variant>
      <vt:variant>
        <vt:i4>2082</vt:i4>
      </vt:variant>
      <vt:variant>
        <vt:i4>0</vt:i4>
      </vt:variant>
      <vt:variant>
        <vt:i4>5</vt:i4>
      </vt:variant>
      <vt:variant>
        <vt:lpwstr>http://www.supremecourt.ohio.gov/rod/docs/pdf/0/2000/2000-Ohio-345.pdf</vt:lpwstr>
      </vt:variant>
      <vt:variant>
        <vt:lpwstr/>
      </vt:variant>
      <vt:variant>
        <vt:i4>3735600</vt:i4>
      </vt:variant>
      <vt:variant>
        <vt:i4>2079</vt:i4>
      </vt:variant>
      <vt:variant>
        <vt:i4>0</vt:i4>
      </vt:variant>
      <vt:variant>
        <vt:i4>5</vt:i4>
      </vt:variant>
      <vt:variant>
        <vt:lpwstr>http://www.supremecourt.ohio.gov/rod/docs/pdf/5/2008/2008-Ohio-5011.pdf</vt:lpwstr>
      </vt:variant>
      <vt:variant>
        <vt:lpwstr/>
      </vt:variant>
      <vt:variant>
        <vt:i4>3342396</vt:i4>
      </vt:variant>
      <vt:variant>
        <vt:i4>2076</vt:i4>
      </vt:variant>
      <vt:variant>
        <vt:i4>0</vt:i4>
      </vt:variant>
      <vt:variant>
        <vt:i4>5</vt:i4>
      </vt:variant>
      <vt:variant>
        <vt:lpwstr>http://www.supremecourt.ohio.gov/rod/docs/pdf/0/2006/2006-Ohio-6365.pdf</vt:lpwstr>
      </vt:variant>
      <vt:variant>
        <vt:lpwstr/>
      </vt:variant>
      <vt:variant>
        <vt:i4>7274551</vt:i4>
      </vt:variant>
      <vt:variant>
        <vt:i4>2073</vt:i4>
      </vt:variant>
      <vt:variant>
        <vt:i4>0</vt:i4>
      </vt:variant>
      <vt:variant>
        <vt:i4>5</vt:i4>
      </vt:variant>
      <vt:variant>
        <vt:lpwstr>http://www.supremecourt.ohio.gov/rod/docs/pdf/0/2000/2000-Ohio-214.pdf</vt:lpwstr>
      </vt:variant>
      <vt:variant>
        <vt:lpwstr/>
      </vt:variant>
      <vt:variant>
        <vt:i4>6619188</vt:i4>
      </vt:variant>
      <vt:variant>
        <vt:i4>2070</vt:i4>
      </vt:variant>
      <vt:variant>
        <vt:i4>0</vt:i4>
      </vt:variant>
      <vt:variant>
        <vt:i4>5</vt:i4>
      </vt:variant>
      <vt:variant>
        <vt:lpwstr>http://www.supremecourt.ohio.gov/rod/docs/pdf/0/1995/1995-Ohio-248.pdf</vt:lpwstr>
      </vt:variant>
      <vt:variant>
        <vt:lpwstr/>
      </vt:variant>
      <vt:variant>
        <vt:i4>7274555</vt:i4>
      </vt:variant>
      <vt:variant>
        <vt:i4>2067</vt:i4>
      </vt:variant>
      <vt:variant>
        <vt:i4>0</vt:i4>
      </vt:variant>
      <vt:variant>
        <vt:i4>5</vt:i4>
      </vt:variant>
      <vt:variant>
        <vt:lpwstr>http://www.supremecourt.ohio.gov/rod/docs/pdf/0/2005/2005-Ohio-685.pdf</vt:lpwstr>
      </vt:variant>
      <vt:variant>
        <vt:lpwstr/>
      </vt:variant>
      <vt:variant>
        <vt:i4>6946866</vt:i4>
      </vt:variant>
      <vt:variant>
        <vt:i4>2064</vt:i4>
      </vt:variant>
      <vt:variant>
        <vt:i4>0</vt:i4>
      </vt:variant>
      <vt:variant>
        <vt:i4>5</vt:i4>
      </vt:variant>
      <vt:variant>
        <vt:lpwstr>http://www.supremecourt.ohio.gov/rod/docs/pdf/0/1996/1996-Ohio-214.pdf</vt:lpwstr>
      </vt:variant>
      <vt:variant>
        <vt:lpwstr/>
      </vt:variant>
      <vt:variant>
        <vt:i4>6291509</vt:i4>
      </vt:variant>
      <vt:variant>
        <vt:i4>2061</vt:i4>
      </vt:variant>
      <vt:variant>
        <vt:i4>0</vt:i4>
      </vt:variant>
      <vt:variant>
        <vt:i4>5</vt:i4>
      </vt:variant>
      <vt:variant>
        <vt:lpwstr>http://www.supremecourt.ohio.gov/rod/docs/pdf/0/2015/2015-Ohio-974.pdf</vt:lpwstr>
      </vt:variant>
      <vt:variant>
        <vt:lpwstr/>
      </vt:variant>
      <vt:variant>
        <vt:i4>7274555</vt:i4>
      </vt:variant>
      <vt:variant>
        <vt:i4>2058</vt:i4>
      </vt:variant>
      <vt:variant>
        <vt:i4>0</vt:i4>
      </vt:variant>
      <vt:variant>
        <vt:i4>5</vt:i4>
      </vt:variant>
      <vt:variant>
        <vt:lpwstr>http://www.supremecourt.ohio.gov/rod/docs/pdf/0/2005/2005-Ohio-685.pdf</vt:lpwstr>
      </vt:variant>
      <vt:variant>
        <vt:lpwstr/>
      </vt:variant>
      <vt:variant>
        <vt:i4>3276858</vt:i4>
      </vt:variant>
      <vt:variant>
        <vt:i4>2055</vt:i4>
      </vt:variant>
      <vt:variant>
        <vt:i4>0</vt:i4>
      </vt:variant>
      <vt:variant>
        <vt:i4>5</vt:i4>
      </vt:variant>
      <vt:variant>
        <vt:lpwstr>http://www.supremecourt.ohio.gov/rod/docs/pdf/0/2004/2004-Ohio-6557.pdf</vt:lpwstr>
      </vt:variant>
      <vt:variant>
        <vt:lpwstr/>
      </vt:variant>
      <vt:variant>
        <vt:i4>3276858</vt:i4>
      </vt:variant>
      <vt:variant>
        <vt:i4>2052</vt:i4>
      </vt:variant>
      <vt:variant>
        <vt:i4>0</vt:i4>
      </vt:variant>
      <vt:variant>
        <vt:i4>5</vt:i4>
      </vt:variant>
      <vt:variant>
        <vt:lpwstr>http://www.supremecourt.ohio.gov/rod/docs/pdf/0/2004/2004-Ohio-6557.pdf</vt:lpwstr>
      </vt:variant>
      <vt:variant>
        <vt:lpwstr/>
      </vt:variant>
      <vt:variant>
        <vt:i4>3211324</vt:i4>
      </vt:variant>
      <vt:variant>
        <vt:i4>2049</vt:i4>
      </vt:variant>
      <vt:variant>
        <vt:i4>0</vt:i4>
      </vt:variant>
      <vt:variant>
        <vt:i4>5</vt:i4>
      </vt:variant>
      <vt:variant>
        <vt:lpwstr>http://www.supremecourt.ohio.gov/rod/docs/pdf/0/2017/2017-Ohio-1335.pdf</vt:lpwstr>
      </vt:variant>
      <vt:variant>
        <vt:lpwstr/>
      </vt:variant>
      <vt:variant>
        <vt:i4>5439490</vt:i4>
      </vt:variant>
      <vt:variant>
        <vt:i4>2046</vt:i4>
      </vt:variant>
      <vt:variant>
        <vt:i4>0</vt:i4>
      </vt:variant>
      <vt:variant>
        <vt:i4>5</vt:i4>
      </vt:variant>
      <vt:variant>
        <vt:lpwstr>http://www.supremecourt.ohio.gov/rod/docs/pdf/13/2018/2018-Ohio-4594.pdf</vt:lpwstr>
      </vt:variant>
      <vt:variant>
        <vt:lpwstr/>
      </vt:variant>
      <vt:variant>
        <vt:i4>5570571</vt:i4>
      </vt:variant>
      <vt:variant>
        <vt:i4>2043</vt:i4>
      </vt:variant>
      <vt:variant>
        <vt:i4>0</vt:i4>
      </vt:variant>
      <vt:variant>
        <vt:i4>5</vt:i4>
      </vt:variant>
      <vt:variant>
        <vt:lpwstr>http://www.supremecourt.ohio.gov/rod/docs/pdf/13/2018/2018-Ohio-1552.pdf</vt:lpwstr>
      </vt:variant>
      <vt:variant>
        <vt:lpwstr/>
      </vt:variant>
      <vt:variant>
        <vt:i4>6815807</vt:i4>
      </vt:variant>
      <vt:variant>
        <vt:i4>2040</vt:i4>
      </vt:variant>
      <vt:variant>
        <vt:i4>0</vt:i4>
      </vt:variant>
      <vt:variant>
        <vt:i4>5</vt:i4>
      </vt:variant>
      <vt:variant>
        <vt:lpwstr>http://www.supremecourt.ohio.gov/rod/docs/pdf/0/2001/2001-Ohio-282.pdf</vt:lpwstr>
      </vt:variant>
      <vt:variant>
        <vt:lpwstr/>
      </vt:variant>
      <vt:variant>
        <vt:i4>6815807</vt:i4>
      </vt:variant>
      <vt:variant>
        <vt:i4>2037</vt:i4>
      </vt:variant>
      <vt:variant>
        <vt:i4>0</vt:i4>
      </vt:variant>
      <vt:variant>
        <vt:i4>5</vt:i4>
      </vt:variant>
      <vt:variant>
        <vt:lpwstr>http://www.supremecourt.ohio.gov/rod/docs/pdf/0/2001/2001-Ohio-282.pdf</vt:lpwstr>
      </vt:variant>
      <vt:variant>
        <vt:lpwstr/>
      </vt:variant>
      <vt:variant>
        <vt:i4>6357041</vt:i4>
      </vt:variant>
      <vt:variant>
        <vt:i4>2034</vt:i4>
      </vt:variant>
      <vt:variant>
        <vt:i4>0</vt:i4>
      </vt:variant>
      <vt:variant>
        <vt:i4>5</vt:i4>
      </vt:variant>
      <vt:variant>
        <vt:lpwstr>http://www.supremecourt.ohio.gov/rod/docs/pdf/0/2007/2007-Ohio-609.pdf</vt:lpwstr>
      </vt:variant>
      <vt:variant>
        <vt:lpwstr/>
      </vt:variant>
      <vt:variant>
        <vt:i4>6815807</vt:i4>
      </vt:variant>
      <vt:variant>
        <vt:i4>2031</vt:i4>
      </vt:variant>
      <vt:variant>
        <vt:i4>0</vt:i4>
      </vt:variant>
      <vt:variant>
        <vt:i4>5</vt:i4>
      </vt:variant>
      <vt:variant>
        <vt:lpwstr>http://www.supremecourt.ohio.gov/rod/docs/pdf/0/2001/2001-Ohio-282.pdf</vt:lpwstr>
      </vt:variant>
      <vt:variant>
        <vt:lpwstr/>
      </vt:variant>
      <vt:variant>
        <vt:i4>6357041</vt:i4>
      </vt:variant>
      <vt:variant>
        <vt:i4>2028</vt:i4>
      </vt:variant>
      <vt:variant>
        <vt:i4>0</vt:i4>
      </vt:variant>
      <vt:variant>
        <vt:i4>5</vt:i4>
      </vt:variant>
      <vt:variant>
        <vt:lpwstr>http://www.supremecourt.ohio.gov/rod/docs/pdf/0/2007/2007-Ohio-609.pdf</vt:lpwstr>
      </vt:variant>
      <vt:variant>
        <vt:lpwstr/>
      </vt:variant>
      <vt:variant>
        <vt:i4>6946879</vt:i4>
      </vt:variant>
      <vt:variant>
        <vt:i4>2025</vt:i4>
      </vt:variant>
      <vt:variant>
        <vt:i4>0</vt:i4>
      </vt:variant>
      <vt:variant>
        <vt:i4>5</vt:i4>
      </vt:variant>
      <vt:variant>
        <vt:lpwstr>http://www.supremecourt.ohio.gov/rod/docs/pdf/0/1993/1993-Ohio-192.pdf</vt:lpwstr>
      </vt:variant>
      <vt:variant>
        <vt:lpwstr/>
      </vt:variant>
      <vt:variant>
        <vt:i4>6946879</vt:i4>
      </vt:variant>
      <vt:variant>
        <vt:i4>2022</vt:i4>
      </vt:variant>
      <vt:variant>
        <vt:i4>0</vt:i4>
      </vt:variant>
      <vt:variant>
        <vt:i4>5</vt:i4>
      </vt:variant>
      <vt:variant>
        <vt:lpwstr>http://www.supremecourt.ohio.gov/rod/docs/pdf/0/1993/1993-Ohio-192.pdf</vt:lpwstr>
      </vt:variant>
      <vt:variant>
        <vt:lpwstr/>
      </vt:variant>
      <vt:variant>
        <vt:i4>3604541</vt:i4>
      </vt:variant>
      <vt:variant>
        <vt:i4>2019</vt:i4>
      </vt:variant>
      <vt:variant>
        <vt:i4>0</vt:i4>
      </vt:variant>
      <vt:variant>
        <vt:i4>5</vt:i4>
      </vt:variant>
      <vt:variant>
        <vt:lpwstr>http://www.supremecourt.ohio.gov/rod/docs/pdf/0/2005/2005-Ohio-5521.pdf</vt:lpwstr>
      </vt:variant>
      <vt:variant>
        <vt:lpwstr/>
      </vt:variant>
      <vt:variant>
        <vt:i4>6946879</vt:i4>
      </vt:variant>
      <vt:variant>
        <vt:i4>2016</vt:i4>
      </vt:variant>
      <vt:variant>
        <vt:i4>0</vt:i4>
      </vt:variant>
      <vt:variant>
        <vt:i4>5</vt:i4>
      </vt:variant>
      <vt:variant>
        <vt:lpwstr>http://www.supremecourt.ohio.gov/rod/docs/pdf/0/1993/1993-Ohio-192.pdf</vt:lpwstr>
      </vt:variant>
      <vt:variant>
        <vt:lpwstr/>
      </vt:variant>
      <vt:variant>
        <vt:i4>7209013</vt:i4>
      </vt:variant>
      <vt:variant>
        <vt:i4>2013</vt:i4>
      </vt:variant>
      <vt:variant>
        <vt:i4>0</vt:i4>
      </vt:variant>
      <vt:variant>
        <vt:i4>5</vt:i4>
      </vt:variant>
      <vt:variant>
        <vt:lpwstr>http://www.supremecourt.ohio.gov/rod/docs/pdf/0/1997/1997-Ohio-271.pdf</vt:lpwstr>
      </vt:variant>
      <vt:variant>
        <vt:lpwstr/>
      </vt:variant>
      <vt:variant>
        <vt:i4>6225933</vt:i4>
      </vt:variant>
      <vt:variant>
        <vt:i4>2010</vt:i4>
      </vt:variant>
      <vt:variant>
        <vt:i4>0</vt:i4>
      </vt:variant>
      <vt:variant>
        <vt:i4>5</vt:i4>
      </vt:variant>
      <vt:variant>
        <vt:lpwstr>http://www.supremecourt.ohio.gov/rod/docs/pdf/13/2017/2017-Ohio-8052.pdf</vt:lpwstr>
      </vt:variant>
      <vt:variant>
        <vt:lpwstr/>
      </vt:variant>
      <vt:variant>
        <vt:i4>7274551</vt:i4>
      </vt:variant>
      <vt:variant>
        <vt:i4>2007</vt:i4>
      </vt:variant>
      <vt:variant>
        <vt:i4>0</vt:i4>
      </vt:variant>
      <vt:variant>
        <vt:i4>5</vt:i4>
      </vt:variant>
      <vt:variant>
        <vt:lpwstr>http://www.supremecourt.ohio.gov/rod/docs/pdf/0/2000/2000-Ohio-214.pdf</vt:lpwstr>
      </vt:variant>
      <vt:variant>
        <vt:lpwstr/>
      </vt:variant>
      <vt:variant>
        <vt:i4>6946867</vt:i4>
      </vt:variant>
      <vt:variant>
        <vt:i4>2004</vt:i4>
      </vt:variant>
      <vt:variant>
        <vt:i4>0</vt:i4>
      </vt:variant>
      <vt:variant>
        <vt:i4>5</vt:i4>
      </vt:variant>
      <vt:variant>
        <vt:lpwstr>http://www.supremecourt.ohio.gov/rod/docs/pdf/0/1996/1996-Ohio-204.pdf</vt:lpwstr>
      </vt:variant>
      <vt:variant>
        <vt:lpwstr/>
      </vt:variant>
      <vt:variant>
        <vt:i4>4325464</vt:i4>
      </vt:variant>
      <vt:variant>
        <vt:i4>2001</vt:i4>
      </vt:variant>
      <vt:variant>
        <vt:i4>0</vt:i4>
      </vt:variant>
      <vt:variant>
        <vt:i4>5</vt:i4>
      </vt:variant>
      <vt:variant>
        <vt:lpwstr>https://www.supremecourt.ohio.gov/rod/docs/pdf/0/2016/2016-Ohio-8394.pdf</vt:lpwstr>
      </vt:variant>
      <vt:variant>
        <vt:lpwstr/>
      </vt:variant>
      <vt:variant>
        <vt:i4>4325464</vt:i4>
      </vt:variant>
      <vt:variant>
        <vt:i4>1998</vt:i4>
      </vt:variant>
      <vt:variant>
        <vt:i4>0</vt:i4>
      </vt:variant>
      <vt:variant>
        <vt:i4>5</vt:i4>
      </vt:variant>
      <vt:variant>
        <vt:lpwstr>https://www.supremecourt.ohio.gov/rod/docs/pdf/0/2016/2016-Ohio-8394.pdf</vt:lpwstr>
      </vt:variant>
      <vt:variant>
        <vt:lpwstr/>
      </vt:variant>
      <vt:variant>
        <vt:i4>7077941</vt:i4>
      </vt:variant>
      <vt:variant>
        <vt:i4>1995</vt:i4>
      </vt:variant>
      <vt:variant>
        <vt:i4>0</vt:i4>
      </vt:variant>
      <vt:variant>
        <vt:i4>5</vt:i4>
      </vt:variant>
      <vt:variant>
        <vt:lpwstr>http://www.supremecourt.ohio.gov/rod/docs/pdf/0/1997/1997-Ohio-273.pdf</vt:lpwstr>
      </vt:variant>
      <vt:variant>
        <vt:lpwstr/>
      </vt:variant>
      <vt:variant>
        <vt:i4>7274551</vt:i4>
      </vt:variant>
      <vt:variant>
        <vt:i4>1992</vt:i4>
      </vt:variant>
      <vt:variant>
        <vt:i4>0</vt:i4>
      </vt:variant>
      <vt:variant>
        <vt:i4>5</vt:i4>
      </vt:variant>
      <vt:variant>
        <vt:lpwstr>http://www.supremecourt.ohio.gov/rod/docs/pdf/0/2000/2000-Ohio-214.pdf</vt:lpwstr>
      </vt:variant>
      <vt:variant>
        <vt:lpwstr/>
      </vt:variant>
      <vt:variant>
        <vt:i4>4915286</vt:i4>
      </vt:variant>
      <vt:variant>
        <vt:i4>1989</vt:i4>
      </vt:variant>
      <vt:variant>
        <vt:i4>0</vt:i4>
      </vt:variant>
      <vt:variant>
        <vt:i4>5</vt:i4>
      </vt:variant>
      <vt:variant>
        <vt:lpwstr>https://www.supremecourt.ohio.gov/rod/docs/pdf/0/2016/2016-Ohio-7987.pdf</vt:lpwstr>
      </vt:variant>
      <vt:variant>
        <vt:lpwstr/>
      </vt:variant>
      <vt:variant>
        <vt:i4>5570571</vt:i4>
      </vt:variant>
      <vt:variant>
        <vt:i4>1986</vt:i4>
      </vt:variant>
      <vt:variant>
        <vt:i4>0</vt:i4>
      </vt:variant>
      <vt:variant>
        <vt:i4>5</vt:i4>
      </vt:variant>
      <vt:variant>
        <vt:lpwstr>http://www.supremecourt.ohio.gov/rod/docs/pdf/13/2018/2018-Ohio-1552.pdf</vt:lpwstr>
      </vt:variant>
      <vt:variant>
        <vt:lpwstr/>
      </vt:variant>
      <vt:variant>
        <vt:i4>4325464</vt:i4>
      </vt:variant>
      <vt:variant>
        <vt:i4>1983</vt:i4>
      </vt:variant>
      <vt:variant>
        <vt:i4>0</vt:i4>
      </vt:variant>
      <vt:variant>
        <vt:i4>5</vt:i4>
      </vt:variant>
      <vt:variant>
        <vt:lpwstr>https://www.supremecourt.ohio.gov/rod/docs/pdf/0/2016/2016-Ohio-8394.pdf</vt:lpwstr>
      </vt:variant>
      <vt:variant>
        <vt:lpwstr/>
      </vt:variant>
      <vt:variant>
        <vt:i4>3670065</vt:i4>
      </vt:variant>
      <vt:variant>
        <vt:i4>1980</vt:i4>
      </vt:variant>
      <vt:variant>
        <vt:i4>0</vt:i4>
      </vt:variant>
      <vt:variant>
        <vt:i4>5</vt:i4>
      </vt:variant>
      <vt:variant>
        <vt:lpwstr>http://www.supremecourt.ohio.gov/rod/docs/pdf/0/2010/2010-Ohio-5995.pdf</vt:lpwstr>
      </vt:variant>
      <vt:variant>
        <vt:lpwstr/>
      </vt:variant>
      <vt:variant>
        <vt:i4>6094850</vt:i4>
      </vt:variant>
      <vt:variant>
        <vt:i4>1977</vt:i4>
      </vt:variant>
      <vt:variant>
        <vt:i4>0</vt:i4>
      </vt:variant>
      <vt:variant>
        <vt:i4>5</vt:i4>
      </vt:variant>
      <vt:variant>
        <vt:lpwstr>http://www.supremecourt.ohio.gov/rod/docs/pdf/12/2014/2014-Ohio-5745.pdf</vt:lpwstr>
      </vt:variant>
      <vt:variant>
        <vt:lpwstr/>
      </vt:variant>
      <vt:variant>
        <vt:i4>6815807</vt:i4>
      </vt:variant>
      <vt:variant>
        <vt:i4>1974</vt:i4>
      </vt:variant>
      <vt:variant>
        <vt:i4>0</vt:i4>
      </vt:variant>
      <vt:variant>
        <vt:i4>5</vt:i4>
      </vt:variant>
      <vt:variant>
        <vt:lpwstr>http://www.supremecourt.ohio.gov/rod/docs/pdf/0/2001/2001-Ohio-282.pdf</vt:lpwstr>
      </vt:variant>
      <vt:variant>
        <vt:lpwstr/>
      </vt:variant>
      <vt:variant>
        <vt:i4>3342395</vt:i4>
      </vt:variant>
      <vt:variant>
        <vt:i4>1971</vt:i4>
      </vt:variant>
      <vt:variant>
        <vt:i4>0</vt:i4>
      </vt:variant>
      <vt:variant>
        <vt:i4>5</vt:i4>
      </vt:variant>
      <vt:variant>
        <vt:lpwstr>http://www.supremecourt.ohio.gov/rod/docs/pdf/0/2017/2017-Ohio-8988.pdf</vt:lpwstr>
      </vt:variant>
      <vt:variant>
        <vt:lpwstr/>
      </vt:variant>
      <vt:variant>
        <vt:i4>3997756</vt:i4>
      </vt:variant>
      <vt:variant>
        <vt:i4>1968</vt:i4>
      </vt:variant>
      <vt:variant>
        <vt:i4>0</vt:i4>
      </vt:variant>
      <vt:variant>
        <vt:i4>5</vt:i4>
      </vt:variant>
      <vt:variant>
        <vt:lpwstr>http://www.supremecourt.ohio.gov/rod/docs/pdf/6/2013/2013-Ohio-3094.pdf</vt:lpwstr>
      </vt:variant>
      <vt:variant>
        <vt:lpwstr/>
      </vt:variant>
      <vt:variant>
        <vt:i4>7077942</vt:i4>
      </vt:variant>
      <vt:variant>
        <vt:i4>1965</vt:i4>
      </vt:variant>
      <vt:variant>
        <vt:i4>0</vt:i4>
      </vt:variant>
      <vt:variant>
        <vt:i4>5</vt:i4>
      </vt:variant>
      <vt:variant>
        <vt:lpwstr>http://www.supremecourt.ohio.gov/rod/docs/pdf/0/1992/1992-Ohio-115.pdf</vt:lpwstr>
      </vt:variant>
      <vt:variant>
        <vt:lpwstr/>
      </vt:variant>
      <vt:variant>
        <vt:i4>6946879</vt:i4>
      </vt:variant>
      <vt:variant>
        <vt:i4>1962</vt:i4>
      </vt:variant>
      <vt:variant>
        <vt:i4>0</vt:i4>
      </vt:variant>
      <vt:variant>
        <vt:i4>5</vt:i4>
      </vt:variant>
      <vt:variant>
        <vt:lpwstr>http://www.supremecourt.ohio.gov/rod/docs/pdf/0/1993/1993-Ohio-192.pdf</vt:lpwstr>
      </vt:variant>
      <vt:variant>
        <vt:lpwstr/>
      </vt:variant>
      <vt:variant>
        <vt:i4>3604541</vt:i4>
      </vt:variant>
      <vt:variant>
        <vt:i4>1959</vt:i4>
      </vt:variant>
      <vt:variant>
        <vt:i4>0</vt:i4>
      </vt:variant>
      <vt:variant>
        <vt:i4>5</vt:i4>
      </vt:variant>
      <vt:variant>
        <vt:lpwstr>http://www.supremecourt.ohio.gov/rod/docs/pdf/0/2005/2005-Ohio-5521.pdf</vt:lpwstr>
      </vt:variant>
      <vt:variant>
        <vt:lpwstr/>
      </vt:variant>
      <vt:variant>
        <vt:i4>7274551</vt:i4>
      </vt:variant>
      <vt:variant>
        <vt:i4>1956</vt:i4>
      </vt:variant>
      <vt:variant>
        <vt:i4>0</vt:i4>
      </vt:variant>
      <vt:variant>
        <vt:i4>5</vt:i4>
      </vt:variant>
      <vt:variant>
        <vt:lpwstr>http://www.supremecourt.ohio.gov/rod/docs/pdf/0/2000/2000-Ohio-214.pdf</vt:lpwstr>
      </vt:variant>
      <vt:variant>
        <vt:lpwstr/>
      </vt:variant>
      <vt:variant>
        <vt:i4>4128823</vt:i4>
      </vt:variant>
      <vt:variant>
        <vt:i4>1953</vt:i4>
      </vt:variant>
      <vt:variant>
        <vt:i4>0</vt:i4>
      </vt:variant>
      <vt:variant>
        <vt:i4>5</vt:i4>
      </vt:variant>
      <vt:variant>
        <vt:lpwstr>http://www.supremecourt.ohio.gov/rod/docs/pdf/0/2010/2010-Ohio-3288.pdf</vt:lpwstr>
      </vt:variant>
      <vt:variant>
        <vt:lpwstr/>
      </vt:variant>
      <vt:variant>
        <vt:i4>3604541</vt:i4>
      </vt:variant>
      <vt:variant>
        <vt:i4>1950</vt:i4>
      </vt:variant>
      <vt:variant>
        <vt:i4>0</vt:i4>
      </vt:variant>
      <vt:variant>
        <vt:i4>5</vt:i4>
      </vt:variant>
      <vt:variant>
        <vt:lpwstr>http://www.supremecourt.ohio.gov/rod/docs/pdf/0/2005/2005-Ohio-5521.pdf</vt:lpwstr>
      </vt:variant>
      <vt:variant>
        <vt:lpwstr/>
      </vt:variant>
      <vt:variant>
        <vt:i4>3932221</vt:i4>
      </vt:variant>
      <vt:variant>
        <vt:i4>1947</vt:i4>
      </vt:variant>
      <vt:variant>
        <vt:i4>0</vt:i4>
      </vt:variant>
      <vt:variant>
        <vt:i4>5</vt:i4>
      </vt:variant>
      <vt:variant>
        <vt:lpwstr>http://www.supremecourt.ohio.gov/rod/docs/pdf/0/2009/2009-Ohio-4149.pdf</vt:lpwstr>
      </vt:variant>
      <vt:variant>
        <vt:lpwstr/>
      </vt:variant>
      <vt:variant>
        <vt:i4>5701634</vt:i4>
      </vt:variant>
      <vt:variant>
        <vt:i4>1944</vt:i4>
      </vt:variant>
      <vt:variant>
        <vt:i4>0</vt:i4>
      </vt:variant>
      <vt:variant>
        <vt:i4>5</vt:i4>
      </vt:variant>
      <vt:variant>
        <vt:lpwstr>http://www.supremecourt.ohio.gov/rod/docs/pdf/13/2018/2018-Ohio-4590.pdf</vt:lpwstr>
      </vt:variant>
      <vt:variant>
        <vt:lpwstr/>
      </vt:variant>
      <vt:variant>
        <vt:i4>4128823</vt:i4>
      </vt:variant>
      <vt:variant>
        <vt:i4>1941</vt:i4>
      </vt:variant>
      <vt:variant>
        <vt:i4>0</vt:i4>
      </vt:variant>
      <vt:variant>
        <vt:i4>5</vt:i4>
      </vt:variant>
      <vt:variant>
        <vt:lpwstr>http://www.supremecourt.ohio.gov/rod/docs/pdf/0/2010/2010-Ohio-3288.pdf</vt:lpwstr>
      </vt:variant>
      <vt:variant>
        <vt:lpwstr/>
      </vt:variant>
      <vt:variant>
        <vt:i4>7274551</vt:i4>
      </vt:variant>
      <vt:variant>
        <vt:i4>1938</vt:i4>
      </vt:variant>
      <vt:variant>
        <vt:i4>0</vt:i4>
      </vt:variant>
      <vt:variant>
        <vt:i4>5</vt:i4>
      </vt:variant>
      <vt:variant>
        <vt:lpwstr>http://www.supremecourt.ohio.gov/rod/docs/pdf/0/2000/2000-Ohio-214.pdf</vt:lpwstr>
      </vt:variant>
      <vt:variant>
        <vt:lpwstr/>
      </vt:variant>
      <vt:variant>
        <vt:i4>3473460</vt:i4>
      </vt:variant>
      <vt:variant>
        <vt:i4>1935</vt:i4>
      </vt:variant>
      <vt:variant>
        <vt:i4>0</vt:i4>
      </vt:variant>
      <vt:variant>
        <vt:i4>5</vt:i4>
      </vt:variant>
      <vt:variant>
        <vt:lpwstr>http://www.supremecourt.ohio.gov/rod/docs/pdf/8/2006/2006-Ohio-5234.pdf</vt:lpwstr>
      </vt:variant>
      <vt:variant>
        <vt:lpwstr/>
      </vt:variant>
      <vt:variant>
        <vt:i4>6684721</vt:i4>
      </vt:variant>
      <vt:variant>
        <vt:i4>1932</vt:i4>
      </vt:variant>
      <vt:variant>
        <vt:i4>0</vt:i4>
      </vt:variant>
      <vt:variant>
        <vt:i4>5</vt:i4>
      </vt:variant>
      <vt:variant>
        <vt:lpwstr>http://www.supremecourt.ohio.gov/rod/docs/pdf/0/1996/1996-Ohio-228.pdf</vt:lpwstr>
      </vt:variant>
      <vt:variant>
        <vt:lpwstr/>
      </vt:variant>
      <vt:variant>
        <vt:i4>7274547</vt:i4>
      </vt:variant>
      <vt:variant>
        <vt:i4>1929</vt:i4>
      </vt:variant>
      <vt:variant>
        <vt:i4>0</vt:i4>
      </vt:variant>
      <vt:variant>
        <vt:i4>5</vt:i4>
      </vt:variant>
      <vt:variant>
        <vt:lpwstr>http://www.supremecourt.ohio.gov/rod/docs/pdf/0/1996/1996-Ohio-300.pdf</vt:lpwstr>
      </vt:variant>
      <vt:variant>
        <vt:lpwstr/>
      </vt:variant>
      <vt:variant>
        <vt:i4>6684721</vt:i4>
      </vt:variant>
      <vt:variant>
        <vt:i4>1926</vt:i4>
      </vt:variant>
      <vt:variant>
        <vt:i4>0</vt:i4>
      </vt:variant>
      <vt:variant>
        <vt:i4>5</vt:i4>
      </vt:variant>
      <vt:variant>
        <vt:lpwstr>http://www.supremecourt.ohio.gov/rod/docs/pdf/0/1996/1996-Ohio-228.pdf</vt:lpwstr>
      </vt:variant>
      <vt:variant>
        <vt:lpwstr/>
      </vt:variant>
      <vt:variant>
        <vt:i4>3604541</vt:i4>
      </vt:variant>
      <vt:variant>
        <vt:i4>1923</vt:i4>
      </vt:variant>
      <vt:variant>
        <vt:i4>0</vt:i4>
      </vt:variant>
      <vt:variant>
        <vt:i4>5</vt:i4>
      </vt:variant>
      <vt:variant>
        <vt:lpwstr>http://www.supremecourt.ohio.gov/rod/docs/pdf/0/2005/2005-Ohio-5521.pdf</vt:lpwstr>
      </vt:variant>
      <vt:variant>
        <vt:lpwstr/>
      </vt:variant>
      <vt:variant>
        <vt:i4>3604541</vt:i4>
      </vt:variant>
      <vt:variant>
        <vt:i4>1920</vt:i4>
      </vt:variant>
      <vt:variant>
        <vt:i4>0</vt:i4>
      </vt:variant>
      <vt:variant>
        <vt:i4>5</vt:i4>
      </vt:variant>
      <vt:variant>
        <vt:lpwstr>http://www.supremecourt.ohio.gov/rod/docs/pdf/0/2005/2005-Ohio-5521.pdf</vt:lpwstr>
      </vt:variant>
      <vt:variant>
        <vt:lpwstr/>
      </vt:variant>
      <vt:variant>
        <vt:i4>6619188</vt:i4>
      </vt:variant>
      <vt:variant>
        <vt:i4>1917</vt:i4>
      </vt:variant>
      <vt:variant>
        <vt:i4>0</vt:i4>
      </vt:variant>
      <vt:variant>
        <vt:i4>5</vt:i4>
      </vt:variant>
      <vt:variant>
        <vt:lpwstr>http://www.supremecourt.ohio.gov/rod/docs/pdf/0/1995/1995-Ohio-248.pdf</vt:lpwstr>
      </vt:variant>
      <vt:variant>
        <vt:lpwstr/>
      </vt:variant>
      <vt:variant>
        <vt:i4>6946866</vt:i4>
      </vt:variant>
      <vt:variant>
        <vt:i4>1914</vt:i4>
      </vt:variant>
      <vt:variant>
        <vt:i4>0</vt:i4>
      </vt:variant>
      <vt:variant>
        <vt:i4>5</vt:i4>
      </vt:variant>
      <vt:variant>
        <vt:lpwstr>http://www.supremecourt.ohio.gov/rod/docs/pdf/0/1996/1996-Ohio-214.pdf</vt:lpwstr>
      </vt:variant>
      <vt:variant>
        <vt:lpwstr/>
      </vt:variant>
      <vt:variant>
        <vt:i4>6946878</vt:i4>
      </vt:variant>
      <vt:variant>
        <vt:i4>1911</vt:i4>
      </vt:variant>
      <vt:variant>
        <vt:i4>0</vt:i4>
      </vt:variant>
      <vt:variant>
        <vt:i4>5</vt:i4>
      </vt:variant>
      <vt:variant>
        <vt:lpwstr>http://www.supremecourt.ohio.gov/rod/docs/pdf/0/2001/2001-Ohio-193.pdf</vt:lpwstr>
      </vt:variant>
      <vt:variant>
        <vt:lpwstr/>
      </vt:variant>
      <vt:variant>
        <vt:i4>3342396</vt:i4>
      </vt:variant>
      <vt:variant>
        <vt:i4>1908</vt:i4>
      </vt:variant>
      <vt:variant>
        <vt:i4>0</vt:i4>
      </vt:variant>
      <vt:variant>
        <vt:i4>5</vt:i4>
      </vt:variant>
      <vt:variant>
        <vt:lpwstr>http://www.supremecourt.ohio.gov/rod/docs/pdf/0/2006/2006-Ohio-6365.pdf</vt:lpwstr>
      </vt:variant>
      <vt:variant>
        <vt:lpwstr/>
      </vt:variant>
      <vt:variant>
        <vt:i4>6750262</vt:i4>
      </vt:variant>
      <vt:variant>
        <vt:i4>1905</vt:i4>
      </vt:variant>
      <vt:variant>
        <vt:i4>0</vt:i4>
      </vt:variant>
      <vt:variant>
        <vt:i4>5</vt:i4>
      </vt:variant>
      <vt:variant>
        <vt:lpwstr>http://www.supremecourt.ohio.gov/rod/docs/pdf/0/1997/1997-Ohio-349.pdf</vt:lpwstr>
      </vt:variant>
      <vt:variant>
        <vt:lpwstr/>
      </vt:variant>
      <vt:variant>
        <vt:i4>5832711</vt:i4>
      </vt:variant>
      <vt:variant>
        <vt:i4>1902</vt:i4>
      </vt:variant>
      <vt:variant>
        <vt:i4>0</vt:i4>
      </vt:variant>
      <vt:variant>
        <vt:i4>5</vt:i4>
      </vt:variant>
      <vt:variant>
        <vt:lpwstr>http://www.supremecourt.ohio.gov/rod/docs/pdf/10/2005/2005-Ohio-3377.pdf</vt:lpwstr>
      </vt:variant>
      <vt:variant>
        <vt:lpwstr/>
      </vt:variant>
      <vt:variant>
        <vt:i4>6619188</vt:i4>
      </vt:variant>
      <vt:variant>
        <vt:i4>1899</vt:i4>
      </vt:variant>
      <vt:variant>
        <vt:i4>0</vt:i4>
      </vt:variant>
      <vt:variant>
        <vt:i4>5</vt:i4>
      </vt:variant>
      <vt:variant>
        <vt:lpwstr>http://www.supremecourt.ohio.gov/rod/docs/pdf/0/1995/1995-Ohio-248.pdf</vt:lpwstr>
      </vt:variant>
      <vt:variant>
        <vt:lpwstr/>
      </vt:variant>
      <vt:variant>
        <vt:i4>7143483</vt:i4>
      </vt:variant>
      <vt:variant>
        <vt:i4>1896</vt:i4>
      </vt:variant>
      <vt:variant>
        <vt:i4>0</vt:i4>
      </vt:variant>
      <vt:variant>
        <vt:i4>5</vt:i4>
      </vt:variant>
      <vt:variant>
        <vt:lpwstr>http://www.supremecourt.ohio.gov/rod/docs/pdf/0/1997/1997-Ohio-191.pdf</vt:lpwstr>
      </vt:variant>
      <vt:variant>
        <vt:lpwstr/>
      </vt:variant>
      <vt:variant>
        <vt:i4>3342396</vt:i4>
      </vt:variant>
      <vt:variant>
        <vt:i4>1893</vt:i4>
      </vt:variant>
      <vt:variant>
        <vt:i4>0</vt:i4>
      </vt:variant>
      <vt:variant>
        <vt:i4>5</vt:i4>
      </vt:variant>
      <vt:variant>
        <vt:lpwstr>http://www.supremecourt.ohio.gov/rod/docs/pdf/0/2006/2006-Ohio-6365.pdf</vt:lpwstr>
      </vt:variant>
      <vt:variant>
        <vt:lpwstr/>
      </vt:variant>
      <vt:variant>
        <vt:i4>6619188</vt:i4>
      </vt:variant>
      <vt:variant>
        <vt:i4>1890</vt:i4>
      </vt:variant>
      <vt:variant>
        <vt:i4>0</vt:i4>
      </vt:variant>
      <vt:variant>
        <vt:i4>5</vt:i4>
      </vt:variant>
      <vt:variant>
        <vt:lpwstr>http://www.supremecourt.ohio.gov/rod/docs/pdf/0/1995/1995-Ohio-248.pdf</vt:lpwstr>
      </vt:variant>
      <vt:variant>
        <vt:lpwstr/>
      </vt:variant>
      <vt:variant>
        <vt:i4>6750268</vt:i4>
      </vt:variant>
      <vt:variant>
        <vt:i4>1887</vt:i4>
      </vt:variant>
      <vt:variant>
        <vt:i4>0</vt:i4>
      </vt:variant>
      <vt:variant>
        <vt:i4>5</vt:i4>
      </vt:variant>
      <vt:variant>
        <vt:lpwstr>http://www.supremecourt.ohio.gov/rod/docs/pdf/0/1998/1998-Ohio-411.pdf</vt:lpwstr>
      </vt:variant>
      <vt:variant>
        <vt:lpwstr/>
      </vt:variant>
      <vt:variant>
        <vt:i4>5832711</vt:i4>
      </vt:variant>
      <vt:variant>
        <vt:i4>1884</vt:i4>
      </vt:variant>
      <vt:variant>
        <vt:i4>0</vt:i4>
      </vt:variant>
      <vt:variant>
        <vt:i4>5</vt:i4>
      </vt:variant>
      <vt:variant>
        <vt:lpwstr>http://www.supremecourt.ohio.gov/rod/docs/pdf/10/2005/2005-Ohio-3377.pdf</vt:lpwstr>
      </vt:variant>
      <vt:variant>
        <vt:lpwstr/>
      </vt:variant>
      <vt:variant>
        <vt:i4>5177427</vt:i4>
      </vt:variant>
      <vt:variant>
        <vt:i4>1881</vt:i4>
      </vt:variant>
      <vt:variant>
        <vt:i4>0</vt:i4>
      </vt:variant>
      <vt:variant>
        <vt:i4>5</vt:i4>
      </vt:variant>
      <vt:variant>
        <vt:lpwstr>https://www.supremecourt.ohio.gov/rod/docs/pdf/0/2010/2010-Ohio-5995.pdf</vt:lpwstr>
      </vt:variant>
      <vt:variant>
        <vt:lpwstr/>
      </vt:variant>
      <vt:variant>
        <vt:i4>5832711</vt:i4>
      </vt:variant>
      <vt:variant>
        <vt:i4>1878</vt:i4>
      </vt:variant>
      <vt:variant>
        <vt:i4>0</vt:i4>
      </vt:variant>
      <vt:variant>
        <vt:i4>5</vt:i4>
      </vt:variant>
      <vt:variant>
        <vt:lpwstr>http://www.supremecourt.ohio.gov/rod/docs/pdf/10/2005/2005-Ohio-3377.pdf</vt:lpwstr>
      </vt:variant>
      <vt:variant>
        <vt:lpwstr/>
      </vt:variant>
      <vt:variant>
        <vt:i4>5832711</vt:i4>
      </vt:variant>
      <vt:variant>
        <vt:i4>1875</vt:i4>
      </vt:variant>
      <vt:variant>
        <vt:i4>0</vt:i4>
      </vt:variant>
      <vt:variant>
        <vt:i4>5</vt:i4>
      </vt:variant>
      <vt:variant>
        <vt:lpwstr>http://www.supremecourt.ohio.gov/rod/docs/pdf/10/2005/2005-Ohio-3377.pdf</vt:lpwstr>
      </vt:variant>
      <vt:variant>
        <vt:lpwstr/>
      </vt:variant>
      <vt:variant>
        <vt:i4>131075</vt:i4>
      </vt:variant>
      <vt:variant>
        <vt:i4>1872</vt:i4>
      </vt:variant>
      <vt:variant>
        <vt:i4>0</vt:i4>
      </vt:variant>
      <vt:variant>
        <vt:i4>5</vt:i4>
      </vt:variant>
      <vt:variant>
        <vt:lpwstr>http://www.supremecourt.ohio.gov/rod/docs/pdf/0/1995/1995-Ohio-19.pdf</vt:lpwstr>
      </vt:variant>
      <vt:variant>
        <vt:lpwstr/>
      </vt:variant>
      <vt:variant>
        <vt:i4>5832711</vt:i4>
      </vt:variant>
      <vt:variant>
        <vt:i4>1869</vt:i4>
      </vt:variant>
      <vt:variant>
        <vt:i4>0</vt:i4>
      </vt:variant>
      <vt:variant>
        <vt:i4>5</vt:i4>
      </vt:variant>
      <vt:variant>
        <vt:lpwstr>http://www.supremecourt.ohio.gov/rod/docs/pdf/10/2005/2005-Ohio-3377.pdf</vt:lpwstr>
      </vt:variant>
      <vt:variant>
        <vt:lpwstr/>
      </vt:variant>
      <vt:variant>
        <vt:i4>7274551</vt:i4>
      </vt:variant>
      <vt:variant>
        <vt:i4>1866</vt:i4>
      </vt:variant>
      <vt:variant>
        <vt:i4>0</vt:i4>
      </vt:variant>
      <vt:variant>
        <vt:i4>5</vt:i4>
      </vt:variant>
      <vt:variant>
        <vt:lpwstr>http://www.supremecourt.ohio.gov/rod/docs/pdf/0/2000/2000-Ohio-214.pdf</vt:lpwstr>
      </vt:variant>
      <vt:variant>
        <vt:lpwstr/>
      </vt:variant>
      <vt:variant>
        <vt:i4>6946869</vt:i4>
      </vt:variant>
      <vt:variant>
        <vt:i4>1863</vt:i4>
      </vt:variant>
      <vt:variant>
        <vt:i4>0</vt:i4>
      </vt:variant>
      <vt:variant>
        <vt:i4>5</vt:i4>
      </vt:variant>
      <vt:variant>
        <vt:lpwstr>http://www.supremecourt.ohio.gov/rod/docs/pdf/0/1994/1994-Ohio-246.pdf</vt:lpwstr>
      </vt:variant>
      <vt:variant>
        <vt:lpwstr/>
      </vt:variant>
      <vt:variant>
        <vt:i4>6946866</vt:i4>
      </vt:variant>
      <vt:variant>
        <vt:i4>1860</vt:i4>
      </vt:variant>
      <vt:variant>
        <vt:i4>0</vt:i4>
      </vt:variant>
      <vt:variant>
        <vt:i4>5</vt:i4>
      </vt:variant>
      <vt:variant>
        <vt:lpwstr>http://www.supremecourt.ohio.gov/rod/docs/pdf/0/1996/1996-Ohio-214.pdf</vt:lpwstr>
      </vt:variant>
      <vt:variant>
        <vt:lpwstr/>
      </vt:variant>
      <vt:variant>
        <vt:i4>6946878</vt:i4>
      </vt:variant>
      <vt:variant>
        <vt:i4>1857</vt:i4>
      </vt:variant>
      <vt:variant>
        <vt:i4>0</vt:i4>
      </vt:variant>
      <vt:variant>
        <vt:i4>5</vt:i4>
      </vt:variant>
      <vt:variant>
        <vt:lpwstr>http://www.supremecourt.ohio.gov/rod/docs/pdf/0/2001/2001-Ohio-193.pdf</vt:lpwstr>
      </vt:variant>
      <vt:variant>
        <vt:lpwstr/>
      </vt:variant>
      <vt:variant>
        <vt:i4>3342396</vt:i4>
      </vt:variant>
      <vt:variant>
        <vt:i4>1854</vt:i4>
      </vt:variant>
      <vt:variant>
        <vt:i4>0</vt:i4>
      </vt:variant>
      <vt:variant>
        <vt:i4>5</vt:i4>
      </vt:variant>
      <vt:variant>
        <vt:lpwstr>http://www.supremecourt.ohio.gov/rod/docs/pdf/0/2006/2006-Ohio-6365.pdf</vt:lpwstr>
      </vt:variant>
      <vt:variant>
        <vt:lpwstr/>
      </vt:variant>
      <vt:variant>
        <vt:i4>6619188</vt:i4>
      </vt:variant>
      <vt:variant>
        <vt:i4>1851</vt:i4>
      </vt:variant>
      <vt:variant>
        <vt:i4>0</vt:i4>
      </vt:variant>
      <vt:variant>
        <vt:i4>5</vt:i4>
      </vt:variant>
      <vt:variant>
        <vt:lpwstr>http://www.supremecourt.ohio.gov/rod/docs/pdf/0/1995/1995-Ohio-248.pdf</vt:lpwstr>
      </vt:variant>
      <vt:variant>
        <vt:lpwstr/>
      </vt:variant>
      <vt:variant>
        <vt:i4>3276859</vt:i4>
      </vt:variant>
      <vt:variant>
        <vt:i4>1848</vt:i4>
      </vt:variant>
      <vt:variant>
        <vt:i4>0</vt:i4>
      </vt:variant>
      <vt:variant>
        <vt:i4>5</vt:i4>
      </vt:variant>
      <vt:variant>
        <vt:lpwstr>http://www.ohioattorneygeneral.gov/Sunshine</vt:lpwstr>
      </vt:variant>
      <vt:variant>
        <vt:lpwstr/>
      </vt:variant>
      <vt:variant>
        <vt:i4>3735600</vt:i4>
      </vt:variant>
      <vt:variant>
        <vt:i4>1845</vt:i4>
      </vt:variant>
      <vt:variant>
        <vt:i4>0</vt:i4>
      </vt:variant>
      <vt:variant>
        <vt:i4>5</vt:i4>
      </vt:variant>
      <vt:variant>
        <vt:lpwstr>http://www.supremecourt.ohio.gov/rod/docs/pdf/5/2008/2008-Ohio-5011.pdf</vt:lpwstr>
      </vt:variant>
      <vt:variant>
        <vt:lpwstr/>
      </vt:variant>
      <vt:variant>
        <vt:i4>3735600</vt:i4>
      </vt:variant>
      <vt:variant>
        <vt:i4>1842</vt:i4>
      </vt:variant>
      <vt:variant>
        <vt:i4>0</vt:i4>
      </vt:variant>
      <vt:variant>
        <vt:i4>5</vt:i4>
      </vt:variant>
      <vt:variant>
        <vt:lpwstr>http://www.supremecourt.ohio.gov/rod/docs/pdf/5/2008/2008-Ohio-5011.pdf</vt:lpwstr>
      </vt:variant>
      <vt:variant>
        <vt:lpwstr/>
      </vt:variant>
      <vt:variant>
        <vt:i4>3539004</vt:i4>
      </vt:variant>
      <vt:variant>
        <vt:i4>1839</vt:i4>
      </vt:variant>
      <vt:variant>
        <vt:i4>0</vt:i4>
      </vt:variant>
      <vt:variant>
        <vt:i4>5</vt:i4>
      </vt:variant>
      <vt:variant>
        <vt:lpwstr>http://www.supremecourt.ohio.gov/rod/docs/pdf/0/2006/2006-Ohio-1244.pdf</vt:lpwstr>
      </vt:variant>
      <vt:variant>
        <vt:lpwstr/>
      </vt:variant>
      <vt:variant>
        <vt:i4>6225929</vt:i4>
      </vt:variant>
      <vt:variant>
        <vt:i4>1836</vt:i4>
      </vt:variant>
      <vt:variant>
        <vt:i4>0</vt:i4>
      </vt:variant>
      <vt:variant>
        <vt:i4>5</vt:i4>
      </vt:variant>
      <vt:variant>
        <vt:lpwstr>http://www.supremecourt.ohio.gov/rod/docs/pdf/12/2009/2009-Ohio-2448.pdf</vt:lpwstr>
      </vt:variant>
      <vt:variant>
        <vt:lpwstr/>
      </vt:variant>
      <vt:variant>
        <vt:i4>3211321</vt:i4>
      </vt:variant>
      <vt:variant>
        <vt:i4>1833</vt:i4>
      </vt:variant>
      <vt:variant>
        <vt:i4>0</vt:i4>
      </vt:variant>
      <vt:variant>
        <vt:i4>5</vt:i4>
      </vt:variant>
      <vt:variant>
        <vt:lpwstr>http://www.supremecourt.ohio.gov/rod/docs/pdf/8/2008/2008-Ohio-5095.pdf</vt:lpwstr>
      </vt:variant>
      <vt:variant>
        <vt:lpwstr/>
      </vt:variant>
      <vt:variant>
        <vt:i4>3342394</vt:i4>
      </vt:variant>
      <vt:variant>
        <vt:i4>1830</vt:i4>
      </vt:variant>
      <vt:variant>
        <vt:i4>0</vt:i4>
      </vt:variant>
      <vt:variant>
        <vt:i4>5</vt:i4>
      </vt:variant>
      <vt:variant>
        <vt:lpwstr>http://www.supremecourt.ohio.gov/rod/docs/pdf/4/2013/2013-Ohio-1858.pdf</vt:lpwstr>
      </vt:variant>
      <vt:variant>
        <vt:lpwstr/>
      </vt:variant>
      <vt:variant>
        <vt:i4>3342395</vt:i4>
      </vt:variant>
      <vt:variant>
        <vt:i4>1827</vt:i4>
      </vt:variant>
      <vt:variant>
        <vt:i4>0</vt:i4>
      </vt:variant>
      <vt:variant>
        <vt:i4>5</vt:i4>
      </vt:variant>
      <vt:variant>
        <vt:lpwstr>http://www.supremecourt.ohio.gov/rod/docs/pdf/4/2013/2013-Ohio-5415.pdf</vt:lpwstr>
      </vt:variant>
      <vt:variant>
        <vt:lpwstr/>
      </vt:variant>
      <vt:variant>
        <vt:i4>3407926</vt:i4>
      </vt:variant>
      <vt:variant>
        <vt:i4>1824</vt:i4>
      </vt:variant>
      <vt:variant>
        <vt:i4>0</vt:i4>
      </vt:variant>
      <vt:variant>
        <vt:i4>5</vt:i4>
      </vt:variant>
      <vt:variant>
        <vt:lpwstr>http://www.supremecourt.ohio.gov/rod/docs/pdf/8/2018/2018-Ohio-1398.pdf</vt:lpwstr>
      </vt:variant>
      <vt:variant>
        <vt:lpwstr/>
      </vt:variant>
      <vt:variant>
        <vt:i4>3211319</vt:i4>
      </vt:variant>
      <vt:variant>
        <vt:i4>1821</vt:i4>
      </vt:variant>
      <vt:variant>
        <vt:i4>0</vt:i4>
      </vt:variant>
      <vt:variant>
        <vt:i4>5</vt:i4>
      </vt:variant>
      <vt:variant>
        <vt:lpwstr>http://www.supremecourt.ohio.gov/rod/docs/pdf/0/2011/2011-Ohio-3279.pdf</vt:lpwstr>
      </vt:variant>
      <vt:variant>
        <vt:lpwstr/>
      </vt:variant>
      <vt:variant>
        <vt:i4>6291506</vt:i4>
      </vt:variant>
      <vt:variant>
        <vt:i4>1818</vt:i4>
      </vt:variant>
      <vt:variant>
        <vt:i4>0</vt:i4>
      </vt:variant>
      <vt:variant>
        <vt:i4>5</vt:i4>
      </vt:variant>
      <vt:variant>
        <vt:lpwstr>http://www.supremecourt.ohio.gov/rod/docs/pdf/7/2014/2014-Ohio-569.pdf</vt:lpwstr>
      </vt:variant>
      <vt:variant>
        <vt:lpwstr/>
      </vt:variant>
      <vt:variant>
        <vt:i4>3276861</vt:i4>
      </vt:variant>
      <vt:variant>
        <vt:i4>1815</vt:i4>
      </vt:variant>
      <vt:variant>
        <vt:i4>0</vt:i4>
      </vt:variant>
      <vt:variant>
        <vt:i4>5</vt:i4>
      </vt:variant>
      <vt:variant>
        <vt:lpwstr>http://www.supremecourt.ohio.gov/rod/docs/pdf/10/2010/2010-Ohio-373.pdf</vt:lpwstr>
      </vt:variant>
      <vt:variant>
        <vt:lpwstr/>
      </vt:variant>
      <vt:variant>
        <vt:i4>5701633</vt:i4>
      </vt:variant>
      <vt:variant>
        <vt:i4>1812</vt:i4>
      </vt:variant>
      <vt:variant>
        <vt:i4>0</vt:i4>
      </vt:variant>
      <vt:variant>
        <vt:i4>5</vt:i4>
      </vt:variant>
      <vt:variant>
        <vt:lpwstr>http://www.supremecourt.ohio.gov/rod/docs/pdf/10/2015/2015-Ohio-4873.pdf</vt:lpwstr>
      </vt:variant>
      <vt:variant>
        <vt:lpwstr/>
      </vt:variant>
      <vt:variant>
        <vt:i4>3211319</vt:i4>
      </vt:variant>
      <vt:variant>
        <vt:i4>1809</vt:i4>
      </vt:variant>
      <vt:variant>
        <vt:i4>0</vt:i4>
      </vt:variant>
      <vt:variant>
        <vt:i4>5</vt:i4>
      </vt:variant>
      <vt:variant>
        <vt:lpwstr>http://www.supremecourt.ohio.gov/rod/docs/pdf/0/2011/2011-Ohio-3279.pdf</vt:lpwstr>
      </vt:variant>
      <vt:variant>
        <vt:lpwstr/>
      </vt:variant>
      <vt:variant>
        <vt:i4>6357048</vt:i4>
      </vt:variant>
      <vt:variant>
        <vt:i4>1806</vt:i4>
      </vt:variant>
      <vt:variant>
        <vt:i4>0</vt:i4>
      </vt:variant>
      <vt:variant>
        <vt:i4>5</vt:i4>
      </vt:variant>
      <vt:variant>
        <vt:lpwstr>http://www.supremecourt.ohio.gov/rod/docs/pdf/0/1999/1999-Ohio-446.pdf</vt:lpwstr>
      </vt:variant>
      <vt:variant>
        <vt:lpwstr/>
      </vt:variant>
      <vt:variant>
        <vt:i4>3211318</vt:i4>
      </vt:variant>
      <vt:variant>
        <vt:i4>1803</vt:i4>
      </vt:variant>
      <vt:variant>
        <vt:i4>0</vt:i4>
      </vt:variant>
      <vt:variant>
        <vt:i4>5</vt:i4>
      </vt:variant>
      <vt:variant>
        <vt:lpwstr>http://www.supremecourt.ohio.gov/rod/docs/pdf/1/2005/2005-Ohio-4856.pdf</vt:lpwstr>
      </vt:variant>
      <vt:variant>
        <vt:lpwstr/>
      </vt:variant>
      <vt:variant>
        <vt:i4>3145788</vt:i4>
      </vt:variant>
      <vt:variant>
        <vt:i4>1800</vt:i4>
      </vt:variant>
      <vt:variant>
        <vt:i4>0</vt:i4>
      </vt:variant>
      <vt:variant>
        <vt:i4>5</vt:i4>
      </vt:variant>
      <vt:variant>
        <vt:lpwstr>http://www.supremecourt.ohio.gov/rod/docs/pdf/5/2014/2014-Ohio-4848.pdf</vt:lpwstr>
      </vt:variant>
      <vt:variant>
        <vt:lpwstr/>
      </vt:variant>
      <vt:variant>
        <vt:i4>3276861</vt:i4>
      </vt:variant>
      <vt:variant>
        <vt:i4>1797</vt:i4>
      </vt:variant>
      <vt:variant>
        <vt:i4>0</vt:i4>
      </vt:variant>
      <vt:variant>
        <vt:i4>5</vt:i4>
      </vt:variant>
      <vt:variant>
        <vt:lpwstr>http://www.supremecourt.ohio.gov/rod/docs/pdf/10/2010/2010-Ohio-373.pdf</vt:lpwstr>
      </vt:variant>
      <vt:variant>
        <vt:lpwstr/>
      </vt:variant>
      <vt:variant>
        <vt:i4>3211319</vt:i4>
      </vt:variant>
      <vt:variant>
        <vt:i4>1794</vt:i4>
      </vt:variant>
      <vt:variant>
        <vt:i4>0</vt:i4>
      </vt:variant>
      <vt:variant>
        <vt:i4>5</vt:i4>
      </vt:variant>
      <vt:variant>
        <vt:lpwstr>http://www.supremecourt.ohio.gov/rod/docs/pdf/0/2011/2011-Ohio-3279.pdf</vt:lpwstr>
      </vt:variant>
      <vt:variant>
        <vt:lpwstr/>
      </vt:variant>
      <vt:variant>
        <vt:i4>3211323</vt:i4>
      </vt:variant>
      <vt:variant>
        <vt:i4>1791</vt:i4>
      </vt:variant>
      <vt:variant>
        <vt:i4>0</vt:i4>
      </vt:variant>
      <vt:variant>
        <vt:i4>5</vt:i4>
      </vt:variant>
      <vt:variant>
        <vt:lpwstr>http://www.supremecourt.ohio.gov/rod/docs/pdf/0/2008/2008-Ohio-4788.pdf</vt:lpwstr>
      </vt:variant>
      <vt:variant>
        <vt:lpwstr/>
      </vt:variant>
      <vt:variant>
        <vt:i4>5308422</vt:i4>
      </vt:variant>
      <vt:variant>
        <vt:i4>1788</vt:i4>
      </vt:variant>
      <vt:variant>
        <vt:i4>0</vt:i4>
      </vt:variant>
      <vt:variant>
        <vt:i4>5</vt:i4>
      </vt:variant>
      <vt:variant>
        <vt:lpwstr>http://www.supremecourt.ohio.gov/rod/docs/pdf/0/2000/2000-Ohio-8.pdf</vt:lpwstr>
      </vt:variant>
      <vt:variant>
        <vt:lpwstr/>
      </vt:variant>
      <vt:variant>
        <vt:i4>3276848</vt:i4>
      </vt:variant>
      <vt:variant>
        <vt:i4>1785</vt:i4>
      </vt:variant>
      <vt:variant>
        <vt:i4>0</vt:i4>
      </vt:variant>
      <vt:variant>
        <vt:i4>5</vt:i4>
      </vt:variant>
      <vt:variant>
        <vt:lpwstr>http://www.supremecourt.ohio.gov/rod/docs/pdf/6/2013/2013-Ohio-3961.pdf</vt:lpwstr>
      </vt:variant>
      <vt:variant>
        <vt:lpwstr/>
      </vt:variant>
      <vt:variant>
        <vt:i4>4063285</vt:i4>
      </vt:variant>
      <vt:variant>
        <vt:i4>1782</vt:i4>
      </vt:variant>
      <vt:variant>
        <vt:i4>0</vt:i4>
      </vt:variant>
      <vt:variant>
        <vt:i4>5</vt:i4>
      </vt:variant>
      <vt:variant>
        <vt:lpwstr>http://www.supremecourt.ohio.gov/rod/docs/pdf/0/2008/2008-Ohio-6253.pdf</vt:lpwstr>
      </vt:variant>
      <vt:variant>
        <vt:lpwstr/>
      </vt:variant>
      <vt:variant>
        <vt:i4>983054</vt:i4>
      </vt:variant>
      <vt:variant>
        <vt:i4>1779</vt:i4>
      </vt:variant>
      <vt:variant>
        <vt:i4>0</vt:i4>
      </vt:variant>
      <vt:variant>
        <vt:i4>5</vt:i4>
      </vt:variant>
      <vt:variant>
        <vt:lpwstr>http://apps.das.ohio.gov/rims/General/General.asp</vt:lpwstr>
      </vt:variant>
      <vt:variant>
        <vt:lpwstr/>
      </vt:variant>
      <vt:variant>
        <vt:i4>3080299</vt:i4>
      </vt:variant>
      <vt:variant>
        <vt:i4>1776</vt:i4>
      </vt:variant>
      <vt:variant>
        <vt:i4>0</vt:i4>
      </vt:variant>
      <vt:variant>
        <vt:i4>5</vt:i4>
      </vt:variant>
      <vt:variant>
        <vt:lpwstr>http://www.das.ohio.gov/LinkClick.aspx?fileticket=D6T7Sb1qZ0k%3d&amp;tabid=265</vt:lpwstr>
      </vt:variant>
      <vt:variant>
        <vt:lpwstr/>
      </vt:variant>
      <vt:variant>
        <vt:i4>3211319</vt:i4>
      </vt:variant>
      <vt:variant>
        <vt:i4>1773</vt:i4>
      </vt:variant>
      <vt:variant>
        <vt:i4>0</vt:i4>
      </vt:variant>
      <vt:variant>
        <vt:i4>5</vt:i4>
      </vt:variant>
      <vt:variant>
        <vt:lpwstr>http://www.supremecourt.ohio.gov/rod/docs/pdf/0/2011/2011-Ohio-3279.pdf</vt:lpwstr>
      </vt:variant>
      <vt:variant>
        <vt:lpwstr/>
      </vt:variant>
      <vt:variant>
        <vt:i4>5570591</vt:i4>
      </vt:variant>
      <vt:variant>
        <vt:i4>1770</vt:i4>
      </vt:variant>
      <vt:variant>
        <vt:i4>0</vt:i4>
      </vt:variant>
      <vt:variant>
        <vt:i4>5</vt:i4>
      </vt:variant>
      <vt:variant>
        <vt:lpwstr>https://ohioauditor.gov/publications/bulletins/2011/2011-006.pdf</vt:lpwstr>
      </vt:variant>
      <vt:variant>
        <vt:lpwstr/>
      </vt:variant>
      <vt:variant>
        <vt:i4>3997759</vt:i4>
      </vt:variant>
      <vt:variant>
        <vt:i4>1767</vt:i4>
      </vt:variant>
      <vt:variant>
        <vt:i4>0</vt:i4>
      </vt:variant>
      <vt:variant>
        <vt:i4>5</vt:i4>
      </vt:variant>
      <vt:variant>
        <vt:lpwstr>http://www.supremecourt.ohio.gov/rod/docs/pdf/8/2018/2018-Ohio-5240.pdf</vt:lpwstr>
      </vt:variant>
      <vt:variant>
        <vt:lpwstr/>
      </vt:variant>
      <vt:variant>
        <vt:i4>5111819</vt:i4>
      </vt:variant>
      <vt:variant>
        <vt:i4>1764</vt:i4>
      </vt:variant>
      <vt:variant>
        <vt:i4>0</vt:i4>
      </vt:variant>
      <vt:variant>
        <vt:i4>5</vt:i4>
      </vt:variant>
      <vt:variant>
        <vt:lpwstr>http://www.ohiocourtofclaims.gov/</vt:lpwstr>
      </vt:variant>
      <vt:variant>
        <vt:lpwstr/>
      </vt:variant>
      <vt:variant>
        <vt:i4>3604534</vt:i4>
      </vt:variant>
      <vt:variant>
        <vt:i4>1761</vt:i4>
      </vt:variant>
      <vt:variant>
        <vt:i4>0</vt:i4>
      </vt:variant>
      <vt:variant>
        <vt:i4>5</vt:i4>
      </vt:variant>
      <vt:variant>
        <vt:lpwstr>http://www.supremecourt.ohio.gov/rod/docs/pdf/0/2016/2016-Ohio-2974.pdf</vt:lpwstr>
      </vt:variant>
      <vt:variant>
        <vt:lpwstr/>
      </vt:variant>
      <vt:variant>
        <vt:i4>3407924</vt:i4>
      </vt:variant>
      <vt:variant>
        <vt:i4>1758</vt:i4>
      </vt:variant>
      <vt:variant>
        <vt:i4>0</vt:i4>
      </vt:variant>
      <vt:variant>
        <vt:i4>5</vt:i4>
      </vt:variant>
      <vt:variant>
        <vt:lpwstr>http://www.supremecourt.ohio.gov/rod/docs/pdf/0/2015/2015-Ohio-4915.pdf</vt:lpwstr>
      </vt:variant>
      <vt:variant>
        <vt:lpwstr/>
      </vt:variant>
      <vt:variant>
        <vt:i4>3342394</vt:i4>
      </vt:variant>
      <vt:variant>
        <vt:i4>1755</vt:i4>
      </vt:variant>
      <vt:variant>
        <vt:i4>0</vt:i4>
      </vt:variant>
      <vt:variant>
        <vt:i4>5</vt:i4>
      </vt:variant>
      <vt:variant>
        <vt:lpwstr>http://www.supremecourt.ohio.gov/rod/docs/pdf/4/2013/2013-Ohio-5414.pdf</vt:lpwstr>
      </vt:variant>
      <vt:variant>
        <vt:lpwstr/>
      </vt:variant>
      <vt:variant>
        <vt:i4>3539006</vt:i4>
      </vt:variant>
      <vt:variant>
        <vt:i4>1752</vt:i4>
      </vt:variant>
      <vt:variant>
        <vt:i4>0</vt:i4>
      </vt:variant>
      <vt:variant>
        <vt:i4>5</vt:i4>
      </vt:variant>
      <vt:variant>
        <vt:lpwstr>http://www.supremecourt.ohio.gov/rod/docs/pdf/0/2010/2010-Ohio-5073.pdf</vt:lpwstr>
      </vt:variant>
      <vt:variant>
        <vt:lpwstr/>
      </vt:variant>
      <vt:variant>
        <vt:i4>3211325</vt:i4>
      </vt:variant>
      <vt:variant>
        <vt:i4>1749</vt:i4>
      </vt:variant>
      <vt:variant>
        <vt:i4>0</vt:i4>
      </vt:variant>
      <vt:variant>
        <vt:i4>5</vt:i4>
      </vt:variant>
      <vt:variant>
        <vt:lpwstr>http://www.supremecourt.ohio.gov/rod/docs/pdf/0/2016/2016-Ohio-1026.pdf</vt:lpwstr>
      </vt:variant>
      <vt:variant>
        <vt:lpwstr/>
      </vt:variant>
      <vt:variant>
        <vt:i4>3407924</vt:i4>
      </vt:variant>
      <vt:variant>
        <vt:i4>1746</vt:i4>
      </vt:variant>
      <vt:variant>
        <vt:i4>0</vt:i4>
      </vt:variant>
      <vt:variant>
        <vt:i4>5</vt:i4>
      </vt:variant>
      <vt:variant>
        <vt:lpwstr>http://www.supremecourt.ohio.gov/rod/docs/pdf/0/2015/2015-Ohio-4915.pdf</vt:lpwstr>
      </vt:variant>
      <vt:variant>
        <vt:lpwstr/>
      </vt:variant>
      <vt:variant>
        <vt:i4>3211324</vt:i4>
      </vt:variant>
      <vt:variant>
        <vt:i4>1743</vt:i4>
      </vt:variant>
      <vt:variant>
        <vt:i4>0</vt:i4>
      </vt:variant>
      <vt:variant>
        <vt:i4>5</vt:i4>
      </vt:variant>
      <vt:variant>
        <vt:lpwstr>http://www.supremecourt.ohio.gov/rod/docs/pdf/5/2014/2014-Ohio-4555.pdf</vt:lpwstr>
      </vt:variant>
      <vt:variant>
        <vt:lpwstr/>
      </vt:variant>
      <vt:variant>
        <vt:i4>3342394</vt:i4>
      </vt:variant>
      <vt:variant>
        <vt:i4>1740</vt:i4>
      </vt:variant>
      <vt:variant>
        <vt:i4>0</vt:i4>
      </vt:variant>
      <vt:variant>
        <vt:i4>5</vt:i4>
      </vt:variant>
      <vt:variant>
        <vt:lpwstr>http://www.supremecourt.ohio.gov/rod/docs/pdf/4/2013/2013-Ohio-5414.pdf</vt:lpwstr>
      </vt:variant>
      <vt:variant>
        <vt:lpwstr/>
      </vt:variant>
      <vt:variant>
        <vt:i4>3473471</vt:i4>
      </vt:variant>
      <vt:variant>
        <vt:i4>1737</vt:i4>
      </vt:variant>
      <vt:variant>
        <vt:i4>0</vt:i4>
      </vt:variant>
      <vt:variant>
        <vt:i4>5</vt:i4>
      </vt:variant>
      <vt:variant>
        <vt:lpwstr>http://www.supremecourt.ohio.gov/rod/docs/pdf/0/2011/2011-Ohio-5350.pdf</vt:lpwstr>
      </vt:variant>
      <vt:variant>
        <vt:lpwstr/>
      </vt:variant>
      <vt:variant>
        <vt:i4>3801145</vt:i4>
      </vt:variant>
      <vt:variant>
        <vt:i4>1734</vt:i4>
      </vt:variant>
      <vt:variant>
        <vt:i4>0</vt:i4>
      </vt:variant>
      <vt:variant>
        <vt:i4>5</vt:i4>
      </vt:variant>
      <vt:variant>
        <vt:lpwstr>http://www.supremecourt.ohio.gov/rod/docs/pdf/6/2018/2018-Ohio-1973.pdf</vt:lpwstr>
      </vt:variant>
      <vt:variant>
        <vt:lpwstr/>
      </vt:variant>
      <vt:variant>
        <vt:i4>3342394</vt:i4>
      </vt:variant>
      <vt:variant>
        <vt:i4>1731</vt:i4>
      </vt:variant>
      <vt:variant>
        <vt:i4>0</vt:i4>
      </vt:variant>
      <vt:variant>
        <vt:i4>5</vt:i4>
      </vt:variant>
      <vt:variant>
        <vt:lpwstr>http://www.supremecourt.ohio.gov/rod/docs/pdf/4/2013/2013-Ohio-5414.pdf</vt:lpwstr>
      </vt:variant>
      <vt:variant>
        <vt:lpwstr/>
      </vt:variant>
      <vt:variant>
        <vt:i4>3473471</vt:i4>
      </vt:variant>
      <vt:variant>
        <vt:i4>1728</vt:i4>
      </vt:variant>
      <vt:variant>
        <vt:i4>0</vt:i4>
      </vt:variant>
      <vt:variant>
        <vt:i4>5</vt:i4>
      </vt:variant>
      <vt:variant>
        <vt:lpwstr>http://www.supremecourt.ohio.gov/rod/docs/pdf/0/2011/2011-Ohio-5350.pdf</vt:lpwstr>
      </vt:variant>
      <vt:variant>
        <vt:lpwstr/>
      </vt:variant>
      <vt:variant>
        <vt:i4>3211325</vt:i4>
      </vt:variant>
      <vt:variant>
        <vt:i4>1725</vt:i4>
      </vt:variant>
      <vt:variant>
        <vt:i4>0</vt:i4>
      </vt:variant>
      <vt:variant>
        <vt:i4>5</vt:i4>
      </vt:variant>
      <vt:variant>
        <vt:lpwstr>http://www.supremecourt.ohio.gov/rod/docs/pdf/0/2016/2016-Ohio-1026.pdf</vt:lpwstr>
      </vt:variant>
      <vt:variant>
        <vt:lpwstr/>
      </vt:variant>
      <vt:variant>
        <vt:i4>3407924</vt:i4>
      </vt:variant>
      <vt:variant>
        <vt:i4>1722</vt:i4>
      </vt:variant>
      <vt:variant>
        <vt:i4>0</vt:i4>
      </vt:variant>
      <vt:variant>
        <vt:i4>5</vt:i4>
      </vt:variant>
      <vt:variant>
        <vt:lpwstr>http://www.supremecourt.ohio.gov/rod/docs/pdf/0/2015/2015-Ohio-4915.pdf</vt:lpwstr>
      </vt:variant>
      <vt:variant>
        <vt:lpwstr/>
      </vt:variant>
      <vt:variant>
        <vt:i4>3670069</vt:i4>
      </vt:variant>
      <vt:variant>
        <vt:i4>1719</vt:i4>
      </vt:variant>
      <vt:variant>
        <vt:i4>0</vt:i4>
      </vt:variant>
      <vt:variant>
        <vt:i4>5</vt:i4>
      </vt:variant>
      <vt:variant>
        <vt:lpwstr>http://www.supremecourt.ohio.gov/rod/docs/pdf/0/2018/2018-Ohio-5111.pdf</vt:lpwstr>
      </vt:variant>
      <vt:variant>
        <vt:lpwstr/>
      </vt:variant>
      <vt:variant>
        <vt:i4>3604534</vt:i4>
      </vt:variant>
      <vt:variant>
        <vt:i4>1716</vt:i4>
      </vt:variant>
      <vt:variant>
        <vt:i4>0</vt:i4>
      </vt:variant>
      <vt:variant>
        <vt:i4>5</vt:i4>
      </vt:variant>
      <vt:variant>
        <vt:lpwstr>http://www.supremecourt.ohio.gov/rod/docs/pdf/0/2016/2016-Ohio-2974.pdf</vt:lpwstr>
      </vt:variant>
      <vt:variant>
        <vt:lpwstr/>
      </vt:variant>
      <vt:variant>
        <vt:i4>3342397</vt:i4>
      </vt:variant>
      <vt:variant>
        <vt:i4>1713</vt:i4>
      </vt:variant>
      <vt:variant>
        <vt:i4>0</vt:i4>
      </vt:variant>
      <vt:variant>
        <vt:i4>5</vt:i4>
      </vt:variant>
      <vt:variant>
        <vt:lpwstr>http://www.supremecourt.ohio.gov/rod/docs/pdf/6/2010/2010-Ohio-2751.pdf</vt:lpwstr>
      </vt:variant>
      <vt:variant>
        <vt:lpwstr/>
      </vt:variant>
      <vt:variant>
        <vt:i4>3932221</vt:i4>
      </vt:variant>
      <vt:variant>
        <vt:i4>1710</vt:i4>
      </vt:variant>
      <vt:variant>
        <vt:i4>0</vt:i4>
      </vt:variant>
      <vt:variant>
        <vt:i4>5</vt:i4>
      </vt:variant>
      <vt:variant>
        <vt:lpwstr>http://www.supremecourt.ohio.gov/rod/docs/pdf/0/2009/2009-Ohio-4149.pdf</vt:lpwstr>
      </vt:variant>
      <vt:variant>
        <vt:lpwstr/>
      </vt:variant>
      <vt:variant>
        <vt:i4>3670069</vt:i4>
      </vt:variant>
      <vt:variant>
        <vt:i4>1707</vt:i4>
      </vt:variant>
      <vt:variant>
        <vt:i4>0</vt:i4>
      </vt:variant>
      <vt:variant>
        <vt:i4>5</vt:i4>
      </vt:variant>
      <vt:variant>
        <vt:lpwstr>http://www.supremecourt.ohio.gov/rod/docs/pdf/0/2018/2018-Ohio-5111.pdf</vt:lpwstr>
      </vt:variant>
      <vt:variant>
        <vt:lpwstr/>
      </vt:variant>
      <vt:variant>
        <vt:i4>3997756</vt:i4>
      </vt:variant>
      <vt:variant>
        <vt:i4>1704</vt:i4>
      </vt:variant>
      <vt:variant>
        <vt:i4>0</vt:i4>
      </vt:variant>
      <vt:variant>
        <vt:i4>5</vt:i4>
      </vt:variant>
      <vt:variant>
        <vt:lpwstr>http://www.supremecourt.ohio.gov/rod/docs/pdf/6/2013/2013-Ohio-3094.pdf</vt:lpwstr>
      </vt:variant>
      <vt:variant>
        <vt:lpwstr/>
      </vt:variant>
      <vt:variant>
        <vt:i4>6291509</vt:i4>
      </vt:variant>
      <vt:variant>
        <vt:i4>1701</vt:i4>
      </vt:variant>
      <vt:variant>
        <vt:i4>0</vt:i4>
      </vt:variant>
      <vt:variant>
        <vt:i4>5</vt:i4>
      </vt:variant>
      <vt:variant>
        <vt:lpwstr>http://www.supremecourt.ohio.gov/rod/docs/pdf/8/2009/2009-Ohio-727.pdf</vt:lpwstr>
      </vt:variant>
      <vt:variant>
        <vt:lpwstr/>
      </vt:variant>
      <vt:variant>
        <vt:i4>3932221</vt:i4>
      </vt:variant>
      <vt:variant>
        <vt:i4>1698</vt:i4>
      </vt:variant>
      <vt:variant>
        <vt:i4>0</vt:i4>
      </vt:variant>
      <vt:variant>
        <vt:i4>5</vt:i4>
      </vt:variant>
      <vt:variant>
        <vt:lpwstr>http://www.supremecourt.ohio.gov/rod/docs/pdf/0/2009/2009-Ohio-4149.pdf</vt:lpwstr>
      </vt:variant>
      <vt:variant>
        <vt:lpwstr/>
      </vt:variant>
      <vt:variant>
        <vt:i4>3211324</vt:i4>
      </vt:variant>
      <vt:variant>
        <vt:i4>1695</vt:i4>
      </vt:variant>
      <vt:variant>
        <vt:i4>0</vt:i4>
      </vt:variant>
      <vt:variant>
        <vt:i4>5</vt:i4>
      </vt:variant>
      <vt:variant>
        <vt:lpwstr>http://www.supremecourt.ohio.gov/rod/docs/pdf/0/2012/2012-Ohio-5320.pdf</vt:lpwstr>
      </vt:variant>
      <vt:variant>
        <vt:lpwstr/>
      </vt:variant>
      <vt:variant>
        <vt:i4>3145781</vt:i4>
      </vt:variant>
      <vt:variant>
        <vt:i4>1692</vt:i4>
      </vt:variant>
      <vt:variant>
        <vt:i4>0</vt:i4>
      </vt:variant>
      <vt:variant>
        <vt:i4>5</vt:i4>
      </vt:variant>
      <vt:variant>
        <vt:lpwstr>http://www.supremecourt.ohio.gov/rod/docs/pdf/2/2013/2013-Ohio-3841.pdf</vt:lpwstr>
      </vt:variant>
      <vt:variant>
        <vt:lpwstr/>
      </vt:variant>
      <vt:variant>
        <vt:i4>3342397</vt:i4>
      </vt:variant>
      <vt:variant>
        <vt:i4>1689</vt:i4>
      </vt:variant>
      <vt:variant>
        <vt:i4>0</vt:i4>
      </vt:variant>
      <vt:variant>
        <vt:i4>5</vt:i4>
      </vt:variant>
      <vt:variant>
        <vt:lpwstr>http://www.supremecourt.ohio.gov/rod/docs/pdf/6/2010/2010-Ohio-2751.pdf</vt:lpwstr>
      </vt:variant>
      <vt:variant>
        <vt:lpwstr/>
      </vt:variant>
      <vt:variant>
        <vt:i4>6291509</vt:i4>
      </vt:variant>
      <vt:variant>
        <vt:i4>1686</vt:i4>
      </vt:variant>
      <vt:variant>
        <vt:i4>0</vt:i4>
      </vt:variant>
      <vt:variant>
        <vt:i4>5</vt:i4>
      </vt:variant>
      <vt:variant>
        <vt:lpwstr>http://www.supremecourt.ohio.gov/rod/docs/pdf/0/2015/2015-Ohio-974.pdf</vt:lpwstr>
      </vt:variant>
      <vt:variant>
        <vt:lpwstr/>
      </vt:variant>
      <vt:variant>
        <vt:i4>3735611</vt:i4>
      </vt:variant>
      <vt:variant>
        <vt:i4>1683</vt:i4>
      </vt:variant>
      <vt:variant>
        <vt:i4>0</vt:i4>
      </vt:variant>
      <vt:variant>
        <vt:i4>5</vt:i4>
      </vt:variant>
      <vt:variant>
        <vt:lpwstr>http://www.supremecourt.ohio.gov/rod/docs/pdf/0/2010/2010-Ohio-5680.pdf</vt:lpwstr>
      </vt:variant>
      <vt:variant>
        <vt:lpwstr/>
      </vt:variant>
      <vt:variant>
        <vt:i4>4063285</vt:i4>
      </vt:variant>
      <vt:variant>
        <vt:i4>1680</vt:i4>
      </vt:variant>
      <vt:variant>
        <vt:i4>0</vt:i4>
      </vt:variant>
      <vt:variant>
        <vt:i4>5</vt:i4>
      </vt:variant>
      <vt:variant>
        <vt:lpwstr>http://www.supremecourt.ohio.gov/rod/docs/pdf/0/2008/2008-Ohio-6253.pdf</vt:lpwstr>
      </vt:variant>
      <vt:variant>
        <vt:lpwstr/>
      </vt:variant>
      <vt:variant>
        <vt:i4>4063285</vt:i4>
      </vt:variant>
      <vt:variant>
        <vt:i4>1677</vt:i4>
      </vt:variant>
      <vt:variant>
        <vt:i4>0</vt:i4>
      </vt:variant>
      <vt:variant>
        <vt:i4>5</vt:i4>
      </vt:variant>
      <vt:variant>
        <vt:lpwstr>http://www.supremecourt.ohio.gov/rod/docs/pdf/0/2008/2008-Ohio-6253.pdf</vt:lpwstr>
      </vt:variant>
      <vt:variant>
        <vt:lpwstr/>
      </vt:variant>
      <vt:variant>
        <vt:i4>3342398</vt:i4>
      </vt:variant>
      <vt:variant>
        <vt:i4>1674</vt:i4>
      </vt:variant>
      <vt:variant>
        <vt:i4>0</vt:i4>
      </vt:variant>
      <vt:variant>
        <vt:i4>5</vt:i4>
      </vt:variant>
      <vt:variant>
        <vt:lpwstr>http://www.supremecourt.ohio.gov/rod/docs/pdf/0/2010/2010-Ohio-5724.pdf</vt:lpwstr>
      </vt:variant>
      <vt:variant>
        <vt:lpwstr/>
      </vt:variant>
      <vt:variant>
        <vt:i4>6160394</vt:i4>
      </vt:variant>
      <vt:variant>
        <vt:i4>1671</vt:i4>
      </vt:variant>
      <vt:variant>
        <vt:i4>0</vt:i4>
      </vt:variant>
      <vt:variant>
        <vt:i4>5</vt:i4>
      </vt:variant>
      <vt:variant>
        <vt:lpwstr>http://www.supremecourt.ohio.gov/rod/docs/pdf/10/2016/2016-Ohio-8534.pdf</vt:lpwstr>
      </vt:variant>
      <vt:variant>
        <vt:lpwstr/>
      </vt:variant>
      <vt:variant>
        <vt:i4>6291509</vt:i4>
      </vt:variant>
      <vt:variant>
        <vt:i4>1668</vt:i4>
      </vt:variant>
      <vt:variant>
        <vt:i4>0</vt:i4>
      </vt:variant>
      <vt:variant>
        <vt:i4>5</vt:i4>
      </vt:variant>
      <vt:variant>
        <vt:lpwstr>http://www.supremecourt.ohio.gov/rod/docs/pdf/8/2009/2009-Ohio-727.pdf</vt:lpwstr>
      </vt:variant>
      <vt:variant>
        <vt:lpwstr/>
      </vt:variant>
      <vt:variant>
        <vt:i4>3407925</vt:i4>
      </vt:variant>
      <vt:variant>
        <vt:i4>1665</vt:i4>
      </vt:variant>
      <vt:variant>
        <vt:i4>0</vt:i4>
      </vt:variant>
      <vt:variant>
        <vt:i4>5</vt:i4>
      </vt:variant>
      <vt:variant>
        <vt:lpwstr>http://www.supremecourt.ohio.gov/rod/docs/pdf/0/2015/2015-Ohio-4914.pdf</vt:lpwstr>
      </vt:variant>
      <vt:variant>
        <vt:lpwstr/>
      </vt:variant>
      <vt:variant>
        <vt:i4>6357040</vt:i4>
      </vt:variant>
      <vt:variant>
        <vt:i4>1662</vt:i4>
      </vt:variant>
      <vt:variant>
        <vt:i4>0</vt:i4>
      </vt:variant>
      <vt:variant>
        <vt:i4>5</vt:i4>
      </vt:variant>
      <vt:variant>
        <vt:lpwstr>http://www.supremecourt.ohio.gov/rod/docs/pdf/0/2014/2014-Ohio-538.pdf</vt:lpwstr>
      </vt:variant>
      <vt:variant>
        <vt:lpwstr/>
      </vt:variant>
      <vt:variant>
        <vt:i4>3342396</vt:i4>
      </vt:variant>
      <vt:variant>
        <vt:i4>1659</vt:i4>
      </vt:variant>
      <vt:variant>
        <vt:i4>0</vt:i4>
      </vt:variant>
      <vt:variant>
        <vt:i4>5</vt:i4>
      </vt:variant>
      <vt:variant>
        <vt:lpwstr>http://www.supremecourt.ohio.gov/rod/docs/pdf/0/2016/2016-Ohio-8394.pdf</vt:lpwstr>
      </vt:variant>
      <vt:variant>
        <vt:lpwstr/>
      </vt:variant>
      <vt:variant>
        <vt:i4>3997746</vt:i4>
      </vt:variant>
      <vt:variant>
        <vt:i4>1656</vt:i4>
      </vt:variant>
      <vt:variant>
        <vt:i4>0</vt:i4>
      </vt:variant>
      <vt:variant>
        <vt:i4>5</vt:i4>
      </vt:variant>
      <vt:variant>
        <vt:lpwstr>http://www.supremecourt.ohio.gov/rod/docs/pdf/8/2012/2012-Ohio-2396.pdf</vt:lpwstr>
      </vt:variant>
      <vt:variant>
        <vt:lpwstr/>
      </vt:variant>
      <vt:variant>
        <vt:i4>3932222</vt:i4>
      </vt:variant>
      <vt:variant>
        <vt:i4>1653</vt:i4>
      </vt:variant>
      <vt:variant>
        <vt:i4>0</vt:i4>
      </vt:variant>
      <vt:variant>
        <vt:i4>5</vt:i4>
      </vt:variant>
      <vt:variant>
        <vt:lpwstr>http://www.supremecourt.ohio.gov/rod/docs/pdf/0/2009/2009-Ohio-4942.pdf</vt:lpwstr>
      </vt:variant>
      <vt:variant>
        <vt:lpwstr/>
      </vt:variant>
      <vt:variant>
        <vt:i4>7209008</vt:i4>
      </vt:variant>
      <vt:variant>
        <vt:i4>1650</vt:i4>
      </vt:variant>
      <vt:variant>
        <vt:i4>0</vt:i4>
      </vt:variant>
      <vt:variant>
        <vt:i4>5</vt:i4>
      </vt:variant>
      <vt:variant>
        <vt:lpwstr>http://www.supremecourt.ohio.gov/rod/docs/pdf/0/2012/2012-Ohio-753.pdf</vt:lpwstr>
      </vt:variant>
      <vt:variant>
        <vt:lpwstr/>
      </vt:variant>
      <vt:variant>
        <vt:i4>3473465</vt:i4>
      </vt:variant>
      <vt:variant>
        <vt:i4>1647</vt:i4>
      </vt:variant>
      <vt:variant>
        <vt:i4>0</vt:i4>
      </vt:variant>
      <vt:variant>
        <vt:i4>5</vt:i4>
      </vt:variant>
      <vt:variant>
        <vt:lpwstr>http://www.supremecourt.ohio.gov/rod/docs/pdf/0/2016/2016-Ohio-5725.pdf</vt:lpwstr>
      </vt:variant>
      <vt:variant>
        <vt:lpwstr/>
      </vt:variant>
      <vt:variant>
        <vt:i4>3276850</vt:i4>
      </vt:variant>
      <vt:variant>
        <vt:i4>1644</vt:i4>
      </vt:variant>
      <vt:variant>
        <vt:i4>0</vt:i4>
      </vt:variant>
      <vt:variant>
        <vt:i4>5</vt:i4>
      </vt:variant>
      <vt:variant>
        <vt:lpwstr>http://www.supremecourt.ohio.gov/rod/docs/pdf/0/2007/2007-Ohio-3831.pdf</vt:lpwstr>
      </vt:variant>
      <vt:variant>
        <vt:lpwstr/>
      </vt:variant>
      <vt:variant>
        <vt:i4>7209008</vt:i4>
      </vt:variant>
      <vt:variant>
        <vt:i4>1641</vt:i4>
      </vt:variant>
      <vt:variant>
        <vt:i4>0</vt:i4>
      </vt:variant>
      <vt:variant>
        <vt:i4>5</vt:i4>
      </vt:variant>
      <vt:variant>
        <vt:lpwstr>http://www.supremecourt.ohio.gov/rod/docs/pdf/0/2012/2012-Ohio-753.pdf</vt:lpwstr>
      </vt:variant>
      <vt:variant>
        <vt:lpwstr/>
      </vt:variant>
      <vt:variant>
        <vt:i4>3932222</vt:i4>
      </vt:variant>
      <vt:variant>
        <vt:i4>1638</vt:i4>
      </vt:variant>
      <vt:variant>
        <vt:i4>0</vt:i4>
      </vt:variant>
      <vt:variant>
        <vt:i4>5</vt:i4>
      </vt:variant>
      <vt:variant>
        <vt:lpwstr>http://www.supremecourt.ohio.gov/rod/docs/pdf/0/2009/2009-Ohio-4942.pdf</vt:lpwstr>
      </vt:variant>
      <vt:variant>
        <vt:lpwstr/>
      </vt:variant>
      <vt:variant>
        <vt:i4>3997753</vt:i4>
      </vt:variant>
      <vt:variant>
        <vt:i4>1635</vt:i4>
      </vt:variant>
      <vt:variant>
        <vt:i4>0</vt:i4>
      </vt:variant>
      <vt:variant>
        <vt:i4>5</vt:i4>
      </vt:variant>
      <vt:variant>
        <vt:lpwstr>http://www.supremecourt.ohio.gov/rod/docs/pdf/0/2012/2012-Ohio-2690.pdf</vt:lpwstr>
      </vt:variant>
      <vt:variant>
        <vt:lpwstr/>
      </vt:variant>
      <vt:variant>
        <vt:i4>6946878</vt:i4>
      </vt:variant>
      <vt:variant>
        <vt:i4>1632</vt:i4>
      </vt:variant>
      <vt:variant>
        <vt:i4>0</vt:i4>
      </vt:variant>
      <vt:variant>
        <vt:i4>5</vt:i4>
      </vt:variant>
      <vt:variant>
        <vt:lpwstr>http://www.supremecourt.ohio.gov/rod/docs/pdf/0/2001/2001-Ohio-193.pdf</vt:lpwstr>
      </vt:variant>
      <vt:variant>
        <vt:lpwstr/>
      </vt:variant>
      <vt:variant>
        <vt:i4>3997748</vt:i4>
      </vt:variant>
      <vt:variant>
        <vt:i4>1629</vt:i4>
      </vt:variant>
      <vt:variant>
        <vt:i4>0</vt:i4>
      </vt:variant>
      <vt:variant>
        <vt:i4>5</vt:i4>
      </vt:variant>
      <vt:variant>
        <vt:lpwstr>http://www.supremecourt.ohio.gov/rod/docs/pdf/0/2004/2004-Ohio-4884.pdf</vt:lpwstr>
      </vt:variant>
      <vt:variant>
        <vt:lpwstr/>
      </vt:variant>
      <vt:variant>
        <vt:i4>4128817</vt:i4>
      </vt:variant>
      <vt:variant>
        <vt:i4>1626</vt:i4>
      </vt:variant>
      <vt:variant>
        <vt:i4>0</vt:i4>
      </vt:variant>
      <vt:variant>
        <vt:i4>5</vt:i4>
      </vt:variant>
      <vt:variant>
        <vt:lpwstr>http://www.supremecourt.ohio.gov/rod/docs/pdf/8/2012/2012-Ohio-1187.pdf</vt:lpwstr>
      </vt:variant>
      <vt:variant>
        <vt:lpwstr/>
      </vt:variant>
      <vt:variant>
        <vt:i4>5308416</vt:i4>
      </vt:variant>
      <vt:variant>
        <vt:i4>1623</vt:i4>
      </vt:variant>
      <vt:variant>
        <vt:i4>0</vt:i4>
      </vt:variant>
      <vt:variant>
        <vt:i4>5</vt:i4>
      </vt:variant>
      <vt:variant>
        <vt:lpwstr>http://www.supremecourt.ohio.gov/rod/docs/pdf/10/2013/2013-Ohio-5219.pdf</vt:lpwstr>
      </vt:variant>
      <vt:variant>
        <vt:lpwstr/>
      </vt:variant>
      <vt:variant>
        <vt:i4>3276858</vt:i4>
      </vt:variant>
      <vt:variant>
        <vt:i4>1620</vt:i4>
      </vt:variant>
      <vt:variant>
        <vt:i4>0</vt:i4>
      </vt:variant>
      <vt:variant>
        <vt:i4>5</vt:i4>
      </vt:variant>
      <vt:variant>
        <vt:lpwstr>http://www.supremecourt.ohio.gov/rod/docs/pdf/0/2004/2004-Ohio-6557.pdf</vt:lpwstr>
      </vt:variant>
      <vt:variant>
        <vt:lpwstr/>
      </vt:variant>
      <vt:variant>
        <vt:i4>7209012</vt:i4>
      </vt:variant>
      <vt:variant>
        <vt:i4>1617</vt:i4>
      </vt:variant>
      <vt:variant>
        <vt:i4>0</vt:i4>
      </vt:variant>
      <vt:variant>
        <vt:i4>5</vt:i4>
      </vt:variant>
      <vt:variant>
        <vt:lpwstr>http://www.supremecourt.ohio.gov/rod/docs/pdf/0/2012/2012-Ohio-115.pdf</vt:lpwstr>
      </vt:variant>
      <vt:variant>
        <vt:lpwstr/>
      </vt:variant>
      <vt:variant>
        <vt:i4>3866675</vt:i4>
      </vt:variant>
      <vt:variant>
        <vt:i4>1614</vt:i4>
      </vt:variant>
      <vt:variant>
        <vt:i4>0</vt:i4>
      </vt:variant>
      <vt:variant>
        <vt:i4>5</vt:i4>
      </vt:variant>
      <vt:variant>
        <vt:lpwstr>http://www.supremecourt.ohio.gov/rod/docs/pdf/8/2013/2013-Ohio-4481.pdf</vt:lpwstr>
      </vt:variant>
      <vt:variant>
        <vt:lpwstr/>
      </vt:variant>
      <vt:variant>
        <vt:i4>7077950</vt:i4>
      </vt:variant>
      <vt:variant>
        <vt:i4>1611</vt:i4>
      </vt:variant>
      <vt:variant>
        <vt:i4>0</vt:i4>
      </vt:variant>
      <vt:variant>
        <vt:i4>5</vt:i4>
      </vt:variant>
      <vt:variant>
        <vt:lpwstr>http://www.supremecourt.ohio.gov/rod/docs/pdf/0/1998/1998-Ohio-638.pdf</vt:lpwstr>
      </vt:variant>
      <vt:variant>
        <vt:lpwstr/>
      </vt:variant>
      <vt:variant>
        <vt:i4>7274559</vt:i4>
      </vt:variant>
      <vt:variant>
        <vt:i4>1608</vt:i4>
      </vt:variant>
      <vt:variant>
        <vt:i4>0</vt:i4>
      </vt:variant>
      <vt:variant>
        <vt:i4>5</vt:i4>
      </vt:variant>
      <vt:variant>
        <vt:lpwstr>http://www.supremecourt.ohio.gov/rod/docs/pdf/8/2011/2011-Ohio-117.pdf</vt:lpwstr>
      </vt:variant>
      <vt:variant>
        <vt:lpwstr/>
      </vt:variant>
      <vt:variant>
        <vt:i4>6946878</vt:i4>
      </vt:variant>
      <vt:variant>
        <vt:i4>1605</vt:i4>
      </vt:variant>
      <vt:variant>
        <vt:i4>0</vt:i4>
      </vt:variant>
      <vt:variant>
        <vt:i4>5</vt:i4>
      </vt:variant>
      <vt:variant>
        <vt:lpwstr>http://www.supremecourt.ohio.gov/rod/docs/pdf/0/2001/2001-Ohio-193.pdf</vt:lpwstr>
      </vt:variant>
      <vt:variant>
        <vt:lpwstr/>
      </vt:variant>
      <vt:variant>
        <vt:i4>3932221</vt:i4>
      </vt:variant>
      <vt:variant>
        <vt:i4>1602</vt:i4>
      </vt:variant>
      <vt:variant>
        <vt:i4>0</vt:i4>
      </vt:variant>
      <vt:variant>
        <vt:i4>5</vt:i4>
      </vt:variant>
      <vt:variant>
        <vt:lpwstr>http://www.supremecourt.ohio.gov/rod/docs/pdf/0/2009/2009-Ohio-4149.pdf</vt:lpwstr>
      </vt:variant>
      <vt:variant>
        <vt:lpwstr/>
      </vt:variant>
      <vt:variant>
        <vt:i4>4063287</vt:i4>
      </vt:variant>
      <vt:variant>
        <vt:i4>1599</vt:i4>
      </vt:variant>
      <vt:variant>
        <vt:i4>0</vt:i4>
      </vt:variant>
      <vt:variant>
        <vt:i4>5</vt:i4>
      </vt:variant>
      <vt:variant>
        <vt:lpwstr>http://www.supremecourt.ohio.gov/rod/docs/pdf/8/2010/2010-Ohio-3193.pdf</vt:lpwstr>
      </vt:variant>
      <vt:variant>
        <vt:lpwstr/>
      </vt:variant>
      <vt:variant>
        <vt:i4>3342396</vt:i4>
      </vt:variant>
      <vt:variant>
        <vt:i4>1596</vt:i4>
      </vt:variant>
      <vt:variant>
        <vt:i4>0</vt:i4>
      </vt:variant>
      <vt:variant>
        <vt:i4>5</vt:i4>
      </vt:variant>
      <vt:variant>
        <vt:lpwstr>http://www.supremecourt.ohio.gov/rod/docs/pdf/0/2016/2016-Ohio-8394.pdf</vt:lpwstr>
      </vt:variant>
      <vt:variant>
        <vt:lpwstr/>
      </vt:variant>
      <vt:variant>
        <vt:i4>5439492</vt:i4>
      </vt:variant>
      <vt:variant>
        <vt:i4>1593</vt:i4>
      </vt:variant>
      <vt:variant>
        <vt:i4>0</vt:i4>
      </vt:variant>
      <vt:variant>
        <vt:i4>5</vt:i4>
      </vt:variant>
      <vt:variant>
        <vt:lpwstr>http://www.supremecourt.ohio.gov/rod/docs/pdf/12/2012/2012-Ohio-5842.pdf</vt:lpwstr>
      </vt:variant>
      <vt:variant>
        <vt:lpwstr/>
      </vt:variant>
      <vt:variant>
        <vt:i4>3866675</vt:i4>
      </vt:variant>
      <vt:variant>
        <vt:i4>1590</vt:i4>
      </vt:variant>
      <vt:variant>
        <vt:i4>0</vt:i4>
      </vt:variant>
      <vt:variant>
        <vt:i4>5</vt:i4>
      </vt:variant>
      <vt:variant>
        <vt:lpwstr>http://www.supremecourt.ohio.gov/rod/docs/pdf/8/2013/2013-Ohio-4481.pdf</vt:lpwstr>
      </vt:variant>
      <vt:variant>
        <vt:lpwstr/>
      </vt:variant>
      <vt:variant>
        <vt:i4>5898241</vt:i4>
      </vt:variant>
      <vt:variant>
        <vt:i4>1587</vt:i4>
      </vt:variant>
      <vt:variant>
        <vt:i4>0</vt:i4>
      </vt:variant>
      <vt:variant>
        <vt:i4>5</vt:i4>
      </vt:variant>
      <vt:variant>
        <vt:lpwstr>http://www.supremecourt.ohio.gov/rod/docs/pdf/12/2013/2013-Ohio-2270.pdf</vt:lpwstr>
      </vt:variant>
      <vt:variant>
        <vt:lpwstr/>
      </vt:variant>
      <vt:variant>
        <vt:i4>3932221</vt:i4>
      </vt:variant>
      <vt:variant>
        <vt:i4>1584</vt:i4>
      </vt:variant>
      <vt:variant>
        <vt:i4>0</vt:i4>
      </vt:variant>
      <vt:variant>
        <vt:i4>5</vt:i4>
      </vt:variant>
      <vt:variant>
        <vt:lpwstr>http://www.supremecourt.ohio.gov/rod/docs/pdf/0/2009/2009-Ohio-4149.pdf</vt:lpwstr>
      </vt:variant>
      <vt:variant>
        <vt:lpwstr/>
      </vt:variant>
      <vt:variant>
        <vt:i4>3211317</vt:i4>
      </vt:variant>
      <vt:variant>
        <vt:i4>1581</vt:i4>
      </vt:variant>
      <vt:variant>
        <vt:i4>0</vt:i4>
      </vt:variant>
      <vt:variant>
        <vt:i4>5</vt:i4>
      </vt:variant>
      <vt:variant>
        <vt:lpwstr>http://www.supremecourt.ohio.gov/rod/docs/pdf/0/2009/2009-Ohio-4090.pdf</vt:lpwstr>
      </vt:variant>
      <vt:variant>
        <vt:lpwstr/>
      </vt:variant>
      <vt:variant>
        <vt:i4>3670065</vt:i4>
      </vt:variant>
      <vt:variant>
        <vt:i4>1578</vt:i4>
      </vt:variant>
      <vt:variant>
        <vt:i4>0</vt:i4>
      </vt:variant>
      <vt:variant>
        <vt:i4>5</vt:i4>
      </vt:variant>
      <vt:variant>
        <vt:lpwstr>http://www.supremecourt.ohio.gov/rod/docs/pdf/0/2010/2010-Ohio-5995.pdf</vt:lpwstr>
      </vt:variant>
      <vt:variant>
        <vt:lpwstr/>
      </vt:variant>
      <vt:variant>
        <vt:i4>6291504</vt:i4>
      </vt:variant>
      <vt:variant>
        <vt:i4>1575</vt:i4>
      </vt:variant>
      <vt:variant>
        <vt:i4>0</vt:i4>
      </vt:variant>
      <vt:variant>
        <vt:i4>5</vt:i4>
      </vt:variant>
      <vt:variant>
        <vt:lpwstr>http://www.supremecourt.ohio.gov/rod/docs/pdf/0/2014/2014-Ohio-539.pdf</vt:lpwstr>
      </vt:variant>
      <vt:variant>
        <vt:lpwstr/>
      </vt:variant>
      <vt:variant>
        <vt:i4>6291509</vt:i4>
      </vt:variant>
      <vt:variant>
        <vt:i4>1572</vt:i4>
      </vt:variant>
      <vt:variant>
        <vt:i4>0</vt:i4>
      </vt:variant>
      <vt:variant>
        <vt:i4>5</vt:i4>
      </vt:variant>
      <vt:variant>
        <vt:lpwstr>http://www.supremecourt.ohio.gov/rod/docs/pdf/0/2015/2015-Ohio-974.pdf</vt:lpwstr>
      </vt:variant>
      <vt:variant>
        <vt:lpwstr/>
      </vt:variant>
      <vt:variant>
        <vt:i4>6357040</vt:i4>
      </vt:variant>
      <vt:variant>
        <vt:i4>1569</vt:i4>
      </vt:variant>
      <vt:variant>
        <vt:i4>0</vt:i4>
      </vt:variant>
      <vt:variant>
        <vt:i4>5</vt:i4>
      </vt:variant>
      <vt:variant>
        <vt:lpwstr>http://www.supremecourt.ohio.gov/rod/docs/pdf/0/2014/2014-Ohio-538.pdf</vt:lpwstr>
      </vt:variant>
      <vt:variant>
        <vt:lpwstr/>
      </vt:variant>
      <vt:variant>
        <vt:i4>6291504</vt:i4>
      </vt:variant>
      <vt:variant>
        <vt:i4>1566</vt:i4>
      </vt:variant>
      <vt:variant>
        <vt:i4>0</vt:i4>
      </vt:variant>
      <vt:variant>
        <vt:i4>5</vt:i4>
      </vt:variant>
      <vt:variant>
        <vt:lpwstr>http://www.supremecourt.ohio.gov/rod/docs/pdf/0/2014/2014-Ohio-539.pdf</vt:lpwstr>
      </vt:variant>
      <vt:variant>
        <vt:lpwstr/>
      </vt:variant>
      <vt:variant>
        <vt:i4>6291504</vt:i4>
      </vt:variant>
      <vt:variant>
        <vt:i4>1563</vt:i4>
      </vt:variant>
      <vt:variant>
        <vt:i4>0</vt:i4>
      </vt:variant>
      <vt:variant>
        <vt:i4>5</vt:i4>
      </vt:variant>
      <vt:variant>
        <vt:lpwstr>http://www.supremecourt.ohio.gov/rod/docs/pdf/0/2014/2014-Ohio-539.pdf</vt:lpwstr>
      </vt:variant>
      <vt:variant>
        <vt:lpwstr/>
      </vt:variant>
      <vt:variant>
        <vt:i4>6357040</vt:i4>
      </vt:variant>
      <vt:variant>
        <vt:i4>1560</vt:i4>
      </vt:variant>
      <vt:variant>
        <vt:i4>0</vt:i4>
      </vt:variant>
      <vt:variant>
        <vt:i4>5</vt:i4>
      </vt:variant>
      <vt:variant>
        <vt:lpwstr>http://www.supremecourt.ohio.gov/rod/docs/pdf/0/2014/2014-Ohio-538.pdf</vt:lpwstr>
      </vt:variant>
      <vt:variant>
        <vt:lpwstr/>
      </vt:variant>
      <vt:variant>
        <vt:i4>3801143</vt:i4>
      </vt:variant>
      <vt:variant>
        <vt:i4>1557</vt:i4>
      </vt:variant>
      <vt:variant>
        <vt:i4>0</vt:i4>
      </vt:variant>
      <vt:variant>
        <vt:i4>5</vt:i4>
      </vt:variant>
      <vt:variant>
        <vt:lpwstr>http://www.supremecourt.ohio.gov/rod/docs/pdf/0/2018/2018-Ohio-5133.pdf</vt:lpwstr>
      </vt:variant>
      <vt:variant>
        <vt:lpwstr/>
      </vt:variant>
      <vt:variant>
        <vt:i4>6160394</vt:i4>
      </vt:variant>
      <vt:variant>
        <vt:i4>1554</vt:i4>
      </vt:variant>
      <vt:variant>
        <vt:i4>0</vt:i4>
      </vt:variant>
      <vt:variant>
        <vt:i4>5</vt:i4>
      </vt:variant>
      <vt:variant>
        <vt:lpwstr>http://www.supremecourt.ohio.gov/rod/docs/pdf/10/2016/2016-Ohio-8534.pdf</vt:lpwstr>
      </vt:variant>
      <vt:variant>
        <vt:lpwstr/>
      </vt:variant>
      <vt:variant>
        <vt:i4>3342396</vt:i4>
      </vt:variant>
      <vt:variant>
        <vt:i4>1551</vt:i4>
      </vt:variant>
      <vt:variant>
        <vt:i4>0</vt:i4>
      </vt:variant>
      <vt:variant>
        <vt:i4>5</vt:i4>
      </vt:variant>
      <vt:variant>
        <vt:lpwstr>http://www.supremecourt.ohio.gov/rod/docs/pdf/0/2016/2016-Ohio-8394.pdf</vt:lpwstr>
      </vt:variant>
      <vt:variant>
        <vt:lpwstr/>
      </vt:variant>
      <vt:variant>
        <vt:i4>5767181</vt:i4>
      </vt:variant>
      <vt:variant>
        <vt:i4>1548</vt:i4>
      </vt:variant>
      <vt:variant>
        <vt:i4>0</vt:i4>
      </vt:variant>
      <vt:variant>
        <vt:i4>5</vt:i4>
      </vt:variant>
      <vt:variant>
        <vt:lpwstr>http://www.supremecourt.ohio.gov/rod/docs/pdf/10/2011/2011-Ohio-3484.pdf</vt:lpwstr>
      </vt:variant>
      <vt:variant>
        <vt:lpwstr/>
      </vt:variant>
      <vt:variant>
        <vt:i4>3997749</vt:i4>
      </vt:variant>
      <vt:variant>
        <vt:i4>1545</vt:i4>
      </vt:variant>
      <vt:variant>
        <vt:i4>0</vt:i4>
      </vt:variant>
      <vt:variant>
        <vt:i4>5</vt:i4>
      </vt:variant>
      <vt:variant>
        <vt:lpwstr>http://www.supremecourt.ohio.gov/rod/docs/pdf/0/2016/2016-Ohio-7987.pdf</vt:lpwstr>
      </vt:variant>
      <vt:variant>
        <vt:lpwstr/>
      </vt:variant>
      <vt:variant>
        <vt:i4>6357040</vt:i4>
      </vt:variant>
      <vt:variant>
        <vt:i4>1542</vt:i4>
      </vt:variant>
      <vt:variant>
        <vt:i4>0</vt:i4>
      </vt:variant>
      <vt:variant>
        <vt:i4>5</vt:i4>
      </vt:variant>
      <vt:variant>
        <vt:lpwstr>http://www.supremecourt.ohio.gov/rod/docs/pdf/0/2014/2014-Ohio-538.pdf</vt:lpwstr>
      </vt:variant>
      <vt:variant>
        <vt:lpwstr/>
      </vt:variant>
      <vt:variant>
        <vt:i4>3539006</vt:i4>
      </vt:variant>
      <vt:variant>
        <vt:i4>1539</vt:i4>
      </vt:variant>
      <vt:variant>
        <vt:i4>0</vt:i4>
      </vt:variant>
      <vt:variant>
        <vt:i4>5</vt:i4>
      </vt:variant>
      <vt:variant>
        <vt:lpwstr>http://www.supremecourt.ohio.gov/rod/docs/pdf/8/2016/2016-Ohio-5518.pdf</vt:lpwstr>
      </vt:variant>
      <vt:variant>
        <vt:lpwstr/>
      </vt:variant>
      <vt:variant>
        <vt:i4>3407935</vt:i4>
      </vt:variant>
      <vt:variant>
        <vt:i4>1536</vt:i4>
      </vt:variant>
      <vt:variant>
        <vt:i4>0</vt:i4>
      </vt:variant>
      <vt:variant>
        <vt:i4>5</vt:i4>
      </vt:variant>
      <vt:variant>
        <vt:lpwstr>http://www.supremecourt.ohio.gov/rod/docs/pdf/0/2002/2002-Ohio-7041.pdf</vt:lpwstr>
      </vt:variant>
      <vt:variant>
        <vt:lpwstr/>
      </vt:variant>
      <vt:variant>
        <vt:i4>3145788</vt:i4>
      </vt:variant>
      <vt:variant>
        <vt:i4>1533</vt:i4>
      </vt:variant>
      <vt:variant>
        <vt:i4>0</vt:i4>
      </vt:variant>
      <vt:variant>
        <vt:i4>5</vt:i4>
      </vt:variant>
      <vt:variant>
        <vt:lpwstr>http://www.supremecourt.ohio.gov/rod/docs/pdf/0/2011/2011-Ohio-2878.pdf</vt:lpwstr>
      </vt:variant>
      <vt:variant>
        <vt:lpwstr/>
      </vt:variant>
      <vt:variant>
        <vt:i4>3473465</vt:i4>
      </vt:variant>
      <vt:variant>
        <vt:i4>1530</vt:i4>
      </vt:variant>
      <vt:variant>
        <vt:i4>0</vt:i4>
      </vt:variant>
      <vt:variant>
        <vt:i4>5</vt:i4>
      </vt:variant>
      <vt:variant>
        <vt:lpwstr>http://www.supremecourt.ohio.gov/rod/docs/pdf/0/2016/2016-Ohio-5725.pdf</vt:lpwstr>
      </vt:variant>
      <vt:variant>
        <vt:lpwstr/>
      </vt:variant>
      <vt:variant>
        <vt:i4>3407928</vt:i4>
      </vt:variant>
      <vt:variant>
        <vt:i4>1527</vt:i4>
      </vt:variant>
      <vt:variant>
        <vt:i4>0</vt:i4>
      </vt:variant>
      <vt:variant>
        <vt:i4>5</vt:i4>
      </vt:variant>
      <vt:variant>
        <vt:lpwstr>http://www.supremecourt.ohio.gov/rod/docs/pdf/0/2001/2001-Ohio-1613.pdf</vt:lpwstr>
      </vt:variant>
      <vt:variant>
        <vt:lpwstr/>
      </vt:variant>
      <vt:variant>
        <vt:i4>3276848</vt:i4>
      </vt:variant>
      <vt:variant>
        <vt:i4>1524</vt:i4>
      </vt:variant>
      <vt:variant>
        <vt:i4>0</vt:i4>
      </vt:variant>
      <vt:variant>
        <vt:i4>5</vt:i4>
      </vt:variant>
      <vt:variant>
        <vt:lpwstr>http://www.supremecourt.ohio.gov/rod/docs/pdf/8/2016/2016-Ohio-2625.pdf</vt:lpwstr>
      </vt:variant>
      <vt:variant>
        <vt:lpwstr/>
      </vt:variant>
      <vt:variant>
        <vt:i4>3539006</vt:i4>
      </vt:variant>
      <vt:variant>
        <vt:i4>1521</vt:i4>
      </vt:variant>
      <vt:variant>
        <vt:i4>0</vt:i4>
      </vt:variant>
      <vt:variant>
        <vt:i4>5</vt:i4>
      </vt:variant>
      <vt:variant>
        <vt:lpwstr>http://www.supremecourt.ohio.gov/rod/docs/pdf/0/2010/2010-Ohio-5073.pdf</vt:lpwstr>
      </vt:variant>
      <vt:variant>
        <vt:lpwstr/>
      </vt:variant>
      <vt:variant>
        <vt:i4>3407926</vt:i4>
      </vt:variant>
      <vt:variant>
        <vt:i4>1518</vt:i4>
      </vt:variant>
      <vt:variant>
        <vt:i4>0</vt:i4>
      </vt:variant>
      <vt:variant>
        <vt:i4>5</vt:i4>
      </vt:variant>
      <vt:variant>
        <vt:lpwstr>http://www.supremecourt.ohio.gov/rod/docs/pdf/0/2014/2014-Ohio-3679.pdf</vt:lpwstr>
      </vt:variant>
      <vt:variant>
        <vt:lpwstr/>
      </vt:variant>
      <vt:variant>
        <vt:i4>6488125</vt:i4>
      </vt:variant>
      <vt:variant>
        <vt:i4>1515</vt:i4>
      </vt:variant>
      <vt:variant>
        <vt:i4>0</vt:i4>
      </vt:variant>
      <vt:variant>
        <vt:i4>5</vt:i4>
      </vt:variant>
      <vt:variant>
        <vt:lpwstr>http://www.supremecourt.ohio.gov/rod/docs/pdf/0/2013/2013-Ohio-199.pdf</vt:lpwstr>
      </vt:variant>
      <vt:variant>
        <vt:lpwstr/>
      </vt:variant>
      <vt:variant>
        <vt:i4>655371</vt:i4>
      </vt:variant>
      <vt:variant>
        <vt:i4>1512</vt:i4>
      </vt:variant>
      <vt:variant>
        <vt:i4>0</vt:i4>
      </vt:variant>
      <vt:variant>
        <vt:i4>5</vt:i4>
      </vt:variant>
      <vt:variant>
        <vt:lpwstr>http://www.supremecourt.ohio.gov/rod/docs/pdf/0/1994/1994-Ohio-80.pdf</vt:lpwstr>
      </vt:variant>
      <vt:variant>
        <vt:lpwstr/>
      </vt:variant>
      <vt:variant>
        <vt:i4>5046362</vt:i4>
      </vt:variant>
      <vt:variant>
        <vt:i4>1509</vt:i4>
      </vt:variant>
      <vt:variant>
        <vt:i4>0</vt:i4>
      </vt:variant>
      <vt:variant>
        <vt:i4>5</vt:i4>
      </vt:variant>
      <vt:variant>
        <vt:lpwstr>https://www.supremecourt.ohio.gov/rod/docs/pdf/8/2017/2017-Ohio-1031.pdf</vt:lpwstr>
      </vt:variant>
      <vt:variant>
        <vt:lpwstr/>
      </vt:variant>
      <vt:variant>
        <vt:i4>3538993</vt:i4>
      </vt:variant>
      <vt:variant>
        <vt:i4>1506</vt:i4>
      </vt:variant>
      <vt:variant>
        <vt:i4>0</vt:i4>
      </vt:variant>
      <vt:variant>
        <vt:i4>5</vt:i4>
      </vt:variant>
      <vt:variant>
        <vt:lpwstr>http://www.supremecourt.ohio.gov/rod/docs/pdf/0/2004/2004-Ohio-7108.pdf</vt:lpwstr>
      </vt:variant>
      <vt:variant>
        <vt:lpwstr/>
      </vt:variant>
      <vt:variant>
        <vt:i4>5308416</vt:i4>
      </vt:variant>
      <vt:variant>
        <vt:i4>1503</vt:i4>
      </vt:variant>
      <vt:variant>
        <vt:i4>0</vt:i4>
      </vt:variant>
      <vt:variant>
        <vt:i4>5</vt:i4>
      </vt:variant>
      <vt:variant>
        <vt:lpwstr>http://www.supremecourt.ohio.gov/rod/docs/pdf/10/2013/2013-Ohio-5219.pdf</vt:lpwstr>
      </vt:variant>
      <vt:variant>
        <vt:lpwstr/>
      </vt:variant>
      <vt:variant>
        <vt:i4>3342394</vt:i4>
      </vt:variant>
      <vt:variant>
        <vt:i4>1500</vt:i4>
      </vt:variant>
      <vt:variant>
        <vt:i4>0</vt:i4>
      </vt:variant>
      <vt:variant>
        <vt:i4>5</vt:i4>
      </vt:variant>
      <vt:variant>
        <vt:lpwstr>http://www.supremecourt.ohio.gov/rod/docs/pdf/4/2013/2013-Ohio-5414.pdf</vt:lpwstr>
      </vt:variant>
      <vt:variant>
        <vt:lpwstr/>
      </vt:variant>
      <vt:variant>
        <vt:i4>3407932</vt:i4>
      </vt:variant>
      <vt:variant>
        <vt:i4>1497</vt:i4>
      </vt:variant>
      <vt:variant>
        <vt:i4>0</vt:i4>
      </vt:variant>
      <vt:variant>
        <vt:i4>5</vt:i4>
      </vt:variant>
      <vt:variant>
        <vt:lpwstr>http://www.supremecourt.ohio.gov/rod/docs/pdf/0/2001/2001-Ohio-1617.pdf</vt:lpwstr>
      </vt:variant>
      <vt:variant>
        <vt:lpwstr/>
      </vt:variant>
      <vt:variant>
        <vt:i4>3342396</vt:i4>
      </vt:variant>
      <vt:variant>
        <vt:i4>1494</vt:i4>
      </vt:variant>
      <vt:variant>
        <vt:i4>0</vt:i4>
      </vt:variant>
      <vt:variant>
        <vt:i4>5</vt:i4>
      </vt:variant>
      <vt:variant>
        <vt:lpwstr>http://www.supremecourt.ohio.gov/rod/docs/pdf/0/2006/2006-Ohio-6365.pdf</vt:lpwstr>
      </vt:variant>
      <vt:variant>
        <vt:lpwstr/>
      </vt:variant>
      <vt:variant>
        <vt:i4>3211323</vt:i4>
      </vt:variant>
      <vt:variant>
        <vt:i4>1491</vt:i4>
      </vt:variant>
      <vt:variant>
        <vt:i4>0</vt:i4>
      </vt:variant>
      <vt:variant>
        <vt:i4>5</vt:i4>
      </vt:variant>
      <vt:variant>
        <vt:lpwstr>http://www.supremecourt.ohio.gov/rod/docs/pdf/0/2008/2008-Ohio-4788.pdf</vt:lpwstr>
      </vt:variant>
      <vt:variant>
        <vt:lpwstr/>
      </vt:variant>
      <vt:variant>
        <vt:i4>3538994</vt:i4>
      </vt:variant>
      <vt:variant>
        <vt:i4>1488</vt:i4>
      </vt:variant>
      <vt:variant>
        <vt:i4>0</vt:i4>
      </vt:variant>
      <vt:variant>
        <vt:i4>5</vt:i4>
      </vt:variant>
      <vt:variant>
        <vt:lpwstr>http://www.supremecourt.ohio.gov/rod/docs/pdf/8/2006/2006-Ohio-3969.pdf</vt:lpwstr>
      </vt:variant>
      <vt:variant>
        <vt:lpwstr/>
      </vt:variant>
      <vt:variant>
        <vt:i4>3342390</vt:i4>
      </vt:variant>
      <vt:variant>
        <vt:i4>1485</vt:i4>
      </vt:variant>
      <vt:variant>
        <vt:i4>0</vt:i4>
      </vt:variant>
      <vt:variant>
        <vt:i4>5</vt:i4>
      </vt:variant>
      <vt:variant>
        <vt:lpwstr>http://www.supremecourt.ohio.gov/rod/docs/pdf/0/2006/2006-Ohio-5854.pdf</vt:lpwstr>
      </vt:variant>
      <vt:variant>
        <vt:lpwstr/>
      </vt:variant>
      <vt:variant>
        <vt:i4>3604536</vt:i4>
      </vt:variant>
      <vt:variant>
        <vt:i4>1482</vt:i4>
      </vt:variant>
      <vt:variant>
        <vt:i4>0</vt:i4>
      </vt:variant>
      <vt:variant>
        <vt:i4>5</vt:i4>
      </vt:variant>
      <vt:variant>
        <vt:lpwstr>http://www.supremecourt.ohio.gov/rod/docs/pdf/0/2012/2012-Ohio-1007.pdf</vt:lpwstr>
      </vt:variant>
      <vt:variant>
        <vt:lpwstr/>
      </vt:variant>
      <vt:variant>
        <vt:i4>6684733</vt:i4>
      </vt:variant>
      <vt:variant>
        <vt:i4>1479</vt:i4>
      </vt:variant>
      <vt:variant>
        <vt:i4>0</vt:i4>
      </vt:variant>
      <vt:variant>
        <vt:i4>5</vt:i4>
      </vt:variant>
      <vt:variant>
        <vt:lpwstr>http://www.supremecourt.ohio.gov/rod/docs/pdf/0/1999/1999-Ohio-114.pdf</vt:lpwstr>
      </vt:variant>
      <vt:variant>
        <vt:lpwstr/>
      </vt:variant>
      <vt:variant>
        <vt:i4>3211323</vt:i4>
      </vt:variant>
      <vt:variant>
        <vt:i4>1476</vt:i4>
      </vt:variant>
      <vt:variant>
        <vt:i4>0</vt:i4>
      </vt:variant>
      <vt:variant>
        <vt:i4>5</vt:i4>
      </vt:variant>
      <vt:variant>
        <vt:lpwstr>http://www.supremecourt.ohio.gov/rod/docs/pdf/0/2015/2015-Ohio-1310.pdf</vt:lpwstr>
      </vt:variant>
      <vt:variant>
        <vt:lpwstr/>
      </vt:variant>
      <vt:variant>
        <vt:i4>6094850</vt:i4>
      </vt:variant>
      <vt:variant>
        <vt:i4>1473</vt:i4>
      </vt:variant>
      <vt:variant>
        <vt:i4>0</vt:i4>
      </vt:variant>
      <vt:variant>
        <vt:i4>5</vt:i4>
      </vt:variant>
      <vt:variant>
        <vt:lpwstr>http://www.supremecourt.ohio.gov/rod/docs/pdf/12/2014/2014-Ohio-5745.pdf</vt:lpwstr>
      </vt:variant>
      <vt:variant>
        <vt:lpwstr/>
      </vt:variant>
      <vt:variant>
        <vt:i4>6488125</vt:i4>
      </vt:variant>
      <vt:variant>
        <vt:i4>1470</vt:i4>
      </vt:variant>
      <vt:variant>
        <vt:i4>0</vt:i4>
      </vt:variant>
      <vt:variant>
        <vt:i4>5</vt:i4>
      </vt:variant>
      <vt:variant>
        <vt:lpwstr>http://www.supremecourt.ohio.gov/rod/docs/pdf/0/2013/2013-Ohio-199.pdf</vt:lpwstr>
      </vt:variant>
      <vt:variant>
        <vt:lpwstr/>
      </vt:variant>
      <vt:variant>
        <vt:i4>3407932</vt:i4>
      </vt:variant>
      <vt:variant>
        <vt:i4>1467</vt:i4>
      </vt:variant>
      <vt:variant>
        <vt:i4>0</vt:i4>
      </vt:variant>
      <vt:variant>
        <vt:i4>5</vt:i4>
      </vt:variant>
      <vt:variant>
        <vt:lpwstr>http://www.supremecourt.ohio.gov/rod/docs/pdf/6/2003/2003-Ohio-7257.pdf</vt:lpwstr>
      </vt:variant>
      <vt:variant>
        <vt:lpwstr/>
      </vt:variant>
      <vt:variant>
        <vt:i4>6488125</vt:i4>
      </vt:variant>
      <vt:variant>
        <vt:i4>1464</vt:i4>
      </vt:variant>
      <vt:variant>
        <vt:i4>0</vt:i4>
      </vt:variant>
      <vt:variant>
        <vt:i4>5</vt:i4>
      </vt:variant>
      <vt:variant>
        <vt:lpwstr>http://www.supremecourt.ohio.gov/rod/docs/pdf/0/2013/2013-Ohio-199.pdf</vt:lpwstr>
      </vt:variant>
      <vt:variant>
        <vt:lpwstr/>
      </vt:variant>
      <vt:variant>
        <vt:i4>3407926</vt:i4>
      </vt:variant>
      <vt:variant>
        <vt:i4>1461</vt:i4>
      </vt:variant>
      <vt:variant>
        <vt:i4>0</vt:i4>
      </vt:variant>
      <vt:variant>
        <vt:i4>5</vt:i4>
      </vt:variant>
      <vt:variant>
        <vt:lpwstr>http://www.supremecourt.ohio.gov/rod/docs/pdf/0/2014/2014-Ohio-3679.pdf</vt:lpwstr>
      </vt:variant>
      <vt:variant>
        <vt:lpwstr/>
      </vt:variant>
      <vt:variant>
        <vt:i4>6488125</vt:i4>
      </vt:variant>
      <vt:variant>
        <vt:i4>1458</vt:i4>
      </vt:variant>
      <vt:variant>
        <vt:i4>0</vt:i4>
      </vt:variant>
      <vt:variant>
        <vt:i4>5</vt:i4>
      </vt:variant>
      <vt:variant>
        <vt:lpwstr>http://www.supremecourt.ohio.gov/rod/docs/pdf/0/2013/2013-Ohio-199.pdf</vt:lpwstr>
      </vt:variant>
      <vt:variant>
        <vt:lpwstr/>
      </vt:variant>
      <vt:variant>
        <vt:i4>3932223</vt:i4>
      </vt:variant>
      <vt:variant>
        <vt:i4>1455</vt:i4>
      </vt:variant>
      <vt:variant>
        <vt:i4>0</vt:i4>
      </vt:variant>
      <vt:variant>
        <vt:i4>5</vt:i4>
      </vt:variant>
      <vt:variant>
        <vt:lpwstr>http://www.supremecourt.ohio.gov/rod/docs/pdf/0/2003/2003-Ohio-2181.pdf</vt:lpwstr>
      </vt:variant>
      <vt:variant>
        <vt:lpwstr/>
      </vt:variant>
      <vt:variant>
        <vt:i4>6488117</vt:i4>
      </vt:variant>
      <vt:variant>
        <vt:i4>1452</vt:i4>
      </vt:variant>
      <vt:variant>
        <vt:i4>0</vt:i4>
      </vt:variant>
      <vt:variant>
        <vt:i4>5</vt:i4>
      </vt:variant>
      <vt:variant>
        <vt:lpwstr>http://www.supremecourt.ohio.gov/rod/docs/pdf/0/1994/1994-Ohio-449.pdf</vt:lpwstr>
      </vt:variant>
      <vt:variant>
        <vt:lpwstr/>
      </vt:variant>
      <vt:variant>
        <vt:i4>3276860</vt:i4>
      </vt:variant>
      <vt:variant>
        <vt:i4>1449</vt:i4>
      </vt:variant>
      <vt:variant>
        <vt:i4>0</vt:i4>
      </vt:variant>
      <vt:variant>
        <vt:i4>5</vt:i4>
      </vt:variant>
      <vt:variant>
        <vt:lpwstr>http://www.supremecourt.ohio.gov/rod/docs/pdf/8/2014/2014-Ohio-4469.pdf</vt:lpwstr>
      </vt:variant>
      <vt:variant>
        <vt:lpwstr/>
      </vt:variant>
      <vt:variant>
        <vt:i4>3670073</vt:i4>
      </vt:variant>
      <vt:variant>
        <vt:i4>1446</vt:i4>
      </vt:variant>
      <vt:variant>
        <vt:i4>0</vt:i4>
      </vt:variant>
      <vt:variant>
        <vt:i4>5</vt:i4>
      </vt:variant>
      <vt:variant>
        <vt:lpwstr>http://www.supremecourt.ohio.gov/rod/docs/pdf/8/2018/2018-Ohio-4602.pdf</vt:lpwstr>
      </vt:variant>
      <vt:variant>
        <vt:lpwstr/>
      </vt:variant>
      <vt:variant>
        <vt:i4>5242887</vt:i4>
      </vt:variant>
      <vt:variant>
        <vt:i4>1443</vt:i4>
      </vt:variant>
      <vt:variant>
        <vt:i4>0</vt:i4>
      </vt:variant>
      <vt:variant>
        <vt:i4>5</vt:i4>
      </vt:variant>
      <vt:variant>
        <vt:lpwstr>http://www.supremecourt.ohio.gov/rod/docs/pdf/10/2015/2015-Ohio-3569.pdf</vt:lpwstr>
      </vt:variant>
      <vt:variant>
        <vt:lpwstr/>
      </vt:variant>
      <vt:variant>
        <vt:i4>3604538</vt:i4>
      </vt:variant>
      <vt:variant>
        <vt:i4>1440</vt:i4>
      </vt:variant>
      <vt:variant>
        <vt:i4>0</vt:i4>
      </vt:variant>
      <vt:variant>
        <vt:i4>5</vt:i4>
      </vt:variant>
      <vt:variant>
        <vt:lpwstr>http://www.supremecourt.ohio.gov/rod/docs/pdf/5/2015/2015-Ohio-4126.pdf</vt:lpwstr>
      </vt:variant>
      <vt:variant>
        <vt:lpwstr/>
      </vt:variant>
      <vt:variant>
        <vt:i4>3473467</vt:i4>
      </vt:variant>
      <vt:variant>
        <vt:i4>1437</vt:i4>
      </vt:variant>
      <vt:variant>
        <vt:i4>0</vt:i4>
      </vt:variant>
      <vt:variant>
        <vt:i4>5</vt:i4>
      </vt:variant>
      <vt:variant>
        <vt:lpwstr>http://www.supremecourt.ohio.gov/rod/docs/pdf/6/2015/2015-Ohio-3075.pdf</vt:lpwstr>
      </vt:variant>
      <vt:variant>
        <vt:lpwstr/>
      </vt:variant>
      <vt:variant>
        <vt:i4>3407926</vt:i4>
      </vt:variant>
      <vt:variant>
        <vt:i4>1434</vt:i4>
      </vt:variant>
      <vt:variant>
        <vt:i4>0</vt:i4>
      </vt:variant>
      <vt:variant>
        <vt:i4>5</vt:i4>
      </vt:variant>
      <vt:variant>
        <vt:lpwstr>http://www.supremecourt.ohio.gov/rod/docs/pdf/1/2005/2005-Ohio-5719.pdf</vt:lpwstr>
      </vt:variant>
      <vt:variant>
        <vt:lpwstr/>
      </vt:variant>
      <vt:variant>
        <vt:i4>3145779</vt:i4>
      </vt:variant>
      <vt:variant>
        <vt:i4>1431</vt:i4>
      </vt:variant>
      <vt:variant>
        <vt:i4>0</vt:i4>
      </vt:variant>
      <vt:variant>
        <vt:i4>5</vt:i4>
      </vt:variant>
      <vt:variant>
        <vt:lpwstr>http://www.supremecourt.ohio.gov/rod/docs/pdf/0/2004/2004-Ohio-4952.pdf</vt:lpwstr>
      </vt:variant>
      <vt:variant>
        <vt:lpwstr/>
      </vt:variant>
      <vt:variant>
        <vt:i4>5767169</vt:i4>
      </vt:variant>
      <vt:variant>
        <vt:i4>1428</vt:i4>
      </vt:variant>
      <vt:variant>
        <vt:i4>0</vt:i4>
      </vt:variant>
      <vt:variant>
        <vt:i4>5</vt:i4>
      </vt:variant>
      <vt:variant>
        <vt:lpwstr>http://www.supremecourt.ohio.gov/rod/docs/pdf/12/2012/2012-Ohio-3879.pdf</vt:lpwstr>
      </vt:variant>
      <vt:variant>
        <vt:lpwstr/>
      </vt:variant>
      <vt:variant>
        <vt:i4>3211323</vt:i4>
      </vt:variant>
      <vt:variant>
        <vt:i4>1425</vt:i4>
      </vt:variant>
      <vt:variant>
        <vt:i4>0</vt:i4>
      </vt:variant>
      <vt:variant>
        <vt:i4>5</vt:i4>
      </vt:variant>
      <vt:variant>
        <vt:lpwstr>http://www.supremecourt.ohio.gov/rod/docs/pdf/0/2008/2008-Ohio-4788.pdf</vt:lpwstr>
      </vt:variant>
      <vt:variant>
        <vt:lpwstr/>
      </vt:variant>
      <vt:variant>
        <vt:i4>3670075</vt:i4>
      </vt:variant>
      <vt:variant>
        <vt:i4>1422</vt:i4>
      </vt:variant>
      <vt:variant>
        <vt:i4>0</vt:i4>
      </vt:variant>
      <vt:variant>
        <vt:i4>5</vt:i4>
      </vt:variant>
      <vt:variant>
        <vt:lpwstr>http://www.supremecourt.ohio.gov/rod/docs/pdf/0/2015/2015-Ohio-1083.pdf</vt:lpwstr>
      </vt:variant>
      <vt:variant>
        <vt:lpwstr/>
      </vt:variant>
      <vt:variant>
        <vt:i4>6357040</vt:i4>
      </vt:variant>
      <vt:variant>
        <vt:i4>1419</vt:i4>
      </vt:variant>
      <vt:variant>
        <vt:i4>0</vt:i4>
      </vt:variant>
      <vt:variant>
        <vt:i4>5</vt:i4>
      </vt:variant>
      <vt:variant>
        <vt:lpwstr>http://www.supremecourt.ohio.gov/rod/docs/pdf/0/2014/2014-Ohio-538.pdf</vt:lpwstr>
      </vt:variant>
      <vt:variant>
        <vt:lpwstr/>
      </vt:variant>
      <vt:variant>
        <vt:i4>7143474</vt:i4>
      </vt:variant>
      <vt:variant>
        <vt:i4>1416</vt:i4>
      </vt:variant>
      <vt:variant>
        <vt:i4>0</vt:i4>
      </vt:variant>
      <vt:variant>
        <vt:i4>5</vt:i4>
      </vt:variant>
      <vt:variant>
        <vt:lpwstr>http://www.supremecourt.ohio.gov/rod/docs/pdf/0/2013/2013-Ohio-761.pdf</vt:lpwstr>
      </vt:variant>
      <vt:variant>
        <vt:lpwstr/>
      </vt:variant>
      <vt:variant>
        <vt:i4>7077942</vt:i4>
      </vt:variant>
      <vt:variant>
        <vt:i4>1413</vt:i4>
      </vt:variant>
      <vt:variant>
        <vt:i4>0</vt:i4>
      </vt:variant>
      <vt:variant>
        <vt:i4>5</vt:i4>
      </vt:variant>
      <vt:variant>
        <vt:lpwstr>http://www.supremecourt.ohio.gov/rod/docs/pdf/0/2000/2000-Ohio-207.pdf</vt:lpwstr>
      </vt:variant>
      <vt:variant>
        <vt:lpwstr/>
      </vt:variant>
      <vt:variant>
        <vt:i4>6881342</vt:i4>
      </vt:variant>
      <vt:variant>
        <vt:i4>1410</vt:i4>
      </vt:variant>
      <vt:variant>
        <vt:i4>0</vt:i4>
      </vt:variant>
      <vt:variant>
        <vt:i4>5</vt:i4>
      </vt:variant>
      <vt:variant>
        <vt:lpwstr>http://www.supremecourt.ohio.gov/rod/docs/pdf/0/2000/2000-Ohio-282.pdf</vt:lpwstr>
      </vt:variant>
      <vt:variant>
        <vt:lpwstr/>
      </vt:variant>
      <vt:variant>
        <vt:i4>393229</vt:i4>
      </vt:variant>
      <vt:variant>
        <vt:i4>1407</vt:i4>
      </vt:variant>
      <vt:variant>
        <vt:i4>0</vt:i4>
      </vt:variant>
      <vt:variant>
        <vt:i4>5</vt:i4>
      </vt:variant>
      <vt:variant>
        <vt:lpwstr>http://www.supremecourt.ohio.gov/rod/docs/pdf/0/1997/1997-Ohio-75.pdf</vt:lpwstr>
      </vt:variant>
      <vt:variant>
        <vt:lpwstr/>
      </vt:variant>
      <vt:variant>
        <vt:i4>3276860</vt:i4>
      </vt:variant>
      <vt:variant>
        <vt:i4>1404</vt:i4>
      </vt:variant>
      <vt:variant>
        <vt:i4>0</vt:i4>
      </vt:variant>
      <vt:variant>
        <vt:i4>5</vt:i4>
      </vt:variant>
      <vt:variant>
        <vt:lpwstr>http://www.supremecourt.ohio.gov/rod/docs/pdf/8/2014/2014-Ohio-3914.pdf</vt:lpwstr>
      </vt:variant>
      <vt:variant>
        <vt:lpwstr/>
      </vt:variant>
      <vt:variant>
        <vt:i4>3997752</vt:i4>
      </vt:variant>
      <vt:variant>
        <vt:i4>1401</vt:i4>
      </vt:variant>
      <vt:variant>
        <vt:i4>0</vt:i4>
      </vt:variant>
      <vt:variant>
        <vt:i4>5</vt:i4>
      </vt:variant>
      <vt:variant>
        <vt:lpwstr>http://www.supremecourt.ohio.gov/rod/docs/pdf/8/2015/2015-Ohio-4981.pdf</vt:lpwstr>
      </vt:variant>
      <vt:variant>
        <vt:lpwstr/>
      </vt:variant>
      <vt:variant>
        <vt:i4>4063280</vt:i4>
      </vt:variant>
      <vt:variant>
        <vt:i4>1398</vt:i4>
      </vt:variant>
      <vt:variant>
        <vt:i4>0</vt:i4>
      </vt:variant>
      <vt:variant>
        <vt:i4>5</vt:i4>
      </vt:variant>
      <vt:variant>
        <vt:lpwstr>http://www.supremecourt.ohio.gov/rod/docs/pdf/0/2009/2009-Ohio-4762.pdf</vt:lpwstr>
      </vt:variant>
      <vt:variant>
        <vt:lpwstr/>
      </vt:variant>
      <vt:variant>
        <vt:i4>6619198</vt:i4>
      </vt:variant>
      <vt:variant>
        <vt:i4>1395</vt:i4>
      </vt:variant>
      <vt:variant>
        <vt:i4>0</vt:i4>
      </vt:variant>
      <vt:variant>
        <vt:i4>5</vt:i4>
      </vt:variant>
      <vt:variant>
        <vt:lpwstr>http://www.supremecourt.ohio.gov/rod/docs/pdf/0/1998/1998-Ohio-334.pdf</vt:lpwstr>
      </vt:variant>
      <vt:variant>
        <vt:lpwstr/>
      </vt:variant>
      <vt:variant>
        <vt:i4>393229</vt:i4>
      </vt:variant>
      <vt:variant>
        <vt:i4>1392</vt:i4>
      </vt:variant>
      <vt:variant>
        <vt:i4>0</vt:i4>
      </vt:variant>
      <vt:variant>
        <vt:i4>5</vt:i4>
      </vt:variant>
      <vt:variant>
        <vt:lpwstr>http://www.supremecourt.ohio.gov/rod/docs/pdf/0/1997/1997-Ohio-75.pdf</vt:lpwstr>
      </vt:variant>
      <vt:variant>
        <vt:lpwstr/>
      </vt:variant>
      <vt:variant>
        <vt:i4>6881342</vt:i4>
      </vt:variant>
      <vt:variant>
        <vt:i4>1389</vt:i4>
      </vt:variant>
      <vt:variant>
        <vt:i4>0</vt:i4>
      </vt:variant>
      <vt:variant>
        <vt:i4>5</vt:i4>
      </vt:variant>
      <vt:variant>
        <vt:lpwstr>http://www.supremecourt.ohio.gov/rod/docs/pdf/0/2000/2000-Ohio-282.pdf</vt:lpwstr>
      </vt:variant>
      <vt:variant>
        <vt:lpwstr/>
      </vt:variant>
      <vt:variant>
        <vt:i4>6815793</vt:i4>
      </vt:variant>
      <vt:variant>
        <vt:i4>1386</vt:i4>
      </vt:variant>
      <vt:variant>
        <vt:i4>0</vt:i4>
      </vt:variant>
      <vt:variant>
        <vt:i4>5</vt:i4>
      </vt:variant>
      <vt:variant>
        <vt:lpwstr>http://www.supremecourt.ohio.gov/rod/docs/pdf/0/2000/2000-Ohio-475.pdf</vt:lpwstr>
      </vt:variant>
      <vt:variant>
        <vt:lpwstr/>
      </vt:variant>
      <vt:variant>
        <vt:i4>7077942</vt:i4>
      </vt:variant>
      <vt:variant>
        <vt:i4>1383</vt:i4>
      </vt:variant>
      <vt:variant>
        <vt:i4>0</vt:i4>
      </vt:variant>
      <vt:variant>
        <vt:i4>5</vt:i4>
      </vt:variant>
      <vt:variant>
        <vt:lpwstr>http://www.supremecourt.ohio.gov/rod/docs/pdf/0/2000/2000-Ohio-207.pdf</vt:lpwstr>
      </vt:variant>
      <vt:variant>
        <vt:lpwstr/>
      </vt:variant>
      <vt:variant>
        <vt:i4>3997759</vt:i4>
      </vt:variant>
      <vt:variant>
        <vt:i4>1380</vt:i4>
      </vt:variant>
      <vt:variant>
        <vt:i4>0</vt:i4>
      </vt:variant>
      <vt:variant>
        <vt:i4>5</vt:i4>
      </vt:variant>
      <vt:variant>
        <vt:lpwstr>http://www.supremecourt.ohio.gov/rod/docs/pdf/8/2018/2018-Ohio-5240.pdf</vt:lpwstr>
      </vt:variant>
      <vt:variant>
        <vt:lpwstr/>
      </vt:variant>
      <vt:variant>
        <vt:i4>3276860</vt:i4>
      </vt:variant>
      <vt:variant>
        <vt:i4>1377</vt:i4>
      </vt:variant>
      <vt:variant>
        <vt:i4>0</vt:i4>
      </vt:variant>
      <vt:variant>
        <vt:i4>5</vt:i4>
      </vt:variant>
      <vt:variant>
        <vt:lpwstr>http://www.supremecourt.ohio.gov/rod/docs/pdf/8/2014/2014-Ohio-3914.pdf</vt:lpwstr>
      </vt:variant>
      <vt:variant>
        <vt:lpwstr/>
      </vt:variant>
      <vt:variant>
        <vt:i4>3473465</vt:i4>
      </vt:variant>
      <vt:variant>
        <vt:i4>1374</vt:i4>
      </vt:variant>
      <vt:variant>
        <vt:i4>0</vt:i4>
      </vt:variant>
      <vt:variant>
        <vt:i4>5</vt:i4>
      </vt:variant>
      <vt:variant>
        <vt:lpwstr>http://www.supremecourt.ohio.gov/rod/docs/pdf/0/2013/2013-Ohio-1532.pdf</vt:lpwstr>
      </vt:variant>
      <vt:variant>
        <vt:lpwstr/>
      </vt:variant>
      <vt:variant>
        <vt:i4>7077942</vt:i4>
      </vt:variant>
      <vt:variant>
        <vt:i4>1371</vt:i4>
      </vt:variant>
      <vt:variant>
        <vt:i4>0</vt:i4>
      </vt:variant>
      <vt:variant>
        <vt:i4>5</vt:i4>
      </vt:variant>
      <vt:variant>
        <vt:lpwstr>http://www.supremecourt.ohio.gov/rod/docs/pdf/0/2000/2000-Ohio-207.pdf</vt:lpwstr>
      </vt:variant>
      <vt:variant>
        <vt:lpwstr/>
      </vt:variant>
      <vt:variant>
        <vt:i4>7077942</vt:i4>
      </vt:variant>
      <vt:variant>
        <vt:i4>1368</vt:i4>
      </vt:variant>
      <vt:variant>
        <vt:i4>0</vt:i4>
      </vt:variant>
      <vt:variant>
        <vt:i4>5</vt:i4>
      </vt:variant>
      <vt:variant>
        <vt:lpwstr>http://www.supremecourt.ohio.gov/rod/docs/pdf/0/2000/2000-Ohio-207.pdf</vt:lpwstr>
      </vt:variant>
      <vt:variant>
        <vt:lpwstr/>
      </vt:variant>
      <vt:variant>
        <vt:i4>6357050</vt:i4>
      </vt:variant>
      <vt:variant>
        <vt:i4>1365</vt:i4>
      </vt:variant>
      <vt:variant>
        <vt:i4>0</vt:i4>
      </vt:variant>
      <vt:variant>
        <vt:i4>5</vt:i4>
      </vt:variant>
      <vt:variant>
        <vt:lpwstr>http://www.supremecourt.ohio.gov/rod/docs/pdf/0/1999/1999-Ohio-260.pdf</vt:lpwstr>
      </vt:variant>
      <vt:variant>
        <vt:lpwstr/>
      </vt:variant>
      <vt:variant>
        <vt:i4>7143479</vt:i4>
      </vt:variant>
      <vt:variant>
        <vt:i4>1362</vt:i4>
      </vt:variant>
      <vt:variant>
        <vt:i4>0</vt:i4>
      </vt:variant>
      <vt:variant>
        <vt:i4>5</vt:i4>
      </vt:variant>
      <vt:variant>
        <vt:lpwstr>http://www.supremecourt.ohio.gov/rod/docs/pdf/0/1997/1997-Ohio-353.pdf</vt:lpwstr>
      </vt:variant>
      <vt:variant>
        <vt:lpwstr/>
      </vt:variant>
      <vt:variant>
        <vt:i4>3801139</vt:i4>
      </vt:variant>
      <vt:variant>
        <vt:i4>1359</vt:i4>
      </vt:variant>
      <vt:variant>
        <vt:i4>0</vt:i4>
      </vt:variant>
      <vt:variant>
        <vt:i4>5</vt:i4>
      </vt:variant>
      <vt:variant>
        <vt:lpwstr>http://www.supremecourt.ohio.gov/rod/docs/pdf/0/2003/2003-Ohio-5599.pdf</vt:lpwstr>
      </vt:variant>
      <vt:variant>
        <vt:lpwstr/>
      </vt:variant>
      <vt:variant>
        <vt:i4>3407935</vt:i4>
      </vt:variant>
      <vt:variant>
        <vt:i4>1356</vt:i4>
      </vt:variant>
      <vt:variant>
        <vt:i4>0</vt:i4>
      </vt:variant>
      <vt:variant>
        <vt:i4>5</vt:i4>
      </vt:variant>
      <vt:variant>
        <vt:lpwstr>http://www.supremecourt.ohio.gov/rod/docs/pdf/0/2002/2002-Ohio-7041.pdf</vt:lpwstr>
      </vt:variant>
      <vt:variant>
        <vt:lpwstr/>
      </vt:variant>
      <vt:variant>
        <vt:i4>5636107</vt:i4>
      </vt:variant>
      <vt:variant>
        <vt:i4>1353</vt:i4>
      </vt:variant>
      <vt:variant>
        <vt:i4>0</vt:i4>
      </vt:variant>
      <vt:variant>
        <vt:i4>5</vt:i4>
      </vt:variant>
      <vt:variant>
        <vt:lpwstr>http://www.supremecourt.ohio.gov/rod/docs/pdf/13/2018/2018-Ohio-5014.pdf</vt:lpwstr>
      </vt:variant>
      <vt:variant>
        <vt:lpwstr/>
      </vt:variant>
      <vt:variant>
        <vt:i4>6750259</vt:i4>
      </vt:variant>
      <vt:variant>
        <vt:i4>1350</vt:i4>
      </vt:variant>
      <vt:variant>
        <vt:i4>0</vt:i4>
      </vt:variant>
      <vt:variant>
        <vt:i4>5</vt:i4>
      </vt:variant>
      <vt:variant>
        <vt:lpwstr>http://www.supremecourt.ohio.gov/rod/docs/pdf/0/1997/1997-Ohio-319.pdf</vt:lpwstr>
      </vt:variant>
      <vt:variant>
        <vt:lpwstr/>
      </vt:variant>
      <vt:variant>
        <vt:i4>6946866</vt:i4>
      </vt:variant>
      <vt:variant>
        <vt:i4>1347</vt:i4>
      </vt:variant>
      <vt:variant>
        <vt:i4>0</vt:i4>
      </vt:variant>
      <vt:variant>
        <vt:i4>5</vt:i4>
      </vt:variant>
      <vt:variant>
        <vt:lpwstr>http://www.supremecourt.ohio.gov/rod/docs/pdf/0/1996/1996-Ohio-214.pdf</vt:lpwstr>
      </vt:variant>
      <vt:variant>
        <vt:lpwstr/>
      </vt:variant>
      <vt:variant>
        <vt:i4>7274555</vt:i4>
      </vt:variant>
      <vt:variant>
        <vt:i4>1344</vt:i4>
      </vt:variant>
      <vt:variant>
        <vt:i4>0</vt:i4>
      </vt:variant>
      <vt:variant>
        <vt:i4>5</vt:i4>
      </vt:variant>
      <vt:variant>
        <vt:lpwstr>http://www.supremecourt.ohio.gov/rod/docs/pdf/0/2005/2005-Ohio-685.pdf</vt:lpwstr>
      </vt:variant>
      <vt:variant>
        <vt:lpwstr/>
      </vt:variant>
      <vt:variant>
        <vt:i4>131083</vt:i4>
      </vt:variant>
      <vt:variant>
        <vt:i4>1341</vt:i4>
      </vt:variant>
      <vt:variant>
        <vt:i4>0</vt:i4>
      </vt:variant>
      <vt:variant>
        <vt:i4>5</vt:i4>
      </vt:variant>
      <vt:variant>
        <vt:lpwstr>http://www.supremecourt.ohio.gov/rod/docs/pdf/0/1993/1993-Ohio-77.pdf</vt:lpwstr>
      </vt:variant>
      <vt:variant>
        <vt:lpwstr/>
      </vt:variant>
      <vt:variant>
        <vt:i4>6946865</vt:i4>
      </vt:variant>
      <vt:variant>
        <vt:i4>1338</vt:i4>
      </vt:variant>
      <vt:variant>
        <vt:i4>0</vt:i4>
      </vt:variant>
      <vt:variant>
        <vt:i4>5</vt:i4>
      </vt:variant>
      <vt:variant>
        <vt:lpwstr>http://www.supremecourt.ohio.gov/rod/docs/pdf/0/2015/2015-Ohio-235.pdf</vt:lpwstr>
      </vt:variant>
      <vt:variant>
        <vt:lpwstr/>
      </vt:variant>
      <vt:variant>
        <vt:i4>3866681</vt:i4>
      </vt:variant>
      <vt:variant>
        <vt:i4>1335</vt:i4>
      </vt:variant>
      <vt:variant>
        <vt:i4>0</vt:i4>
      </vt:variant>
      <vt:variant>
        <vt:i4>5</vt:i4>
      </vt:variant>
      <vt:variant>
        <vt:lpwstr>http://www.supremecourt.ohio.gov/rod/docs/pdf/0/2013/2013-Ohio-4582.pdf</vt:lpwstr>
      </vt:variant>
      <vt:variant>
        <vt:lpwstr/>
      </vt:variant>
      <vt:variant>
        <vt:i4>6946865</vt:i4>
      </vt:variant>
      <vt:variant>
        <vt:i4>1332</vt:i4>
      </vt:variant>
      <vt:variant>
        <vt:i4>0</vt:i4>
      </vt:variant>
      <vt:variant>
        <vt:i4>5</vt:i4>
      </vt:variant>
      <vt:variant>
        <vt:lpwstr>http://www.supremecourt.ohio.gov/rod/docs/pdf/0/2015/2015-Ohio-235.pdf</vt:lpwstr>
      </vt:variant>
      <vt:variant>
        <vt:lpwstr/>
      </vt:variant>
      <vt:variant>
        <vt:i4>3145779</vt:i4>
      </vt:variant>
      <vt:variant>
        <vt:i4>1329</vt:i4>
      </vt:variant>
      <vt:variant>
        <vt:i4>0</vt:i4>
      </vt:variant>
      <vt:variant>
        <vt:i4>5</vt:i4>
      </vt:variant>
      <vt:variant>
        <vt:lpwstr>http://www.supremecourt.ohio.gov/rod/docs/pdf/0/2004/2004-Ohio-4952.pdf</vt:lpwstr>
      </vt:variant>
      <vt:variant>
        <vt:lpwstr/>
      </vt:variant>
      <vt:variant>
        <vt:i4>3932221</vt:i4>
      </vt:variant>
      <vt:variant>
        <vt:i4>1326</vt:i4>
      </vt:variant>
      <vt:variant>
        <vt:i4>0</vt:i4>
      </vt:variant>
      <vt:variant>
        <vt:i4>5</vt:i4>
      </vt:variant>
      <vt:variant>
        <vt:lpwstr>http://www.supremecourt.ohio.gov/rod/docs/pdf/0/2009/2009-Ohio-4149.pdf</vt:lpwstr>
      </vt:variant>
      <vt:variant>
        <vt:lpwstr/>
      </vt:variant>
      <vt:variant>
        <vt:i4>3932217</vt:i4>
      </vt:variant>
      <vt:variant>
        <vt:i4>1323</vt:i4>
      </vt:variant>
      <vt:variant>
        <vt:i4>0</vt:i4>
      </vt:variant>
      <vt:variant>
        <vt:i4>5</vt:i4>
      </vt:variant>
      <vt:variant>
        <vt:lpwstr>http://www.supremecourt.ohio.gov/rod/docs/pdf/8/2014/2014-Ohio-4088.pdf</vt:lpwstr>
      </vt:variant>
      <vt:variant>
        <vt:lpwstr/>
      </vt:variant>
      <vt:variant>
        <vt:i4>6422586</vt:i4>
      </vt:variant>
      <vt:variant>
        <vt:i4>1320</vt:i4>
      </vt:variant>
      <vt:variant>
        <vt:i4>0</vt:i4>
      </vt:variant>
      <vt:variant>
        <vt:i4>5</vt:i4>
      </vt:variant>
      <vt:variant>
        <vt:lpwstr>http://www.supremecourt.ohio.gov/rod/docs/pdf/1/2008/2008-Ohio-152.pdf</vt:lpwstr>
      </vt:variant>
      <vt:variant>
        <vt:lpwstr/>
      </vt:variant>
      <vt:variant>
        <vt:i4>3670076</vt:i4>
      </vt:variant>
      <vt:variant>
        <vt:i4>1317</vt:i4>
      </vt:variant>
      <vt:variant>
        <vt:i4>0</vt:i4>
      </vt:variant>
      <vt:variant>
        <vt:i4>5</vt:i4>
      </vt:variant>
      <vt:variant>
        <vt:lpwstr>http://www.supremecourt.ohio.gov/rod/docs/pdf/0/2004/2004-Ohio-1581.pdf</vt:lpwstr>
      </vt:variant>
      <vt:variant>
        <vt:lpwstr/>
      </vt:variant>
      <vt:variant>
        <vt:i4>3145779</vt:i4>
      </vt:variant>
      <vt:variant>
        <vt:i4>1314</vt:i4>
      </vt:variant>
      <vt:variant>
        <vt:i4>0</vt:i4>
      </vt:variant>
      <vt:variant>
        <vt:i4>5</vt:i4>
      </vt:variant>
      <vt:variant>
        <vt:lpwstr>http://www.supremecourt.ohio.gov/rod/docs/pdf/0/2004/2004-Ohio-4952.pdf</vt:lpwstr>
      </vt:variant>
      <vt:variant>
        <vt:lpwstr/>
      </vt:variant>
      <vt:variant>
        <vt:i4>3538992</vt:i4>
      </vt:variant>
      <vt:variant>
        <vt:i4>1311</vt:i4>
      </vt:variant>
      <vt:variant>
        <vt:i4>0</vt:i4>
      </vt:variant>
      <vt:variant>
        <vt:i4>5</vt:i4>
      </vt:variant>
      <vt:variant>
        <vt:lpwstr>http://www.supremecourt.ohio.gov/rod/docs/pdf/0/2010/2010-Ohio-4469.pdf</vt:lpwstr>
      </vt:variant>
      <vt:variant>
        <vt:lpwstr/>
      </vt:variant>
      <vt:variant>
        <vt:i4>3538992</vt:i4>
      </vt:variant>
      <vt:variant>
        <vt:i4>1308</vt:i4>
      </vt:variant>
      <vt:variant>
        <vt:i4>0</vt:i4>
      </vt:variant>
      <vt:variant>
        <vt:i4>5</vt:i4>
      </vt:variant>
      <vt:variant>
        <vt:lpwstr>http://www.supremecourt.ohio.gov/rod/docs/pdf/0/2010/2010-Ohio-4469.pdf</vt:lpwstr>
      </vt:variant>
      <vt:variant>
        <vt:lpwstr/>
      </vt:variant>
      <vt:variant>
        <vt:i4>3604536</vt:i4>
      </vt:variant>
      <vt:variant>
        <vt:i4>1305</vt:i4>
      </vt:variant>
      <vt:variant>
        <vt:i4>0</vt:i4>
      </vt:variant>
      <vt:variant>
        <vt:i4>5</vt:i4>
      </vt:variant>
      <vt:variant>
        <vt:lpwstr>http://www.supremecourt.ohio.gov/rod/docs/pdf/8/2015/2015-Ohio-5139.pdf</vt:lpwstr>
      </vt:variant>
      <vt:variant>
        <vt:lpwstr/>
      </vt:variant>
      <vt:variant>
        <vt:i4>65545</vt:i4>
      </vt:variant>
      <vt:variant>
        <vt:i4>1302</vt:i4>
      </vt:variant>
      <vt:variant>
        <vt:i4>0</vt:i4>
      </vt:variant>
      <vt:variant>
        <vt:i4>5</vt:i4>
      </vt:variant>
      <vt:variant>
        <vt:lpwstr>http://www.supremecourt.ohio.gov/rod/docs/pdf/0/2002/2002-Ohio-67.pdf</vt:lpwstr>
      </vt:variant>
      <vt:variant>
        <vt:lpwstr/>
      </vt:variant>
      <vt:variant>
        <vt:i4>7077941</vt:i4>
      </vt:variant>
      <vt:variant>
        <vt:i4>1299</vt:i4>
      </vt:variant>
      <vt:variant>
        <vt:i4>0</vt:i4>
      </vt:variant>
      <vt:variant>
        <vt:i4>5</vt:i4>
      </vt:variant>
      <vt:variant>
        <vt:lpwstr>http://www.supremecourt.ohio.gov/rod/docs/pdf/0/1997/1997-Ohio-273.pdf</vt:lpwstr>
      </vt:variant>
      <vt:variant>
        <vt:lpwstr/>
      </vt:variant>
      <vt:variant>
        <vt:i4>3604537</vt:i4>
      </vt:variant>
      <vt:variant>
        <vt:i4>1296</vt:i4>
      </vt:variant>
      <vt:variant>
        <vt:i4>0</vt:i4>
      </vt:variant>
      <vt:variant>
        <vt:i4>5</vt:i4>
      </vt:variant>
      <vt:variant>
        <vt:lpwstr>http://www.supremecourt.ohio.gov/rod/docs/pdf/10/2005/2005-Ohio-363.pdf</vt:lpwstr>
      </vt:variant>
      <vt:variant>
        <vt:lpwstr/>
      </vt:variant>
      <vt:variant>
        <vt:i4>6291508</vt:i4>
      </vt:variant>
      <vt:variant>
        <vt:i4>1293</vt:i4>
      </vt:variant>
      <vt:variant>
        <vt:i4>0</vt:i4>
      </vt:variant>
      <vt:variant>
        <vt:i4>5</vt:i4>
      </vt:variant>
      <vt:variant>
        <vt:lpwstr>http://www.supremecourt.ohio.gov/rod/docs/pdf/0/1998/1998-Ohio-290.pdf</vt:lpwstr>
      </vt:variant>
      <vt:variant>
        <vt:lpwstr/>
      </vt:variant>
      <vt:variant>
        <vt:i4>3276850</vt:i4>
      </vt:variant>
      <vt:variant>
        <vt:i4>1290</vt:i4>
      </vt:variant>
      <vt:variant>
        <vt:i4>0</vt:i4>
      </vt:variant>
      <vt:variant>
        <vt:i4>5</vt:i4>
      </vt:variant>
      <vt:variant>
        <vt:lpwstr>http://www.supremecourt.ohio.gov/rod/docs/pdf/0/2008/2008-Ohio-6197.pdf</vt:lpwstr>
      </vt:variant>
      <vt:variant>
        <vt:lpwstr/>
      </vt:variant>
      <vt:variant>
        <vt:i4>3538993</vt:i4>
      </vt:variant>
      <vt:variant>
        <vt:i4>1287</vt:i4>
      </vt:variant>
      <vt:variant>
        <vt:i4>0</vt:i4>
      </vt:variant>
      <vt:variant>
        <vt:i4>5</vt:i4>
      </vt:variant>
      <vt:variant>
        <vt:lpwstr>http://www.supremecourt.ohio.gov/rod/docs/pdf/0/2004/2004-Ohio-7108.pdf</vt:lpwstr>
      </vt:variant>
      <vt:variant>
        <vt:lpwstr/>
      </vt:variant>
      <vt:variant>
        <vt:i4>3997756</vt:i4>
      </vt:variant>
      <vt:variant>
        <vt:i4>1284</vt:i4>
      </vt:variant>
      <vt:variant>
        <vt:i4>0</vt:i4>
      </vt:variant>
      <vt:variant>
        <vt:i4>5</vt:i4>
      </vt:variant>
      <vt:variant>
        <vt:lpwstr>http://www.supremecourt.ohio.gov/rod/docs/pdf/7/2003/2003-Ohio-3286.pdf</vt:lpwstr>
      </vt:variant>
      <vt:variant>
        <vt:lpwstr/>
      </vt:variant>
      <vt:variant>
        <vt:i4>5439501</vt:i4>
      </vt:variant>
      <vt:variant>
        <vt:i4>1281</vt:i4>
      </vt:variant>
      <vt:variant>
        <vt:i4>0</vt:i4>
      </vt:variant>
      <vt:variant>
        <vt:i4>5</vt:i4>
      </vt:variant>
      <vt:variant>
        <vt:lpwstr>http://www.supremecourt.ohio.gov/rod/docs/pdf/10/2009/2009-Ohio-3614.pdf</vt:lpwstr>
      </vt:variant>
      <vt:variant>
        <vt:lpwstr/>
      </vt:variant>
      <vt:variant>
        <vt:i4>3538993</vt:i4>
      </vt:variant>
      <vt:variant>
        <vt:i4>1278</vt:i4>
      </vt:variant>
      <vt:variant>
        <vt:i4>0</vt:i4>
      </vt:variant>
      <vt:variant>
        <vt:i4>5</vt:i4>
      </vt:variant>
      <vt:variant>
        <vt:lpwstr>http://www.supremecourt.ohio.gov/rod/docs/pdf/0/2004/2004-Ohio-7108.pdf</vt:lpwstr>
      </vt:variant>
      <vt:variant>
        <vt:lpwstr/>
      </vt:variant>
      <vt:variant>
        <vt:i4>7209013</vt:i4>
      </vt:variant>
      <vt:variant>
        <vt:i4>1275</vt:i4>
      </vt:variant>
      <vt:variant>
        <vt:i4>0</vt:i4>
      </vt:variant>
      <vt:variant>
        <vt:i4>5</vt:i4>
      </vt:variant>
      <vt:variant>
        <vt:lpwstr>http://www.supremecourt.ohio.gov/rod/docs/pdf/0/1997/1997-Ohio-271.pdf</vt:lpwstr>
      </vt:variant>
      <vt:variant>
        <vt:lpwstr/>
      </vt:variant>
      <vt:variant>
        <vt:i4>7209013</vt:i4>
      </vt:variant>
      <vt:variant>
        <vt:i4>1272</vt:i4>
      </vt:variant>
      <vt:variant>
        <vt:i4>0</vt:i4>
      </vt:variant>
      <vt:variant>
        <vt:i4>5</vt:i4>
      </vt:variant>
      <vt:variant>
        <vt:lpwstr>http://www.supremecourt.ohio.gov/rod/docs/pdf/0/1997/1997-Ohio-271.pdf</vt:lpwstr>
      </vt:variant>
      <vt:variant>
        <vt:lpwstr/>
      </vt:variant>
      <vt:variant>
        <vt:i4>3997747</vt:i4>
      </vt:variant>
      <vt:variant>
        <vt:i4>1269</vt:i4>
      </vt:variant>
      <vt:variant>
        <vt:i4>0</vt:i4>
      </vt:variant>
      <vt:variant>
        <vt:i4>5</vt:i4>
      </vt:variant>
      <vt:variant>
        <vt:lpwstr>http://www.supremecourt.ohio.gov/rod/docs/pdf/2/2018/2018-Ohio-2430.pdf</vt:lpwstr>
      </vt:variant>
      <vt:variant>
        <vt:lpwstr/>
      </vt:variant>
      <vt:variant>
        <vt:i4>3342385</vt:i4>
      </vt:variant>
      <vt:variant>
        <vt:i4>1266</vt:i4>
      </vt:variant>
      <vt:variant>
        <vt:i4>0</vt:i4>
      </vt:variant>
      <vt:variant>
        <vt:i4>5</vt:i4>
      </vt:variant>
      <vt:variant>
        <vt:lpwstr>http://www.supremecourt.ohio.gov/rod/docs/pdf/0/2013/2013-Ohio-1956.pdf</vt:lpwstr>
      </vt:variant>
      <vt:variant>
        <vt:lpwstr/>
      </vt:variant>
      <vt:variant>
        <vt:i4>3407923</vt:i4>
      </vt:variant>
      <vt:variant>
        <vt:i4>1263</vt:i4>
      </vt:variant>
      <vt:variant>
        <vt:i4>0</vt:i4>
      </vt:variant>
      <vt:variant>
        <vt:i4>5</vt:i4>
      </vt:variant>
      <vt:variant>
        <vt:lpwstr>http://www.supremecourt.ohio.gov/rod/docs/pdf/7/2015/2015-Ohio-3965.pdf</vt:lpwstr>
      </vt:variant>
      <vt:variant>
        <vt:lpwstr/>
      </vt:variant>
      <vt:variant>
        <vt:i4>3407922</vt:i4>
      </vt:variant>
      <vt:variant>
        <vt:i4>1260</vt:i4>
      </vt:variant>
      <vt:variant>
        <vt:i4>0</vt:i4>
      </vt:variant>
      <vt:variant>
        <vt:i4>5</vt:i4>
      </vt:variant>
      <vt:variant>
        <vt:lpwstr>http://www.supremecourt.ohio.gov/rod/docs/pdf/7/2015/2015-Ohio-3964.pdf</vt:lpwstr>
      </vt:variant>
      <vt:variant>
        <vt:lpwstr/>
      </vt:variant>
      <vt:variant>
        <vt:i4>3342385</vt:i4>
      </vt:variant>
      <vt:variant>
        <vt:i4>1257</vt:i4>
      </vt:variant>
      <vt:variant>
        <vt:i4>0</vt:i4>
      </vt:variant>
      <vt:variant>
        <vt:i4>5</vt:i4>
      </vt:variant>
      <vt:variant>
        <vt:lpwstr>http://www.supremecourt.ohio.gov/rod/docs/pdf/0/2013/2013-Ohio-1956.pdf</vt:lpwstr>
      </vt:variant>
      <vt:variant>
        <vt:lpwstr/>
      </vt:variant>
      <vt:variant>
        <vt:i4>3866682</vt:i4>
      </vt:variant>
      <vt:variant>
        <vt:i4>1254</vt:i4>
      </vt:variant>
      <vt:variant>
        <vt:i4>0</vt:i4>
      </vt:variant>
      <vt:variant>
        <vt:i4>5</vt:i4>
      </vt:variant>
      <vt:variant>
        <vt:lpwstr>http://www.supremecourt.ohio.gov/rod/docs/pdf/8/2018/2018-Ohio-5027.pdf</vt:lpwstr>
      </vt:variant>
      <vt:variant>
        <vt:lpwstr/>
      </vt:variant>
      <vt:variant>
        <vt:i4>3604534</vt:i4>
      </vt:variant>
      <vt:variant>
        <vt:i4>1251</vt:i4>
      </vt:variant>
      <vt:variant>
        <vt:i4>0</vt:i4>
      </vt:variant>
      <vt:variant>
        <vt:i4>5</vt:i4>
      </vt:variant>
      <vt:variant>
        <vt:lpwstr>http://www.supremecourt.ohio.gov/rod/docs/pdf/0/2016/2016-Ohio-2974.pdf</vt:lpwstr>
      </vt:variant>
      <vt:variant>
        <vt:lpwstr/>
      </vt:variant>
      <vt:variant>
        <vt:i4>3342389</vt:i4>
      </vt:variant>
      <vt:variant>
        <vt:i4>1248</vt:i4>
      </vt:variant>
      <vt:variant>
        <vt:i4>0</vt:i4>
      </vt:variant>
      <vt:variant>
        <vt:i4>5</vt:i4>
      </vt:variant>
      <vt:variant>
        <vt:lpwstr>http://www.supremecourt.ohio.gov/rod/docs/pdf/0/2011/2011-Ohio-6009.pdf</vt:lpwstr>
      </vt:variant>
      <vt:variant>
        <vt:lpwstr/>
      </vt:variant>
      <vt:variant>
        <vt:i4>3211324</vt:i4>
      </vt:variant>
      <vt:variant>
        <vt:i4>1245</vt:i4>
      </vt:variant>
      <vt:variant>
        <vt:i4>0</vt:i4>
      </vt:variant>
      <vt:variant>
        <vt:i4>5</vt:i4>
      </vt:variant>
      <vt:variant>
        <vt:lpwstr>http://www.supremecourt.ohio.gov/rod/docs/pdf/0/2012/2012-Ohio-5320.pdf</vt:lpwstr>
      </vt:variant>
      <vt:variant>
        <vt:lpwstr/>
      </vt:variant>
      <vt:variant>
        <vt:i4>7143479</vt:i4>
      </vt:variant>
      <vt:variant>
        <vt:i4>1242</vt:i4>
      </vt:variant>
      <vt:variant>
        <vt:i4>0</vt:i4>
      </vt:variant>
      <vt:variant>
        <vt:i4>5</vt:i4>
      </vt:variant>
      <vt:variant>
        <vt:lpwstr>http://www.supremecourt.ohio.gov/rod/docs/pdf/0/1994/1994-Ohio-261.pdf</vt:lpwstr>
      </vt:variant>
      <vt:variant>
        <vt:lpwstr/>
      </vt:variant>
      <vt:variant>
        <vt:i4>3866677</vt:i4>
      </vt:variant>
      <vt:variant>
        <vt:i4>1239</vt:i4>
      </vt:variant>
      <vt:variant>
        <vt:i4>0</vt:i4>
      </vt:variant>
      <vt:variant>
        <vt:i4>5</vt:i4>
      </vt:variant>
      <vt:variant>
        <vt:lpwstr>http://www.supremecourt.ohio.gov/rod/docs/pdf/0/2009/2009-Ohio-1767.pdf</vt:lpwstr>
      </vt:variant>
      <vt:variant>
        <vt:lpwstr/>
      </vt:variant>
      <vt:variant>
        <vt:i4>3342388</vt:i4>
      </vt:variant>
      <vt:variant>
        <vt:i4>1236</vt:i4>
      </vt:variant>
      <vt:variant>
        <vt:i4>0</vt:i4>
      </vt:variant>
      <vt:variant>
        <vt:i4>5</vt:i4>
      </vt:variant>
      <vt:variant>
        <vt:lpwstr>http://www.supremecourt.ohio.gov/rod/docs/pdf/10/2017/2017-Ohio-816.pdf</vt:lpwstr>
      </vt:variant>
      <vt:variant>
        <vt:lpwstr/>
      </vt:variant>
      <vt:variant>
        <vt:i4>3211316</vt:i4>
      </vt:variant>
      <vt:variant>
        <vt:i4>1233</vt:i4>
      </vt:variant>
      <vt:variant>
        <vt:i4>0</vt:i4>
      </vt:variant>
      <vt:variant>
        <vt:i4>5</vt:i4>
      </vt:variant>
      <vt:variant>
        <vt:lpwstr>http://www.supremecourt.ohio.gov/rod/docs/pdf/0/2005/2005-Ohio-1508.pdf</vt:lpwstr>
      </vt:variant>
      <vt:variant>
        <vt:lpwstr/>
      </vt:variant>
      <vt:variant>
        <vt:i4>6488125</vt:i4>
      </vt:variant>
      <vt:variant>
        <vt:i4>1230</vt:i4>
      </vt:variant>
      <vt:variant>
        <vt:i4>0</vt:i4>
      </vt:variant>
      <vt:variant>
        <vt:i4>5</vt:i4>
      </vt:variant>
      <vt:variant>
        <vt:lpwstr>http://www.supremecourt.ohio.gov/rod/docs/pdf/0/2013/2013-Ohio-199.pdf</vt:lpwstr>
      </vt:variant>
      <vt:variant>
        <vt:lpwstr/>
      </vt:variant>
      <vt:variant>
        <vt:i4>3211316</vt:i4>
      </vt:variant>
      <vt:variant>
        <vt:i4>1227</vt:i4>
      </vt:variant>
      <vt:variant>
        <vt:i4>0</vt:i4>
      </vt:variant>
      <vt:variant>
        <vt:i4>5</vt:i4>
      </vt:variant>
      <vt:variant>
        <vt:lpwstr>http://www.supremecourt.ohio.gov/rod/docs/pdf/0/2005/2005-Ohio-1508.pdf</vt:lpwstr>
      </vt:variant>
      <vt:variant>
        <vt:lpwstr/>
      </vt:variant>
      <vt:variant>
        <vt:i4>7143479</vt:i4>
      </vt:variant>
      <vt:variant>
        <vt:i4>1224</vt:i4>
      </vt:variant>
      <vt:variant>
        <vt:i4>0</vt:i4>
      </vt:variant>
      <vt:variant>
        <vt:i4>5</vt:i4>
      </vt:variant>
      <vt:variant>
        <vt:lpwstr>http://www.supremecourt.ohio.gov/rod/docs/pdf/0/1994/1994-Ohio-261.pdf</vt:lpwstr>
      </vt:variant>
      <vt:variant>
        <vt:lpwstr/>
      </vt:variant>
      <vt:variant>
        <vt:i4>6815793</vt:i4>
      </vt:variant>
      <vt:variant>
        <vt:i4>1221</vt:i4>
      </vt:variant>
      <vt:variant>
        <vt:i4>0</vt:i4>
      </vt:variant>
      <vt:variant>
        <vt:i4>5</vt:i4>
      </vt:variant>
      <vt:variant>
        <vt:lpwstr>http://www.supremecourt.ohio.gov/rod/docs/pdf/0/2000/2000-Ohio-475.pdf</vt:lpwstr>
      </vt:variant>
      <vt:variant>
        <vt:lpwstr/>
      </vt:variant>
      <vt:variant>
        <vt:i4>6488121</vt:i4>
      </vt:variant>
      <vt:variant>
        <vt:i4>1218</vt:i4>
      </vt:variant>
      <vt:variant>
        <vt:i4>0</vt:i4>
      </vt:variant>
      <vt:variant>
        <vt:i4>5</vt:i4>
      </vt:variant>
      <vt:variant>
        <vt:lpwstr>http://www.supremecourt.ohio.gov/rod/docs/pdf/0/1998/1998-Ohio-445.pdf</vt:lpwstr>
      </vt:variant>
      <vt:variant>
        <vt:lpwstr/>
      </vt:variant>
      <vt:variant>
        <vt:i4>6291508</vt:i4>
      </vt:variant>
      <vt:variant>
        <vt:i4>1215</vt:i4>
      </vt:variant>
      <vt:variant>
        <vt:i4>0</vt:i4>
      </vt:variant>
      <vt:variant>
        <vt:i4>5</vt:i4>
      </vt:variant>
      <vt:variant>
        <vt:lpwstr>http://www.supremecourt.ohio.gov/rod/docs/pdf/0/1998/1998-Ohio-290.pdf</vt:lpwstr>
      </vt:variant>
      <vt:variant>
        <vt:lpwstr/>
      </vt:variant>
      <vt:variant>
        <vt:i4>3211316</vt:i4>
      </vt:variant>
      <vt:variant>
        <vt:i4>1212</vt:i4>
      </vt:variant>
      <vt:variant>
        <vt:i4>0</vt:i4>
      </vt:variant>
      <vt:variant>
        <vt:i4>5</vt:i4>
      </vt:variant>
      <vt:variant>
        <vt:lpwstr>http://www.supremecourt.ohio.gov/rod/docs/pdf/0/2005/2005-Ohio-1508.pdf</vt:lpwstr>
      </vt:variant>
      <vt:variant>
        <vt:lpwstr/>
      </vt:variant>
      <vt:variant>
        <vt:i4>3211316</vt:i4>
      </vt:variant>
      <vt:variant>
        <vt:i4>1209</vt:i4>
      </vt:variant>
      <vt:variant>
        <vt:i4>0</vt:i4>
      </vt:variant>
      <vt:variant>
        <vt:i4>5</vt:i4>
      </vt:variant>
      <vt:variant>
        <vt:lpwstr>http://www.supremecourt.ohio.gov/rod/docs/pdf/0/2005/2005-Ohio-1508.pdf</vt:lpwstr>
      </vt:variant>
      <vt:variant>
        <vt:lpwstr/>
      </vt:variant>
      <vt:variant>
        <vt:i4>3211324</vt:i4>
      </vt:variant>
      <vt:variant>
        <vt:i4>1206</vt:i4>
      </vt:variant>
      <vt:variant>
        <vt:i4>0</vt:i4>
      </vt:variant>
      <vt:variant>
        <vt:i4>5</vt:i4>
      </vt:variant>
      <vt:variant>
        <vt:lpwstr>http://www.supremecourt.ohio.gov/rod/docs/pdf/0/2017/2017-Ohio-1335.pdf</vt:lpwstr>
      </vt:variant>
      <vt:variant>
        <vt:lpwstr/>
      </vt:variant>
      <vt:variant>
        <vt:i4>3407926</vt:i4>
      </vt:variant>
      <vt:variant>
        <vt:i4>1203</vt:i4>
      </vt:variant>
      <vt:variant>
        <vt:i4>0</vt:i4>
      </vt:variant>
      <vt:variant>
        <vt:i4>5</vt:i4>
      </vt:variant>
      <vt:variant>
        <vt:lpwstr>http://www.supremecourt.ohio.gov/rod/docs/pdf/0/2014/2014-Ohio-3679.pdf</vt:lpwstr>
      </vt:variant>
      <vt:variant>
        <vt:lpwstr/>
      </vt:variant>
      <vt:variant>
        <vt:i4>3211326</vt:i4>
      </vt:variant>
      <vt:variant>
        <vt:i4>1200</vt:i4>
      </vt:variant>
      <vt:variant>
        <vt:i4>0</vt:i4>
      </vt:variant>
      <vt:variant>
        <vt:i4>5</vt:i4>
      </vt:variant>
      <vt:variant>
        <vt:lpwstr>http://www.supremecourt.ohio.gov/rod/docs/pdf/0/2015/2015-Ohio-5056.pdf</vt:lpwstr>
      </vt:variant>
      <vt:variant>
        <vt:lpwstr/>
      </vt:variant>
      <vt:variant>
        <vt:i4>3407926</vt:i4>
      </vt:variant>
      <vt:variant>
        <vt:i4>1197</vt:i4>
      </vt:variant>
      <vt:variant>
        <vt:i4>0</vt:i4>
      </vt:variant>
      <vt:variant>
        <vt:i4>5</vt:i4>
      </vt:variant>
      <vt:variant>
        <vt:lpwstr>http://www.supremecourt.ohio.gov/rod/docs/pdf/0/2014/2014-Ohio-3679.pdf</vt:lpwstr>
      </vt:variant>
      <vt:variant>
        <vt:lpwstr/>
      </vt:variant>
      <vt:variant>
        <vt:i4>5636104</vt:i4>
      </vt:variant>
      <vt:variant>
        <vt:i4>1194</vt:i4>
      </vt:variant>
      <vt:variant>
        <vt:i4>0</vt:i4>
      </vt:variant>
      <vt:variant>
        <vt:i4>5</vt:i4>
      </vt:variant>
      <vt:variant>
        <vt:lpwstr>http://www.supremecourt.ohio.gov/rod/docs/pdf/10/2009/2009-Ohio-1265.pdf</vt:lpwstr>
      </vt:variant>
      <vt:variant>
        <vt:lpwstr/>
      </vt:variant>
      <vt:variant>
        <vt:i4>3211326</vt:i4>
      </vt:variant>
      <vt:variant>
        <vt:i4>1191</vt:i4>
      </vt:variant>
      <vt:variant>
        <vt:i4>0</vt:i4>
      </vt:variant>
      <vt:variant>
        <vt:i4>5</vt:i4>
      </vt:variant>
      <vt:variant>
        <vt:lpwstr>http://www.supremecourt.ohio.gov/rod/docs/pdf/0/2015/2015-Ohio-5056.pdf</vt:lpwstr>
      </vt:variant>
      <vt:variant>
        <vt:lpwstr/>
      </vt:variant>
      <vt:variant>
        <vt:i4>3997753</vt:i4>
      </vt:variant>
      <vt:variant>
        <vt:i4>1188</vt:i4>
      </vt:variant>
      <vt:variant>
        <vt:i4>0</vt:i4>
      </vt:variant>
      <vt:variant>
        <vt:i4>5</vt:i4>
      </vt:variant>
      <vt:variant>
        <vt:lpwstr>http://www.supremecourt.ohio.gov/rod/docs/pdf/0/2012/2012-Ohio-2690.pdf</vt:lpwstr>
      </vt:variant>
      <vt:variant>
        <vt:lpwstr/>
      </vt:variant>
      <vt:variant>
        <vt:i4>3473469</vt:i4>
      </vt:variant>
      <vt:variant>
        <vt:i4>1185</vt:i4>
      </vt:variant>
      <vt:variant>
        <vt:i4>0</vt:i4>
      </vt:variant>
      <vt:variant>
        <vt:i4>5</vt:i4>
      </vt:variant>
      <vt:variant>
        <vt:lpwstr>http://www.supremecourt.ohio.gov/rod/docs/pdf/0/2016/2016-Ohio-5026.pdf</vt:lpwstr>
      </vt:variant>
      <vt:variant>
        <vt:lpwstr/>
      </vt:variant>
      <vt:variant>
        <vt:i4>3997753</vt:i4>
      </vt:variant>
      <vt:variant>
        <vt:i4>1182</vt:i4>
      </vt:variant>
      <vt:variant>
        <vt:i4>0</vt:i4>
      </vt:variant>
      <vt:variant>
        <vt:i4>5</vt:i4>
      </vt:variant>
      <vt:variant>
        <vt:lpwstr>http://www.supremecourt.ohio.gov/rod/docs/pdf/0/2012/2012-Ohio-2690.pdf</vt:lpwstr>
      </vt:variant>
      <vt:variant>
        <vt:lpwstr/>
      </vt:variant>
      <vt:variant>
        <vt:i4>3997753</vt:i4>
      </vt:variant>
      <vt:variant>
        <vt:i4>1179</vt:i4>
      </vt:variant>
      <vt:variant>
        <vt:i4>0</vt:i4>
      </vt:variant>
      <vt:variant>
        <vt:i4>5</vt:i4>
      </vt:variant>
      <vt:variant>
        <vt:lpwstr>http://www.supremecourt.ohio.gov/rod/docs/pdf/0/2012/2012-Ohio-2690.pdf</vt:lpwstr>
      </vt:variant>
      <vt:variant>
        <vt:lpwstr/>
      </vt:variant>
      <vt:variant>
        <vt:i4>7274546</vt:i4>
      </vt:variant>
      <vt:variant>
        <vt:i4>1176</vt:i4>
      </vt:variant>
      <vt:variant>
        <vt:i4>0</vt:i4>
      </vt:variant>
      <vt:variant>
        <vt:i4>5</vt:i4>
      </vt:variant>
      <vt:variant>
        <vt:lpwstr>http://www.supremecourt.ohio.gov/rod/docs/pdf/0/2000/2000-Ohio-345.pdf</vt:lpwstr>
      </vt:variant>
      <vt:variant>
        <vt:lpwstr/>
      </vt:variant>
      <vt:variant>
        <vt:i4>3276858</vt:i4>
      </vt:variant>
      <vt:variant>
        <vt:i4>1173</vt:i4>
      </vt:variant>
      <vt:variant>
        <vt:i4>0</vt:i4>
      </vt:variant>
      <vt:variant>
        <vt:i4>5</vt:i4>
      </vt:variant>
      <vt:variant>
        <vt:lpwstr>http://www.supremecourt.ohio.gov/rod/docs/pdf/0/2004/2004-Ohio-6557.pdf</vt:lpwstr>
      </vt:variant>
      <vt:variant>
        <vt:lpwstr/>
      </vt:variant>
      <vt:variant>
        <vt:i4>3145782</vt:i4>
      </vt:variant>
      <vt:variant>
        <vt:i4>1170</vt:i4>
      </vt:variant>
      <vt:variant>
        <vt:i4>0</vt:i4>
      </vt:variant>
      <vt:variant>
        <vt:i4>5</vt:i4>
      </vt:variant>
      <vt:variant>
        <vt:lpwstr>http://www.supremecourt.ohio.gov/rod/docs/pdf/8/2005/2005-Ohio-5453.pdf</vt:lpwstr>
      </vt:variant>
      <vt:variant>
        <vt:lpwstr/>
      </vt:variant>
      <vt:variant>
        <vt:i4>3145785</vt:i4>
      </vt:variant>
      <vt:variant>
        <vt:i4>1167</vt:i4>
      </vt:variant>
      <vt:variant>
        <vt:i4>0</vt:i4>
      </vt:variant>
      <vt:variant>
        <vt:i4>5</vt:i4>
      </vt:variant>
      <vt:variant>
        <vt:lpwstr>http://www.supremecourt.ohio.gov/rod/docs/pdf/0/2015/2015-Ohio-3425.pdf</vt:lpwstr>
      </vt:variant>
      <vt:variant>
        <vt:lpwstr/>
      </vt:variant>
      <vt:variant>
        <vt:i4>3276858</vt:i4>
      </vt:variant>
      <vt:variant>
        <vt:i4>1164</vt:i4>
      </vt:variant>
      <vt:variant>
        <vt:i4>0</vt:i4>
      </vt:variant>
      <vt:variant>
        <vt:i4>5</vt:i4>
      </vt:variant>
      <vt:variant>
        <vt:lpwstr>http://www.supremecourt.ohio.gov/rod/docs/pdf/0/2004/2004-Ohio-6557.pdf</vt:lpwstr>
      </vt:variant>
      <vt:variant>
        <vt:lpwstr/>
      </vt:variant>
      <vt:variant>
        <vt:i4>3932221</vt:i4>
      </vt:variant>
      <vt:variant>
        <vt:i4>1161</vt:i4>
      </vt:variant>
      <vt:variant>
        <vt:i4>0</vt:i4>
      </vt:variant>
      <vt:variant>
        <vt:i4>5</vt:i4>
      </vt:variant>
      <vt:variant>
        <vt:lpwstr>http://www.supremecourt.ohio.gov/rod/docs/pdf/0/2009/2009-Ohio-4149.pdf</vt:lpwstr>
      </vt:variant>
      <vt:variant>
        <vt:lpwstr/>
      </vt:variant>
      <vt:variant>
        <vt:i4>3407929</vt:i4>
      </vt:variant>
      <vt:variant>
        <vt:i4>1158</vt:i4>
      </vt:variant>
      <vt:variant>
        <vt:i4>0</vt:i4>
      </vt:variant>
      <vt:variant>
        <vt:i4>5</vt:i4>
      </vt:variant>
      <vt:variant>
        <vt:lpwstr>http://www.supremecourt.ohio.gov/rod/docs/pdf/0/2006/2006-Ohio-4437.pdf</vt:lpwstr>
      </vt:variant>
      <vt:variant>
        <vt:lpwstr/>
      </vt:variant>
      <vt:variant>
        <vt:i4>7012408</vt:i4>
      </vt:variant>
      <vt:variant>
        <vt:i4>1155</vt:i4>
      </vt:variant>
      <vt:variant>
        <vt:i4>0</vt:i4>
      </vt:variant>
      <vt:variant>
        <vt:i4>5</vt:i4>
      </vt:variant>
      <vt:variant>
        <vt:lpwstr>http://www.supremecourt.ohio.gov/rod/docs/pdf/2/2004/2004-Ohio-781.pdf</vt:lpwstr>
      </vt:variant>
      <vt:variant>
        <vt:lpwstr/>
      </vt:variant>
      <vt:variant>
        <vt:i4>6160398</vt:i4>
      </vt:variant>
      <vt:variant>
        <vt:i4>1152</vt:i4>
      </vt:variant>
      <vt:variant>
        <vt:i4>0</vt:i4>
      </vt:variant>
      <vt:variant>
        <vt:i4>5</vt:i4>
      </vt:variant>
      <vt:variant>
        <vt:lpwstr>http://www.supremecourt.ohio.gov/rod/docs/pdf/10/2012/2012-Ohio-2590.pdf</vt:lpwstr>
      </vt:variant>
      <vt:variant>
        <vt:lpwstr/>
      </vt:variant>
      <vt:variant>
        <vt:i4>6946866</vt:i4>
      </vt:variant>
      <vt:variant>
        <vt:i4>1149</vt:i4>
      </vt:variant>
      <vt:variant>
        <vt:i4>0</vt:i4>
      </vt:variant>
      <vt:variant>
        <vt:i4>5</vt:i4>
      </vt:variant>
      <vt:variant>
        <vt:lpwstr>http://www.supremecourt.ohio.gov/rod/docs/pdf/0/1996/1996-Ohio-214.pdf</vt:lpwstr>
      </vt:variant>
      <vt:variant>
        <vt:lpwstr/>
      </vt:variant>
      <vt:variant>
        <vt:i4>7274555</vt:i4>
      </vt:variant>
      <vt:variant>
        <vt:i4>1146</vt:i4>
      </vt:variant>
      <vt:variant>
        <vt:i4>0</vt:i4>
      </vt:variant>
      <vt:variant>
        <vt:i4>5</vt:i4>
      </vt:variant>
      <vt:variant>
        <vt:lpwstr>http://www.supremecourt.ohio.gov/rod/docs/pdf/0/2005/2005-Ohio-685.pdf</vt:lpwstr>
      </vt:variant>
      <vt:variant>
        <vt:lpwstr/>
      </vt:variant>
      <vt:variant>
        <vt:i4>6946866</vt:i4>
      </vt:variant>
      <vt:variant>
        <vt:i4>1143</vt:i4>
      </vt:variant>
      <vt:variant>
        <vt:i4>0</vt:i4>
      </vt:variant>
      <vt:variant>
        <vt:i4>5</vt:i4>
      </vt:variant>
      <vt:variant>
        <vt:lpwstr>http://www.supremecourt.ohio.gov/rod/docs/pdf/0/1996/1996-Ohio-214.pdf</vt:lpwstr>
      </vt:variant>
      <vt:variant>
        <vt:lpwstr/>
      </vt:variant>
      <vt:variant>
        <vt:i4>3211320</vt:i4>
      </vt:variant>
      <vt:variant>
        <vt:i4>1140</vt:i4>
      </vt:variant>
      <vt:variant>
        <vt:i4>0</vt:i4>
      </vt:variant>
      <vt:variant>
        <vt:i4>5</vt:i4>
      </vt:variant>
      <vt:variant>
        <vt:lpwstr>http://www.supremecourt.ohio.gov/rod/docs/pdf/0/2002/2002-Ohio-7117.pdf</vt:lpwstr>
      </vt:variant>
      <vt:variant>
        <vt:lpwstr/>
      </vt:variant>
      <vt:variant>
        <vt:i4>3145779</vt:i4>
      </vt:variant>
      <vt:variant>
        <vt:i4>1137</vt:i4>
      </vt:variant>
      <vt:variant>
        <vt:i4>0</vt:i4>
      </vt:variant>
      <vt:variant>
        <vt:i4>5</vt:i4>
      </vt:variant>
      <vt:variant>
        <vt:lpwstr>http://www.supremecourt.ohio.gov/rod/docs/pdf/0/2004/2004-Ohio-4952.pdf</vt:lpwstr>
      </vt:variant>
      <vt:variant>
        <vt:lpwstr/>
      </vt:variant>
      <vt:variant>
        <vt:i4>3276859</vt:i4>
      </vt:variant>
      <vt:variant>
        <vt:i4>1134</vt:i4>
      </vt:variant>
      <vt:variant>
        <vt:i4>0</vt:i4>
      </vt:variant>
      <vt:variant>
        <vt:i4>5</vt:i4>
      </vt:variant>
      <vt:variant>
        <vt:lpwstr>http://www.ohioattorneygeneral.gov/Sunshine</vt:lpwstr>
      </vt:variant>
      <vt:variant>
        <vt:lpwstr/>
      </vt:variant>
      <vt:variant>
        <vt:i4>3276859</vt:i4>
      </vt:variant>
      <vt:variant>
        <vt:i4>1131</vt:i4>
      </vt:variant>
      <vt:variant>
        <vt:i4>0</vt:i4>
      </vt:variant>
      <vt:variant>
        <vt:i4>5</vt:i4>
      </vt:variant>
      <vt:variant>
        <vt:lpwstr>http://www.ohioattorneygeneral.gov/Sunshine</vt:lpwstr>
      </vt:variant>
      <vt:variant>
        <vt:lpwstr/>
      </vt:variant>
      <vt:variant>
        <vt:i4>3866675</vt:i4>
      </vt:variant>
      <vt:variant>
        <vt:i4>1128</vt:i4>
      </vt:variant>
      <vt:variant>
        <vt:i4>0</vt:i4>
      </vt:variant>
      <vt:variant>
        <vt:i4>5</vt:i4>
      </vt:variant>
      <vt:variant>
        <vt:lpwstr>http://www.supremecourt.ohio.gov/rod/docs/pdf/8/2013/2013-Ohio-4481.pdf</vt:lpwstr>
      </vt:variant>
      <vt:variant>
        <vt:lpwstr/>
      </vt:variant>
      <vt:variant>
        <vt:i4>7274546</vt:i4>
      </vt:variant>
      <vt:variant>
        <vt:i4>1125</vt:i4>
      </vt:variant>
      <vt:variant>
        <vt:i4>0</vt:i4>
      </vt:variant>
      <vt:variant>
        <vt:i4>5</vt:i4>
      </vt:variant>
      <vt:variant>
        <vt:lpwstr>http://www.supremecourt.ohio.gov/rod/docs/pdf/0/2000/2000-Ohio-345.pdf</vt:lpwstr>
      </vt:variant>
      <vt:variant>
        <vt:lpwstr/>
      </vt:variant>
      <vt:variant>
        <vt:i4>4063295</vt:i4>
      </vt:variant>
      <vt:variant>
        <vt:i4>1122</vt:i4>
      </vt:variant>
      <vt:variant>
        <vt:i4>0</vt:i4>
      </vt:variant>
      <vt:variant>
        <vt:i4>5</vt:i4>
      </vt:variant>
      <vt:variant>
        <vt:lpwstr>http://www.supremecourt.ohio.gov/rod/docs/pdf/0/2012/2012-Ohio-1999.pdf</vt:lpwstr>
      </vt:variant>
      <vt:variant>
        <vt:lpwstr/>
      </vt:variant>
      <vt:variant>
        <vt:i4>6619194</vt:i4>
      </vt:variant>
      <vt:variant>
        <vt:i4>1119</vt:i4>
      </vt:variant>
      <vt:variant>
        <vt:i4>0</vt:i4>
      </vt:variant>
      <vt:variant>
        <vt:i4>5</vt:i4>
      </vt:variant>
      <vt:variant>
        <vt:lpwstr>http://www.supremecourt.ohio.gov/rod/docs/pdf/0/1999/1999-Ohio-264.pdf</vt:lpwstr>
      </vt:variant>
      <vt:variant>
        <vt:lpwstr/>
      </vt:variant>
      <vt:variant>
        <vt:i4>3735611</vt:i4>
      </vt:variant>
      <vt:variant>
        <vt:i4>1116</vt:i4>
      </vt:variant>
      <vt:variant>
        <vt:i4>0</vt:i4>
      </vt:variant>
      <vt:variant>
        <vt:i4>5</vt:i4>
      </vt:variant>
      <vt:variant>
        <vt:lpwstr>http://www.supremecourt.ohio.gov/rod/docs/pdf/0/2004/2004-Ohio-1497.pdf</vt:lpwstr>
      </vt:variant>
      <vt:variant>
        <vt:lpwstr/>
      </vt:variant>
      <vt:variant>
        <vt:i4>5242887</vt:i4>
      </vt:variant>
      <vt:variant>
        <vt:i4>1113</vt:i4>
      </vt:variant>
      <vt:variant>
        <vt:i4>0</vt:i4>
      </vt:variant>
      <vt:variant>
        <vt:i4>5</vt:i4>
      </vt:variant>
      <vt:variant>
        <vt:lpwstr>http://www.supremecourt.ohio.gov/rod/docs/pdf/10/2015/2015-Ohio-3569.pdf</vt:lpwstr>
      </vt:variant>
      <vt:variant>
        <vt:lpwstr/>
      </vt:variant>
      <vt:variant>
        <vt:i4>2490474</vt:i4>
      </vt:variant>
      <vt:variant>
        <vt:i4>1110</vt:i4>
      </vt:variant>
      <vt:variant>
        <vt:i4>0</vt:i4>
      </vt:variant>
      <vt:variant>
        <vt:i4>5</vt:i4>
      </vt:variant>
      <vt:variant>
        <vt:lpwstr>http://privacy.ohio.gov/government/aspx</vt:lpwstr>
      </vt:variant>
      <vt:variant>
        <vt:lpwstr/>
      </vt:variant>
      <vt:variant>
        <vt:i4>5570571</vt:i4>
      </vt:variant>
      <vt:variant>
        <vt:i4>1107</vt:i4>
      </vt:variant>
      <vt:variant>
        <vt:i4>0</vt:i4>
      </vt:variant>
      <vt:variant>
        <vt:i4>5</vt:i4>
      </vt:variant>
      <vt:variant>
        <vt:lpwstr>http://www.supremecourt.ohio.gov/rod/docs/pdf/13/2018/2018-Ohio-1552.pdf</vt:lpwstr>
      </vt:variant>
      <vt:variant>
        <vt:lpwstr/>
      </vt:variant>
      <vt:variant>
        <vt:i4>7012406</vt:i4>
      </vt:variant>
      <vt:variant>
        <vt:i4>1104</vt:i4>
      </vt:variant>
      <vt:variant>
        <vt:i4>0</vt:i4>
      </vt:variant>
      <vt:variant>
        <vt:i4>5</vt:i4>
      </vt:variant>
      <vt:variant>
        <vt:lpwstr>http://www.supremecourt.ohio.gov/rod/docs/pdf/0/1992/1992-Ohio-112.pdf</vt:lpwstr>
      </vt:variant>
      <vt:variant>
        <vt:lpwstr/>
      </vt:variant>
      <vt:variant>
        <vt:i4>6619184</vt:i4>
      </vt:variant>
      <vt:variant>
        <vt:i4>1101</vt:i4>
      </vt:variant>
      <vt:variant>
        <vt:i4>0</vt:i4>
      </vt:variant>
      <vt:variant>
        <vt:i4>5</vt:i4>
      </vt:variant>
      <vt:variant>
        <vt:lpwstr>http://www.supremecourt.ohio.gov/rod/docs/pdf/0/2006/2006-Ohio-903.pdf</vt:lpwstr>
      </vt:variant>
      <vt:variant>
        <vt:lpwstr/>
      </vt:variant>
      <vt:variant>
        <vt:i4>3604536</vt:i4>
      </vt:variant>
      <vt:variant>
        <vt:i4>1098</vt:i4>
      </vt:variant>
      <vt:variant>
        <vt:i4>0</vt:i4>
      </vt:variant>
      <vt:variant>
        <vt:i4>5</vt:i4>
      </vt:variant>
      <vt:variant>
        <vt:lpwstr>http://www.supremecourt.ohio.gov/rod/docs/pdf/8/2015/2015-Ohio-5139.pdf</vt:lpwstr>
      </vt:variant>
      <vt:variant>
        <vt:lpwstr/>
      </vt:variant>
      <vt:variant>
        <vt:i4>7209012</vt:i4>
      </vt:variant>
      <vt:variant>
        <vt:i4>1095</vt:i4>
      </vt:variant>
      <vt:variant>
        <vt:i4>0</vt:i4>
      </vt:variant>
      <vt:variant>
        <vt:i4>5</vt:i4>
      </vt:variant>
      <vt:variant>
        <vt:lpwstr>http://www.supremecourt.ohio.gov/rod/docs/pdf/0/2012/2012-Ohio-115.pdf</vt:lpwstr>
      </vt:variant>
      <vt:variant>
        <vt:lpwstr/>
      </vt:variant>
      <vt:variant>
        <vt:i4>3407935</vt:i4>
      </vt:variant>
      <vt:variant>
        <vt:i4>1092</vt:i4>
      </vt:variant>
      <vt:variant>
        <vt:i4>0</vt:i4>
      </vt:variant>
      <vt:variant>
        <vt:i4>5</vt:i4>
      </vt:variant>
      <vt:variant>
        <vt:lpwstr>http://www.supremecourt.ohio.gov/rod/docs/pdf/0/2002/2002-Ohio-7041.pdf</vt:lpwstr>
      </vt:variant>
      <vt:variant>
        <vt:lpwstr/>
      </vt:variant>
      <vt:variant>
        <vt:i4>3276850</vt:i4>
      </vt:variant>
      <vt:variant>
        <vt:i4>1089</vt:i4>
      </vt:variant>
      <vt:variant>
        <vt:i4>0</vt:i4>
      </vt:variant>
      <vt:variant>
        <vt:i4>5</vt:i4>
      </vt:variant>
      <vt:variant>
        <vt:lpwstr>http://www.supremecourt.ohio.gov/rod/docs/pdf/0/2008/2008-Ohio-6197.pdf</vt:lpwstr>
      </vt:variant>
      <vt:variant>
        <vt:lpwstr/>
      </vt:variant>
      <vt:variant>
        <vt:i4>3473456</vt:i4>
      </vt:variant>
      <vt:variant>
        <vt:i4>1086</vt:i4>
      </vt:variant>
      <vt:variant>
        <vt:i4>0</vt:i4>
      </vt:variant>
      <vt:variant>
        <vt:i4>5</vt:i4>
      </vt:variant>
      <vt:variant>
        <vt:lpwstr>http://www.supremecourt.ohio.gov/rod/docs/pdf/4/2001/2001-Ohio-4059.pdf</vt:lpwstr>
      </vt:variant>
      <vt:variant>
        <vt:lpwstr/>
      </vt:variant>
      <vt:variant>
        <vt:i4>6619188</vt:i4>
      </vt:variant>
      <vt:variant>
        <vt:i4>1083</vt:i4>
      </vt:variant>
      <vt:variant>
        <vt:i4>0</vt:i4>
      </vt:variant>
      <vt:variant>
        <vt:i4>5</vt:i4>
      </vt:variant>
      <vt:variant>
        <vt:lpwstr>http://www.supremecourt.ohio.gov/rod/docs/pdf/0/1995/1995-Ohio-248.pdf</vt:lpwstr>
      </vt:variant>
      <vt:variant>
        <vt:lpwstr/>
      </vt:variant>
      <vt:variant>
        <vt:i4>7209012</vt:i4>
      </vt:variant>
      <vt:variant>
        <vt:i4>1080</vt:i4>
      </vt:variant>
      <vt:variant>
        <vt:i4>0</vt:i4>
      </vt:variant>
      <vt:variant>
        <vt:i4>5</vt:i4>
      </vt:variant>
      <vt:variant>
        <vt:lpwstr>http://www.supremecourt.ohio.gov/rod/docs/pdf/0/2012/2012-Ohio-115.pdf</vt:lpwstr>
      </vt:variant>
      <vt:variant>
        <vt:lpwstr/>
      </vt:variant>
      <vt:variant>
        <vt:i4>3473464</vt:i4>
      </vt:variant>
      <vt:variant>
        <vt:i4>1077</vt:i4>
      </vt:variant>
      <vt:variant>
        <vt:i4>0</vt:i4>
      </vt:variant>
      <vt:variant>
        <vt:i4>5</vt:i4>
      </vt:variant>
      <vt:variant>
        <vt:lpwstr>http://www.supremecourt.ohio.gov/rod/docs/pdf/1/2004/2004-Ohio-7130.pdf</vt:lpwstr>
      </vt:variant>
      <vt:variant>
        <vt:lpwstr/>
      </vt:variant>
      <vt:variant>
        <vt:i4>6750262</vt:i4>
      </vt:variant>
      <vt:variant>
        <vt:i4>1074</vt:i4>
      </vt:variant>
      <vt:variant>
        <vt:i4>0</vt:i4>
      </vt:variant>
      <vt:variant>
        <vt:i4>5</vt:i4>
      </vt:variant>
      <vt:variant>
        <vt:lpwstr>http://www.supremecourt.ohio.gov/rod/docs/pdf/0/1997/1997-Ohio-349.pdf</vt:lpwstr>
      </vt:variant>
      <vt:variant>
        <vt:lpwstr/>
      </vt:variant>
      <vt:variant>
        <vt:i4>6488125</vt:i4>
      </vt:variant>
      <vt:variant>
        <vt:i4>1071</vt:i4>
      </vt:variant>
      <vt:variant>
        <vt:i4>0</vt:i4>
      </vt:variant>
      <vt:variant>
        <vt:i4>5</vt:i4>
      </vt:variant>
      <vt:variant>
        <vt:lpwstr>http://www.supremecourt.ohio.gov/rod/docs/pdf/0/2013/2013-Ohio-199.pdf</vt:lpwstr>
      </vt:variant>
      <vt:variant>
        <vt:lpwstr/>
      </vt:variant>
      <vt:variant>
        <vt:i4>7274547</vt:i4>
      </vt:variant>
      <vt:variant>
        <vt:i4>1068</vt:i4>
      </vt:variant>
      <vt:variant>
        <vt:i4>0</vt:i4>
      </vt:variant>
      <vt:variant>
        <vt:i4>5</vt:i4>
      </vt:variant>
      <vt:variant>
        <vt:lpwstr>http://www.supremecourt.ohio.gov/rod/docs/pdf/0/1996/1996-Ohio-300.pdf</vt:lpwstr>
      </vt:variant>
      <vt:variant>
        <vt:lpwstr/>
      </vt:variant>
      <vt:variant>
        <vt:i4>3342389</vt:i4>
      </vt:variant>
      <vt:variant>
        <vt:i4>1065</vt:i4>
      </vt:variant>
      <vt:variant>
        <vt:i4>0</vt:i4>
      </vt:variant>
      <vt:variant>
        <vt:i4>5</vt:i4>
      </vt:variant>
      <vt:variant>
        <vt:lpwstr>http://www.supremecourt.ohio.gov/rod/docs/pdf/0/2011/2011-Ohio-6009.pdf</vt:lpwstr>
      </vt:variant>
      <vt:variant>
        <vt:lpwstr/>
      </vt:variant>
      <vt:variant>
        <vt:i4>7143474</vt:i4>
      </vt:variant>
      <vt:variant>
        <vt:i4>1062</vt:i4>
      </vt:variant>
      <vt:variant>
        <vt:i4>0</vt:i4>
      </vt:variant>
      <vt:variant>
        <vt:i4>5</vt:i4>
      </vt:variant>
      <vt:variant>
        <vt:lpwstr>http://www.supremecourt.ohio.gov/rod/docs/pdf/0/2013/2013-Ohio-761.pdf</vt:lpwstr>
      </vt:variant>
      <vt:variant>
        <vt:lpwstr/>
      </vt:variant>
      <vt:variant>
        <vt:i4>7209008</vt:i4>
      </vt:variant>
      <vt:variant>
        <vt:i4>1059</vt:i4>
      </vt:variant>
      <vt:variant>
        <vt:i4>0</vt:i4>
      </vt:variant>
      <vt:variant>
        <vt:i4>5</vt:i4>
      </vt:variant>
      <vt:variant>
        <vt:lpwstr>http://www.supremecourt.ohio.gov/rod/docs/pdf/0/2012/2012-Ohio-753.pdf</vt:lpwstr>
      </vt:variant>
      <vt:variant>
        <vt:lpwstr/>
      </vt:variant>
      <vt:variant>
        <vt:i4>7143477</vt:i4>
      </vt:variant>
      <vt:variant>
        <vt:i4>1056</vt:i4>
      </vt:variant>
      <vt:variant>
        <vt:i4>0</vt:i4>
      </vt:variant>
      <vt:variant>
        <vt:i4>5</vt:i4>
      </vt:variant>
      <vt:variant>
        <vt:lpwstr>http://www.supremecourt.ohio.gov/rod/docs/pdf/0/1994/1994-Ohio-340.pdf</vt:lpwstr>
      </vt:variant>
      <vt:variant>
        <vt:lpwstr/>
      </vt:variant>
      <vt:variant>
        <vt:i4>3145791</vt:i4>
      </vt:variant>
      <vt:variant>
        <vt:i4>1053</vt:i4>
      </vt:variant>
      <vt:variant>
        <vt:i4>0</vt:i4>
      </vt:variant>
      <vt:variant>
        <vt:i4>5</vt:i4>
      </vt:variant>
      <vt:variant>
        <vt:lpwstr>http://www.supremecourt.ohio.gov/rod/docs/pdf/0/2004/2004-Ohio-4354.pdf</vt:lpwstr>
      </vt:variant>
      <vt:variant>
        <vt:lpwstr/>
      </vt:variant>
      <vt:variant>
        <vt:i4>3735611</vt:i4>
      </vt:variant>
      <vt:variant>
        <vt:i4>1050</vt:i4>
      </vt:variant>
      <vt:variant>
        <vt:i4>0</vt:i4>
      </vt:variant>
      <vt:variant>
        <vt:i4>5</vt:i4>
      </vt:variant>
      <vt:variant>
        <vt:lpwstr>http://www.supremecourt.ohio.gov/rod/docs/pdf/0/2004/2004-Ohio-1497.pdf</vt:lpwstr>
      </vt:variant>
      <vt:variant>
        <vt:lpwstr/>
      </vt:variant>
      <vt:variant>
        <vt:i4>6946869</vt:i4>
      </vt:variant>
      <vt:variant>
        <vt:i4>1047</vt:i4>
      </vt:variant>
      <vt:variant>
        <vt:i4>0</vt:i4>
      </vt:variant>
      <vt:variant>
        <vt:i4>5</vt:i4>
      </vt:variant>
      <vt:variant>
        <vt:lpwstr>http://www.supremecourt.ohio.gov/rod/docs/pdf/0/1994/1994-Ohio-246.pdf</vt:lpwstr>
      </vt:variant>
      <vt:variant>
        <vt:lpwstr/>
      </vt:variant>
      <vt:variant>
        <vt:i4>3211319</vt:i4>
      </vt:variant>
      <vt:variant>
        <vt:i4>1044</vt:i4>
      </vt:variant>
      <vt:variant>
        <vt:i4>0</vt:i4>
      </vt:variant>
      <vt:variant>
        <vt:i4>5</vt:i4>
      </vt:variant>
      <vt:variant>
        <vt:lpwstr>http://www.supremecourt.ohio.gov/rod/docs/pdf/8/2013/2013-Ohio-5736.pdf</vt:lpwstr>
      </vt:variant>
      <vt:variant>
        <vt:lpwstr/>
      </vt:variant>
      <vt:variant>
        <vt:i4>4128823</vt:i4>
      </vt:variant>
      <vt:variant>
        <vt:i4>1041</vt:i4>
      </vt:variant>
      <vt:variant>
        <vt:i4>0</vt:i4>
      </vt:variant>
      <vt:variant>
        <vt:i4>5</vt:i4>
      </vt:variant>
      <vt:variant>
        <vt:lpwstr>http://www.supremecourt.ohio.gov/rod/docs/pdf/0/2010/2010-Ohio-3288.pdf</vt:lpwstr>
      </vt:variant>
      <vt:variant>
        <vt:lpwstr/>
      </vt:variant>
      <vt:variant>
        <vt:i4>3407929</vt:i4>
      </vt:variant>
      <vt:variant>
        <vt:i4>1038</vt:i4>
      </vt:variant>
      <vt:variant>
        <vt:i4>0</vt:i4>
      </vt:variant>
      <vt:variant>
        <vt:i4>5</vt:i4>
      </vt:variant>
      <vt:variant>
        <vt:lpwstr>http://www.supremecourt.ohio.gov/rod/docs/pdf/0/2006/2006-Ohio-6714.pdf</vt:lpwstr>
      </vt:variant>
      <vt:variant>
        <vt:lpwstr/>
      </vt:variant>
      <vt:variant>
        <vt:i4>4063285</vt:i4>
      </vt:variant>
      <vt:variant>
        <vt:i4>1035</vt:i4>
      </vt:variant>
      <vt:variant>
        <vt:i4>0</vt:i4>
      </vt:variant>
      <vt:variant>
        <vt:i4>5</vt:i4>
      </vt:variant>
      <vt:variant>
        <vt:lpwstr>http://www.supremecourt.ohio.gov/rod/docs/pdf/0/2008/2008-Ohio-6253.pdf</vt:lpwstr>
      </vt:variant>
      <vt:variant>
        <vt:lpwstr/>
      </vt:variant>
      <vt:variant>
        <vt:i4>3670065</vt:i4>
      </vt:variant>
      <vt:variant>
        <vt:i4>1032</vt:i4>
      </vt:variant>
      <vt:variant>
        <vt:i4>0</vt:i4>
      </vt:variant>
      <vt:variant>
        <vt:i4>5</vt:i4>
      </vt:variant>
      <vt:variant>
        <vt:lpwstr>http://www.supremecourt.ohio.gov/rod/docs/pdf/0/2010/2010-Ohio-5995.pdf</vt:lpwstr>
      </vt:variant>
      <vt:variant>
        <vt:lpwstr/>
      </vt:variant>
      <vt:variant>
        <vt:i4>7274555</vt:i4>
      </vt:variant>
      <vt:variant>
        <vt:i4>1029</vt:i4>
      </vt:variant>
      <vt:variant>
        <vt:i4>0</vt:i4>
      </vt:variant>
      <vt:variant>
        <vt:i4>5</vt:i4>
      </vt:variant>
      <vt:variant>
        <vt:lpwstr>http://www.supremecourt.ohio.gov/rod/docs/pdf/0/1996/1996-Ohio-380.pdf</vt:lpwstr>
      </vt:variant>
      <vt:variant>
        <vt:lpwstr/>
      </vt:variant>
      <vt:variant>
        <vt:i4>4128825</vt:i4>
      </vt:variant>
      <vt:variant>
        <vt:i4>1026</vt:i4>
      </vt:variant>
      <vt:variant>
        <vt:i4>0</vt:i4>
      </vt:variant>
      <vt:variant>
        <vt:i4>5</vt:i4>
      </vt:variant>
      <vt:variant>
        <vt:lpwstr>http://www.supremecourt.ohio.gov/rod/docs/pdf/1/2003/2003-Ohio-1186.pdf</vt:lpwstr>
      </vt:variant>
      <vt:variant>
        <vt:lpwstr/>
      </vt:variant>
      <vt:variant>
        <vt:i4>3604541</vt:i4>
      </vt:variant>
      <vt:variant>
        <vt:i4>1023</vt:i4>
      </vt:variant>
      <vt:variant>
        <vt:i4>0</vt:i4>
      </vt:variant>
      <vt:variant>
        <vt:i4>5</vt:i4>
      </vt:variant>
      <vt:variant>
        <vt:lpwstr>http://www.supremecourt.ohio.gov/rod/docs/pdf/0/2005/2005-Ohio-5521.pdf</vt:lpwstr>
      </vt:variant>
      <vt:variant>
        <vt:lpwstr/>
      </vt:variant>
      <vt:variant>
        <vt:i4>3604541</vt:i4>
      </vt:variant>
      <vt:variant>
        <vt:i4>1020</vt:i4>
      </vt:variant>
      <vt:variant>
        <vt:i4>0</vt:i4>
      </vt:variant>
      <vt:variant>
        <vt:i4>5</vt:i4>
      </vt:variant>
      <vt:variant>
        <vt:lpwstr>http://www.supremecourt.ohio.gov/rod/docs/pdf/0/2005/2005-Ohio-5521.pdf</vt:lpwstr>
      </vt:variant>
      <vt:variant>
        <vt:lpwstr/>
      </vt:variant>
      <vt:variant>
        <vt:i4>6750259</vt:i4>
      </vt:variant>
      <vt:variant>
        <vt:i4>1017</vt:i4>
      </vt:variant>
      <vt:variant>
        <vt:i4>0</vt:i4>
      </vt:variant>
      <vt:variant>
        <vt:i4>5</vt:i4>
      </vt:variant>
      <vt:variant>
        <vt:lpwstr>http://www.supremecourt.ohio.gov/rod/docs/pdf/0/1997/1997-Ohio-319.pdf</vt:lpwstr>
      </vt:variant>
      <vt:variant>
        <vt:lpwstr/>
      </vt:variant>
      <vt:variant>
        <vt:i4>3407935</vt:i4>
      </vt:variant>
      <vt:variant>
        <vt:i4>1014</vt:i4>
      </vt:variant>
      <vt:variant>
        <vt:i4>0</vt:i4>
      </vt:variant>
      <vt:variant>
        <vt:i4>5</vt:i4>
      </vt:variant>
      <vt:variant>
        <vt:lpwstr>http://www.supremecourt.ohio.gov/rod/docs/pdf/0/2002/2002-Ohio-7041.pdf</vt:lpwstr>
      </vt:variant>
      <vt:variant>
        <vt:lpwstr/>
      </vt:variant>
      <vt:variant>
        <vt:i4>6815799</vt:i4>
      </vt:variant>
      <vt:variant>
        <vt:i4>1011</vt:i4>
      </vt:variant>
      <vt:variant>
        <vt:i4>0</vt:i4>
      </vt:variant>
      <vt:variant>
        <vt:i4>5</vt:i4>
      </vt:variant>
      <vt:variant>
        <vt:lpwstr>http://www.supremecourt.ohio.gov/rod/docs/pdf/0/2000/2000-Ohio-213.pdf</vt:lpwstr>
      </vt:variant>
      <vt:variant>
        <vt:lpwstr/>
      </vt:variant>
      <vt:variant>
        <vt:i4>3407935</vt:i4>
      </vt:variant>
      <vt:variant>
        <vt:i4>1008</vt:i4>
      </vt:variant>
      <vt:variant>
        <vt:i4>0</vt:i4>
      </vt:variant>
      <vt:variant>
        <vt:i4>5</vt:i4>
      </vt:variant>
      <vt:variant>
        <vt:lpwstr>http://www.supremecourt.ohio.gov/rod/docs/pdf/0/2002/2002-Ohio-7041.pdf</vt:lpwstr>
      </vt:variant>
      <vt:variant>
        <vt:lpwstr/>
      </vt:variant>
      <vt:variant>
        <vt:i4>3735611</vt:i4>
      </vt:variant>
      <vt:variant>
        <vt:i4>1005</vt:i4>
      </vt:variant>
      <vt:variant>
        <vt:i4>0</vt:i4>
      </vt:variant>
      <vt:variant>
        <vt:i4>5</vt:i4>
      </vt:variant>
      <vt:variant>
        <vt:lpwstr>http://www.supremecourt.ohio.gov/rod/docs/pdf/0/2004/2004-Ohio-1497.pdf</vt:lpwstr>
      </vt:variant>
      <vt:variant>
        <vt:lpwstr/>
      </vt:variant>
      <vt:variant>
        <vt:i4>7143479</vt:i4>
      </vt:variant>
      <vt:variant>
        <vt:i4>1002</vt:i4>
      </vt:variant>
      <vt:variant>
        <vt:i4>0</vt:i4>
      </vt:variant>
      <vt:variant>
        <vt:i4>5</vt:i4>
      </vt:variant>
      <vt:variant>
        <vt:lpwstr>http://www.supremecourt.ohio.gov/rod/docs/pdf/0/1997/1997-Ohio-353.pdf</vt:lpwstr>
      </vt:variant>
      <vt:variant>
        <vt:lpwstr/>
      </vt:variant>
      <vt:variant>
        <vt:i4>3342395</vt:i4>
      </vt:variant>
      <vt:variant>
        <vt:i4>999</vt:i4>
      </vt:variant>
      <vt:variant>
        <vt:i4>0</vt:i4>
      </vt:variant>
      <vt:variant>
        <vt:i4>5</vt:i4>
      </vt:variant>
      <vt:variant>
        <vt:lpwstr>http://www.supremecourt.ohio.gov/rod/docs/pdf/9/2015/2015-Ohio-2309.pdf</vt:lpwstr>
      </vt:variant>
      <vt:variant>
        <vt:lpwstr/>
      </vt:variant>
      <vt:variant>
        <vt:i4>6422591</vt:i4>
      </vt:variant>
      <vt:variant>
        <vt:i4>996</vt:i4>
      </vt:variant>
      <vt:variant>
        <vt:i4>0</vt:i4>
      </vt:variant>
      <vt:variant>
        <vt:i4>5</vt:i4>
      </vt:variant>
      <vt:variant>
        <vt:lpwstr>http://www.supremecourt.ohio.gov/rod/docs/pdf/0/1999/1999-Ohio-435.pdf</vt:lpwstr>
      </vt:variant>
      <vt:variant>
        <vt:lpwstr/>
      </vt:variant>
      <vt:variant>
        <vt:i4>7143479</vt:i4>
      </vt:variant>
      <vt:variant>
        <vt:i4>993</vt:i4>
      </vt:variant>
      <vt:variant>
        <vt:i4>0</vt:i4>
      </vt:variant>
      <vt:variant>
        <vt:i4>5</vt:i4>
      </vt:variant>
      <vt:variant>
        <vt:lpwstr>http://www.supremecourt.ohio.gov/rod/docs/pdf/0/1997/1997-Ohio-353.pdf</vt:lpwstr>
      </vt:variant>
      <vt:variant>
        <vt:lpwstr/>
      </vt:variant>
      <vt:variant>
        <vt:i4>5308422</vt:i4>
      </vt:variant>
      <vt:variant>
        <vt:i4>990</vt:i4>
      </vt:variant>
      <vt:variant>
        <vt:i4>0</vt:i4>
      </vt:variant>
      <vt:variant>
        <vt:i4>5</vt:i4>
      </vt:variant>
      <vt:variant>
        <vt:lpwstr>http://www.supremecourt.ohio.gov/rod/docs/pdf/0/2000/2000-Ohio-8.pdf</vt:lpwstr>
      </vt:variant>
      <vt:variant>
        <vt:lpwstr/>
      </vt:variant>
      <vt:variant>
        <vt:i4>3801139</vt:i4>
      </vt:variant>
      <vt:variant>
        <vt:i4>987</vt:i4>
      </vt:variant>
      <vt:variant>
        <vt:i4>0</vt:i4>
      </vt:variant>
      <vt:variant>
        <vt:i4>5</vt:i4>
      </vt:variant>
      <vt:variant>
        <vt:lpwstr>http://www.supremecourt.ohio.gov/rod/docs/pdf/0/2003/2003-Ohio-5599.pdf</vt:lpwstr>
      </vt:variant>
      <vt:variant>
        <vt:lpwstr/>
      </vt:variant>
      <vt:variant>
        <vt:i4>6881330</vt:i4>
      </vt:variant>
      <vt:variant>
        <vt:i4>984</vt:i4>
      </vt:variant>
      <vt:variant>
        <vt:i4>0</vt:i4>
      </vt:variant>
      <vt:variant>
        <vt:i4>5</vt:i4>
      </vt:variant>
      <vt:variant>
        <vt:lpwstr>http://www.supremecourt.ohio.gov/rod/docs/pdf/0/1997/1997-Ohio-206.pdf</vt:lpwstr>
      </vt:variant>
      <vt:variant>
        <vt:lpwstr/>
      </vt:variant>
      <vt:variant>
        <vt:i4>3276858</vt:i4>
      </vt:variant>
      <vt:variant>
        <vt:i4>981</vt:i4>
      </vt:variant>
      <vt:variant>
        <vt:i4>0</vt:i4>
      </vt:variant>
      <vt:variant>
        <vt:i4>5</vt:i4>
      </vt:variant>
      <vt:variant>
        <vt:lpwstr>http://www.supremecourt.ohio.gov/rod/docs/pdf/0/2004/2004-Ohio-6557.pdf</vt:lpwstr>
      </vt:variant>
      <vt:variant>
        <vt:lpwstr/>
      </vt:variant>
      <vt:variant>
        <vt:i4>3604536</vt:i4>
      </vt:variant>
      <vt:variant>
        <vt:i4>978</vt:i4>
      </vt:variant>
      <vt:variant>
        <vt:i4>0</vt:i4>
      </vt:variant>
      <vt:variant>
        <vt:i4>5</vt:i4>
      </vt:variant>
      <vt:variant>
        <vt:lpwstr>http://www.supremecourt.ohio.gov/rod/docs/pdf/8/2015/2015-Ohio-5139.pdf</vt:lpwstr>
      </vt:variant>
      <vt:variant>
        <vt:lpwstr/>
      </vt:variant>
      <vt:variant>
        <vt:i4>4063285</vt:i4>
      </vt:variant>
      <vt:variant>
        <vt:i4>975</vt:i4>
      </vt:variant>
      <vt:variant>
        <vt:i4>0</vt:i4>
      </vt:variant>
      <vt:variant>
        <vt:i4>5</vt:i4>
      </vt:variant>
      <vt:variant>
        <vt:lpwstr>http://www.supremecourt.ohio.gov/rod/docs/pdf/0/2007/2007-Ohio-4789.pdf</vt:lpwstr>
      </vt:variant>
      <vt:variant>
        <vt:lpwstr/>
      </vt:variant>
      <vt:variant>
        <vt:i4>6291508</vt:i4>
      </vt:variant>
      <vt:variant>
        <vt:i4>972</vt:i4>
      </vt:variant>
      <vt:variant>
        <vt:i4>0</vt:i4>
      </vt:variant>
      <vt:variant>
        <vt:i4>5</vt:i4>
      </vt:variant>
      <vt:variant>
        <vt:lpwstr>http://www.supremecourt.ohio.gov/rod/docs/pdf/0/1998/1998-Ohio-290.pdf</vt:lpwstr>
      </vt:variant>
      <vt:variant>
        <vt:lpwstr/>
      </vt:variant>
      <vt:variant>
        <vt:i4>3145785</vt:i4>
      </vt:variant>
      <vt:variant>
        <vt:i4>969</vt:i4>
      </vt:variant>
      <vt:variant>
        <vt:i4>0</vt:i4>
      </vt:variant>
      <vt:variant>
        <vt:i4>5</vt:i4>
      </vt:variant>
      <vt:variant>
        <vt:lpwstr>http://www.supremecourt.ohio.gov/rod/docs/pdf/0/2015/2015-Ohio-3425.pdf</vt:lpwstr>
      </vt:variant>
      <vt:variant>
        <vt:lpwstr/>
      </vt:variant>
      <vt:variant>
        <vt:i4>3145779</vt:i4>
      </vt:variant>
      <vt:variant>
        <vt:i4>966</vt:i4>
      </vt:variant>
      <vt:variant>
        <vt:i4>0</vt:i4>
      </vt:variant>
      <vt:variant>
        <vt:i4>5</vt:i4>
      </vt:variant>
      <vt:variant>
        <vt:lpwstr>http://www.supremecourt.ohio.gov/rod/docs/pdf/0/2004/2004-Ohio-4952.pdf</vt:lpwstr>
      </vt:variant>
      <vt:variant>
        <vt:lpwstr/>
      </vt:variant>
      <vt:variant>
        <vt:i4>3211316</vt:i4>
      </vt:variant>
      <vt:variant>
        <vt:i4>963</vt:i4>
      </vt:variant>
      <vt:variant>
        <vt:i4>0</vt:i4>
      </vt:variant>
      <vt:variant>
        <vt:i4>5</vt:i4>
      </vt:variant>
      <vt:variant>
        <vt:lpwstr>http://www.supremecourt.ohio.gov/rod/docs/pdf/0/2005/2005-Ohio-1508.pdf</vt:lpwstr>
      </vt:variant>
      <vt:variant>
        <vt:lpwstr/>
      </vt:variant>
      <vt:variant>
        <vt:i4>3276858</vt:i4>
      </vt:variant>
      <vt:variant>
        <vt:i4>960</vt:i4>
      </vt:variant>
      <vt:variant>
        <vt:i4>0</vt:i4>
      </vt:variant>
      <vt:variant>
        <vt:i4>5</vt:i4>
      </vt:variant>
      <vt:variant>
        <vt:lpwstr>http://www.supremecourt.ohio.gov/rod/docs/pdf/0/2004/2004-Ohio-6557.pdf</vt:lpwstr>
      </vt:variant>
      <vt:variant>
        <vt:lpwstr/>
      </vt:variant>
      <vt:variant>
        <vt:i4>6619194</vt:i4>
      </vt:variant>
      <vt:variant>
        <vt:i4>957</vt:i4>
      </vt:variant>
      <vt:variant>
        <vt:i4>0</vt:i4>
      </vt:variant>
      <vt:variant>
        <vt:i4>5</vt:i4>
      </vt:variant>
      <vt:variant>
        <vt:lpwstr>http://www.supremecourt.ohio.gov/rod/docs/pdf/0/1999/1999-Ohio-264.pdf</vt:lpwstr>
      </vt:variant>
      <vt:variant>
        <vt:lpwstr/>
      </vt:variant>
      <vt:variant>
        <vt:i4>3801145</vt:i4>
      </vt:variant>
      <vt:variant>
        <vt:i4>954</vt:i4>
      </vt:variant>
      <vt:variant>
        <vt:i4>0</vt:i4>
      </vt:variant>
      <vt:variant>
        <vt:i4>5</vt:i4>
      </vt:variant>
      <vt:variant>
        <vt:lpwstr>http://www.supremecourt.ohio.gov/rod/docs/pdf/0/2017/2017-Ohio-8714.pdf</vt:lpwstr>
      </vt:variant>
      <vt:variant>
        <vt:lpwstr/>
      </vt:variant>
      <vt:variant>
        <vt:i4>3342395</vt:i4>
      </vt:variant>
      <vt:variant>
        <vt:i4>951</vt:i4>
      </vt:variant>
      <vt:variant>
        <vt:i4>0</vt:i4>
      </vt:variant>
      <vt:variant>
        <vt:i4>5</vt:i4>
      </vt:variant>
      <vt:variant>
        <vt:lpwstr>http://www.supremecourt.ohio.gov/rod/docs/pdf/0/2017/2017-Ohio-8988.pdf</vt:lpwstr>
      </vt:variant>
      <vt:variant>
        <vt:lpwstr/>
      </vt:variant>
      <vt:variant>
        <vt:i4>3997747</vt:i4>
      </vt:variant>
      <vt:variant>
        <vt:i4>948</vt:i4>
      </vt:variant>
      <vt:variant>
        <vt:i4>0</vt:i4>
      </vt:variant>
      <vt:variant>
        <vt:i4>5</vt:i4>
      </vt:variant>
      <vt:variant>
        <vt:lpwstr>http://www.supremecourt.ohio.gov/rod/docs/pdf/0/2018/2018-Ohio-3721.pdf</vt:lpwstr>
      </vt:variant>
      <vt:variant>
        <vt:lpwstr/>
      </vt:variant>
      <vt:variant>
        <vt:i4>5505030</vt:i4>
      </vt:variant>
      <vt:variant>
        <vt:i4>945</vt:i4>
      </vt:variant>
      <vt:variant>
        <vt:i4>0</vt:i4>
      </vt:variant>
      <vt:variant>
        <vt:i4>5</vt:i4>
      </vt:variant>
      <vt:variant>
        <vt:lpwstr>http://www.supremecourt.ohio.gov/rod/docs/pdf/12/2017/2017-Ohio-7810.pdf</vt:lpwstr>
      </vt:variant>
      <vt:variant>
        <vt:lpwstr/>
      </vt:variant>
      <vt:variant>
        <vt:i4>4128826</vt:i4>
      </vt:variant>
      <vt:variant>
        <vt:i4>942</vt:i4>
      </vt:variant>
      <vt:variant>
        <vt:i4>0</vt:i4>
      </vt:variant>
      <vt:variant>
        <vt:i4>5</vt:i4>
      </vt:variant>
      <vt:variant>
        <vt:lpwstr>http://www.supremecourt.ohio.gov/rod/docs/pdf/0/2009/2009-Ohio-4778.pdf</vt:lpwstr>
      </vt:variant>
      <vt:variant>
        <vt:lpwstr/>
      </vt:variant>
      <vt:variant>
        <vt:i4>6160391</vt:i4>
      </vt:variant>
      <vt:variant>
        <vt:i4>939</vt:i4>
      </vt:variant>
      <vt:variant>
        <vt:i4>0</vt:i4>
      </vt:variant>
      <vt:variant>
        <vt:i4>5</vt:i4>
      </vt:variant>
      <vt:variant>
        <vt:lpwstr>http://www.supremecourt.ohio.gov/rod/docs/pdf/10/2016/2016-Ohio-5534.pdf</vt:lpwstr>
      </vt:variant>
      <vt:variant>
        <vt:lpwstr/>
      </vt:variant>
      <vt:variant>
        <vt:i4>3997758</vt:i4>
      </vt:variant>
      <vt:variant>
        <vt:i4>936</vt:i4>
      </vt:variant>
      <vt:variant>
        <vt:i4>0</vt:i4>
      </vt:variant>
      <vt:variant>
        <vt:i4>5</vt:i4>
      </vt:variant>
      <vt:variant>
        <vt:lpwstr>http://www.supremecourt.ohio.gov/rod/docs/pdf/2/2009/2009-Ohio-5049.pdf</vt:lpwstr>
      </vt:variant>
      <vt:variant>
        <vt:lpwstr/>
      </vt:variant>
      <vt:variant>
        <vt:i4>3473470</vt:i4>
      </vt:variant>
      <vt:variant>
        <vt:i4>933</vt:i4>
      </vt:variant>
      <vt:variant>
        <vt:i4>0</vt:i4>
      </vt:variant>
      <vt:variant>
        <vt:i4>5</vt:i4>
      </vt:variant>
      <vt:variant>
        <vt:lpwstr>http://www.supremecourt.ohio.gov/rod/docs/pdf/4/2014/2014-Ohio-4714.pdf</vt:lpwstr>
      </vt:variant>
      <vt:variant>
        <vt:lpwstr/>
      </vt:variant>
      <vt:variant>
        <vt:i4>6881342</vt:i4>
      </vt:variant>
      <vt:variant>
        <vt:i4>930</vt:i4>
      </vt:variant>
      <vt:variant>
        <vt:i4>0</vt:i4>
      </vt:variant>
      <vt:variant>
        <vt:i4>5</vt:i4>
      </vt:variant>
      <vt:variant>
        <vt:lpwstr>http://www.supremecourt.ohio.gov/rod/docs/pdf/0/2000/2000-Ohio-383.pdf</vt:lpwstr>
      </vt:variant>
      <vt:variant>
        <vt:lpwstr/>
      </vt:variant>
      <vt:variant>
        <vt:i4>3342394</vt:i4>
      </vt:variant>
      <vt:variant>
        <vt:i4>927</vt:i4>
      </vt:variant>
      <vt:variant>
        <vt:i4>0</vt:i4>
      </vt:variant>
      <vt:variant>
        <vt:i4>5</vt:i4>
      </vt:variant>
      <vt:variant>
        <vt:lpwstr>http://www.supremecourt.ohio.gov/rod/docs/pdf/0/2006/2006-Ohio-5858.pdf</vt:lpwstr>
      </vt:variant>
      <vt:variant>
        <vt:lpwstr/>
      </vt:variant>
      <vt:variant>
        <vt:i4>3932213</vt:i4>
      </vt:variant>
      <vt:variant>
        <vt:i4>924</vt:i4>
      </vt:variant>
      <vt:variant>
        <vt:i4>0</vt:i4>
      </vt:variant>
      <vt:variant>
        <vt:i4>5</vt:i4>
      </vt:variant>
      <vt:variant>
        <vt:lpwstr>http://www.supremecourt.ohio.gov/rod/docs/pdf/11/2009/2009-Ohio-404.pdf</vt:lpwstr>
      </vt:variant>
      <vt:variant>
        <vt:lpwstr/>
      </vt:variant>
      <vt:variant>
        <vt:i4>4128831</vt:i4>
      </vt:variant>
      <vt:variant>
        <vt:i4>921</vt:i4>
      </vt:variant>
      <vt:variant>
        <vt:i4>0</vt:i4>
      </vt:variant>
      <vt:variant>
        <vt:i4>5</vt:i4>
      </vt:variant>
      <vt:variant>
        <vt:lpwstr>http://www.supremecourt.ohio.gov/rod/docs/pdf/8/2009/2009-Ohio-3301.pdf</vt:lpwstr>
      </vt:variant>
      <vt:variant>
        <vt:lpwstr/>
      </vt:variant>
      <vt:variant>
        <vt:i4>3539003</vt:i4>
      </vt:variant>
      <vt:variant>
        <vt:i4>918</vt:i4>
      </vt:variant>
      <vt:variant>
        <vt:i4>0</vt:i4>
      </vt:variant>
      <vt:variant>
        <vt:i4>5</vt:i4>
      </vt:variant>
      <vt:variant>
        <vt:lpwstr>http://www.supremecourt.ohio.gov/rod/docs/pdf/5/2010/2010-Ohio-4261.pdf</vt:lpwstr>
      </vt:variant>
      <vt:variant>
        <vt:lpwstr/>
      </vt:variant>
      <vt:variant>
        <vt:i4>4063284</vt:i4>
      </vt:variant>
      <vt:variant>
        <vt:i4>915</vt:i4>
      </vt:variant>
      <vt:variant>
        <vt:i4>0</vt:i4>
      </vt:variant>
      <vt:variant>
        <vt:i4>5</vt:i4>
      </vt:variant>
      <vt:variant>
        <vt:lpwstr>http://www.supremecourt.ohio.gov/rod/docs/pdf/6/2009/2009-Ohio-3215.pdf</vt:lpwstr>
      </vt:variant>
      <vt:variant>
        <vt:lpwstr/>
      </vt:variant>
      <vt:variant>
        <vt:i4>3997758</vt:i4>
      </vt:variant>
      <vt:variant>
        <vt:i4>912</vt:i4>
      </vt:variant>
      <vt:variant>
        <vt:i4>0</vt:i4>
      </vt:variant>
      <vt:variant>
        <vt:i4>5</vt:i4>
      </vt:variant>
      <vt:variant>
        <vt:lpwstr>http://www.supremecourt.ohio.gov/rod/docs/pdf/6/2011/2011-Ohio-1397.pdf</vt:lpwstr>
      </vt:variant>
      <vt:variant>
        <vt:lpwstr/>
      </vt:variant>
      <vt:variant>
        <vt:i4>3670074</vt:i4>
      </vt:variant>
      <vt:variant>
        <vt:i4>909</vt:i4>
      </vt:variant>
      <vt:variant>
        <vt:i4>0</vt:i4>
      </vt:variant>
      <vt:variant>
        <vt:i4>5</vt:i4>
      </vt:variant>
      <vt:variant>
        <vt:lpwstr>http://www.supremecourt.ohio.gov/rod/docs/pdf/2/2011/2011-Ohio-4195.pdf</vt:lpwstr>
      </vt:variant>
      <vt:variant>
        <vt:lpwstr/>
      </vt:variant>
      <vt:variant>
        <vt:i4>5832713</vt:i4>
      </vt:variant>
      <vt:variant>
        <vt:i4>906</vt:i4>
      </vt:variant>
      <vt:variant>
        <vt:i4>0</vt:i4>
      </vt:variant>
      <vt:variant>
        <vt:i4>5</vt:i4>
      </vt:variant>
      <vt:variant>
        <vt:lpwstr>http://www.supremecourt.ohio.gov/rod/docs/pdf/12/2014/2014-Ohio-2583.pdf</vt:lpwstr>
      </vt:variant>
      <vt:variant>
        <vt:lpwstr/>
      </vt:variant>
      <vt:variant>
        <vt:i4>3539007</vt:i4>
      </vt:variant>
      <vt:variant>
        <vt:i4>903</vt:i4>
      </vt:variant>
      <vt:variant>
        <vt:i4>0</vt:i4>
      </vt:variant>
      <vt:variant>
        <vt:i4>5</vt:i4>
      </vt:variant>
      <vt:variant>
        <vt:lpwstr>http://www.supremecourt.ohio.gov/rod/docs/pdf/4/2015/2015-Ohio-1467.pdf</vt:lpwstr>
      </vt:variant>
      <vt:variant>
        <vt:lpwstr/>
      </vt:variant>
      <vt:variant>
        <vt:i4>5373954</vt:i4>
      </vt:variant>
      <vt:variant>
        <vt:i4>900</vt:i4>
      </vt:variant>
      <vt:variant>
        <vt:i4>0</vt:i4>
      </vt:variant>
      <vt:variant>
        <vt:i4>5</vt:i4>
      </vt:variant>
      <vt:variant>
        <vt:lpwstr>http://www.supremecourt.ohio.gov/rod/docs/pdf/12/2015/2015-Ohio-3935.pdf</vt:lpwstr>
      </vt:variant>
      <vt:variant>
        <vt:lpwstr/>
      </vt:variant>
      <vt:variant>
        <vt:i4>3145787</vt:i4>
      </vt:variant>
      <vt:variant>
        <vt:i4>897</vt:i4>
      </vt:variant>
      <vt:variant>
        <vt:i4>0</vt:i4>
      </vt:variant>
      <vt:variant>
        <vt:i4>5</vt:i4>
      </vt:variant>
      <vt:variant>
        <vt:lpwstr>http://www.supremecourt.ohio.gov/rod/docs/pdf/4/2015/2015-Ohio-1502.pdf</vt:lpwstr>
      </vt:variant>
      <vt:variant>
        <vt:lpwstr/>
      </vt:variant>
      <vt:variant>
        <vt:i4>3211317</vt:i4>
      </vt:variant>
      <vt:variant>
        <vt:i4>894</vt:i4>
      </vt:variant>
      <vt:variant>
        <vt:i4>0</vt:i4>
      </vt:variant>
      <vt:variant>
        <vt:i4>5</vt:i4>
      </vt:variant>
      <vt:variant>
        <vt:lpwstr>http://www.supremecourt.ohio.gov/rod/docs/pdf/8/2015/2015-Ohio-3237.pdf</vt:lpwstr>
      </vt:variant>
      <vt:variant>
        <vt:lpwstr/>
      </vt:variant>
      <vt:variant>
        <vt:i4>4063289</vt:i4>
      </vt:variant>
      <vt:variant>
        <vt:i4>891</vt:i4>
      </vt:variant>
      <vt:variant>
        <vt:i4>0</vt:i4>
      </vt:variant>
      <vt:variant>
        <vt:i4>5</vt:i4>
      </vt:variant>
      <vt:variant>
        <vt:lpwstr>http://www.supremecourt.ohio.gov/rod/docs/pdf/0/2017/2017-Ohio-9241.pdf</vt:lpwstr>
      </vt:variant>
      <vt:variant>
        <vt:lpwstr/>
      </vt:variant>
      <vt:variant>
        <vt:i4>3342394</vt:i4>
      </vt:variant>
      <vt:variant>
        <vt:i4>888</vt:i4>
      </vt:variant>
      <vt:variant>
        <vt:i4>0</vt:i4>
      </vt:variant>
      <vt:variant>
        <vt:i4>5</vt:i4>
      </vt:variant>
      <vt:variant>
        <vt:lpwstr>http://www.supremecourt.ohio.gov/rod/docs/pdf/0/2006/2006-Ohio-5858.pdf</vt:lpwstr>
      </vt:variant>
      <vt:variant>
        <vt:lpwstr/>
      </vt:variant>
      <vt:variant>
        <vt:i4>3801149</vt:i4>
      </vt:variant>
      <vt:variant>
        <vt:i4>885</vt:i4>
      </vt:variant>
      <vt:variant>
        <vt:i4>0</vt:i4>
      </vt:variant>
      <vt:variant>
        <vt:i4>5</vt:i4>
      </vt:variant>
      <vt:variant>
        <vt:lpwstr>http://www.supremecourt.ohio.gov/rod/docs/pdf/8/2018/2018-Ohio-4121.pdf</vt:lpwstr>
      </vt:variant>
      <vt:variant>
        <vt:lpwstr/>
      </vt:variant>
      <vt:variant>
        <vt:i4>3473457</vt:i4>
      </vt:variant>
      <vt:variant>
        <vt:i4>882</vt:i4>
      </vt:variant>
      <vt:variant>
        <vt:i4>0</vt:i4>
      </vt:variant>
      <vt:variant>
        <vt:i4>5</vt:i4>
      </vt:variant>
      <vt:variant>
        <vt:lpwstr>http://www.supremecourt.ohio.gov/rod/docs/pdf/0/2011/2011-Ohio-1914.pdf</vt:lpwstr>
      </vt:variant>
      <vt:variant>
        <vt:lpwstr/>
      </vt:variant>
      <vt:variant>
        <vt:i4>3735609</vt:i4>
      </vt:variant>
      <vt:variant>
        <vt:i4>879</vt:i4>
      </vt:variant>
      <vt:variant>
        <vt:i4>0</vt:i4>
      </vt:variant>
      <vt:variant>
        <vt:i4>5</vt:i4>
      </vt:variant>
      <vt:variant>
        <vt:lpwstr>http://www.supremecourt.ohio.gov/rod/docs/pdf/6/2016/2016-Ohio-3084.pdf</vt:lpwstr>
      </vt:variant>
      <vt:variant>
        <vt:lpwstr/>
      </vt:variant>
      <vt:variant>
        <vt:i4>3342394</vt:i4>
      </vt:variant>
      <vt:variant>
        <vt:i4>876</vt:i4>
      </vt:variant>
      <vt:variant>
        <vt:i4>0</vt:i4>
      </vt:variant>
      <vt:variant>
        <vt:i4>5</vt:i4>
      </vt:variant>
      <vt:variant>
        <vt:lpwstr>http://www.supremecourt.ohio.gov/rod/docs/pdf/0/2006/2006-Ohio-5858.pdf</vt:lpwstr>
      </vt:variant>
      <vt:variant>
        <vt:lpwstr/>
      </vt:variant>
      <vt:variant>
        <vt:i4>3735609</vt:i4>
      </vt:variant>
      <vt:variant>
        <vt:i4>873</vt:i4>
      </vt:variant>
      <vt:variant>
        <vt:i4>0</vt:i4>
      </vt:variant>
      <vt:variant>
        <vt:i4>5</vt:i4>
      </vt:variant>
      <vt:variant>
        <vt:lpwstr>http://www.supremecourt.ohio.gov/rod/docs/pdf/6/2016/2016-Ohio-3084.pdf</vt:lpwstr>
      </vt:variant>
      <vt:variant>
        <vt:lpwstr/>
      </vt:variant>
      <vt:variant>
        <vt:i4>3801148</vt:i4>
      </vt:variant>
      <vt:variant>
        <vt:i4>870</vt:i4>
      </vt:variant>
      <vt:variant>
        <vt:i4>0</vt:i4>
      </vt:variant>
      <vt:variant>
        <vt:i4>5</vt:i4>
      </vt:variant>
      <vt:variant>
        <vt:lpwstr>http://www.supremecourt.ohio.gov/rod/docs/pdf/5/2014/2014-Ohio-2989.pdf</vt:lpwstr>
      </vt:variant>
      <vt:variant>
        <vt:lpwstr/>
      </vt:variant>
      <vt:variant>
        <vt:i4>5963777</vt:i4>
      </vt:variant>
      <vt:variant>
        <vt:i4>867</vt:i4>
      </vt:variant>
      <vt:variant>
        <vt:i4>0</vt:i4>
      </vt:variant>
      <vt:variant>
        <vt:i4>5</vt:i4>
      </vt:variant>
      <vt:variant>
        <vt:lpwstr>http://www.supremecourt.ohio.gov/rod/docs/pdf/11/2010/2010-Ohio-3053.pdf</vt:lpwstr>
      </vt:variant>
      <vt:variant>
        <vt:lpwstr/>
      </vt:variant>
      <vt:variant>
        <vt:i4>5963777</vt:i4>
      </vt:variant>
      <vt:variant>
        <vt:i4>864</vt:i4>
      </vt:variant>
      <vt:variant>
        <vt:i4>0</vt:i4>
      </vt:variant>
      <vt:variant>
        <vt:i4>5</vt:i4>
      </vt:variant>
      <vt:variant>
        <vt:lpwstr>http://www.supremecourt.ohio.gov/rod/docs/pdf/10/2010/2010-Ohio-5436.pdf</vt:lpwstr>
      </vt:variant>
      <vt:variant>
        <vt:lpwstr/>
      </vt:variant>
      <vt:variant>
        <vt:i4>6422591</vt:i4>
      </vt:variant>
      <vt:variant>
        <vt:i4>861</vt:i4>
      </vt:variant>
      <vt:variant>
        <vt:i4>0</vt:i4>
      </vt:variant>
      <vt:variant>
        <vt:i4>5</vt:i4>
      </vt:variant>
      <vt:variant>
        <vt:lpwstr>http://www.supremecourt.ohio.gov/rod/docs/pdf/0/1999/1999-Ohio-435.pdf</vt:lpwstr>
      </vt:variant>
      <vt:variant>
        <vt:lpwstr/>
      </vt:variant>
      <vt:variant>
        <vt:i4>5963777</vt:i4>
      </vt:variant>
      <vt:variant>
        <vt:i4>858</vt:i4>
      </vt:variant>
      <vt:variant>
        <vt:i4>0</vt:i4>
      </vt:variant>
      <vt:variant>
        <vt:i4>5</vt:i4>
      </vt:variant>
      <vt:variant>
        <vt:lpwstr>http://www.supremecourt.ohio.gov/rod/docs/pdf/0/1994/1994-Ohio-5.pdf</vt:lpwstr>
      </vt:variant>
      <vt:variant>
        <vt:lpwstr/>
      </vt:variant>
      <vt:variant>
        <vt:i4>3670067</vt:i4>
      </vt:variant>
      <vt:variant>
        <vt:i4>855</vt:i4>
      </vt:variant>
      <vt:variant>
        <vt:i4>0</vt:i4>
      </vt:variant>
      <vt:variant>
        <vt:i4>5</vt:i4>
      </vt:variant>
      <vt:variant>
        <vt:lpwstr>http://www.supremecourt.ohio.gov/rod/docs/pdf/0/2011/2011-Ohio-4897.pdf</vt:lpwstr>
      </vt:variant>
      <vt:variant>
        <vt:lpwstr/>
      </vt:variant>
      <vt:variant>
        <vt:i4>3407935</vt:i4>
      </vt:variant>
      <vt:variant>
        <vt:i4>852</vt:i4>
      </vt:variant>
      <vt:variant>
        <vt:i4>0</vt:i4>
      </vt:variant>
      <vt:variant>
        <vt:i4>5</vt:i4>
      </vt:variant>
      <vt:variant>
        <vt:lpwstr>http://www.supremecourt.ohio.gov/rod/docs/pdf/0/2002/2002-Ohio-7041.pdf</vt:lpwstr>
      </vt:variant>
      <vt:variant>
        <vt:lpwstr/>
      </vt:variant>
      <vt:variant>
        <vt:i4>3211323</vt:i4>
      </vt:variant>
      <vt:variant>
        <vt:i4>849</vt:i4>
      </vt:variant>
      <vt:variant>
        <vt:i4>0</vt:i4>
      </vt:variant>
      <vt:variant>
        <vt:i4>5</vt:i4>
      </vt:variant>
      <vt:variant>
        <vt:lpwstr>http://www.supremecourt.ohio.gov/rod/docs/pdf/0/2008/2008-Ohio-4788.pdf</vt:lpwstr>
      </vt:variant>
      <vt:variant>
        <vt:lpwstr/>
      </vt:variant>
      <vt:variant>
        <vt:i4>5963777</vt:i4>
      </vt:variant>
      <vt:variant>
        <vt:i4>846</vt:i4>
      </vt:variant>
      <vt:variant>
        <vt:i4>0</vt:i4>
      </vt:variant>
      <vt:variant>
        <vt:i4>5</vt:i4>
      </vt:variant>
      <vt:variant>
        <vt:lpwstr>http://www.supremecourt.ohio.gov/rod/docs/pdf/0/1994/1994-Ohio-5.pdf</vt:lpwstr>
      </vt:variant>
      <vt:variant>
        <vt:lpwstr/>
      </vt:variant>
      <vt:variant>
        <vt:i4>6881331</vt:i4>
      </vt:variant>
      <vt:variant>
        <vt:i4>843</vt:i4>
      </vt:variant>
      <vt:variant>
        <vt:i4>0</vt:i4>
      </vt:variant>
      <vt:variant>
        <vt:i4>5</vt:i4>
      </vt:variant>
      <vt:variant>
        <vt:lpwstr>http://www.supremecourt.ohio.gov/rod/docs/pdf/0/2011/2011-Ohio-959.pdf</vt:lpwstr>
      </vt:variant>
      <vt:variant>
        <vt:lpwstr/>
      </vt:variant>
      <vt:variant>
        <vt:i4>3211317</vt:i4>
      </vt:variant>
      <vt:variant>
        <vt:i4>840</vt:i4>
      </vt:variant>
      <vt:variant>
        <vt:i4>0</vt:i4>
      </vt:variant>
      <vt:variant>
        <vt:i4>5</vt:i4>
      </vt:variant>
      <vt:variant>
        <vt:lpwstr>http://www.supremecourt.ohio.gov/rod/docs/pdf/0/2009/2009-Ohio-4090.pdf</vt:lpwstr>
      </vt:variant>
      <vt:variant>
        <vt:lpwstr/>
      </vt:variant>
      <vt:variant>
        <vt:i4>7274547</vt:i4>
      </vt:variant>
      <vt:variant>
        <vt:i4>837</vt:i4>
      </vt:variant>
      <vt:variant>
        <vt:i4>0</vt:i4>
      </vt:variant>
      <vt:variant>
        <vt:i4>5</vt:i4>
      </vt:variant>
      <vt:variant>
        <vt:lpwstr>http://www.supremecourt.ohio.gov/rod/docs/pdf/0/1996/1996-Ohio-300.pdf</vt:lpwstr>
      </vt:variant>
      <vt:variant>
        <vt:lpwstr/>
      </vt:variant>
      <vt:variant>
        <vt:i4>6291512</vt:i4>
      </vt:variant>
      <vt:variant>
        <vt:i4>834</vt:i4>
      </vt:variant>
      <vt:variant>
        <vt:i4>0</vt:i4>
      </vt:variant>
      <vt:variant>
        <vt:i4>5</vt:i4>
      </vt:variant>
      <vt:variant>
        <vt:lpwstr>http://www.supremecourt.ohio.gov/rod/docs/pdf/0/1999/1999-Ohio-447.pdf</vt:lpwstr>
      </vt:variant>
      <vt:variant>
        <vt:lpwstr/>
      </vt:variant>
      <vt:variant>
        <vt:i4>6291508</vt:i4>
      </vt:variant>
      <vt:variant>
        <vt:i4>831</vt:i4>
      </vt:variant>
      <vt:variant>
        <vt:i4>0</vt:i4>
      </vt:variant>
      <vt:variant>
        <vt:i4>5</vt:i4>
      </vt:variant>
      <vt:variant>
        <vt:lpwstr>http://www.supremecourt.ohio.gov/rod/docs/pdf/0/1998/1998-Ohio-597.pdf</vt:lpwstr>
      </vt:variant>
      <vt:variant>
        <vt:lpwstr/>
      </vt:variant>
      <vt:variant>
        <vt:i4>6422585</vt:i4>
      </vt:variant>
      <vt:variant>
        <vt:i4>828</vt:i4>
      </vt:variant>
      <vt:variant>
        <vt:i4>0</vt:i4>
      </vt:variant>
      <vt:variant>
        <vt:i4>5</vt:i4>
      </vt:variant>
      <vt:variant>
        <vt:lpwstr>http://www.supremecourt.ohio.gov/rod/docs/pdf/0/1998/1998-Ohio-242.pdf</vt:lpwstr>
      </vt:variant>
      <vt:variant>
        <vt:lpwstr/>
      </vt:variant>
      <vt:variant>
        <vt:i4>6422587</vt:i4>
      </vt:variant>
      <vt:variant>
        <vt:i4>825</vt:i4>
      </vt:variant>
      <vt:variant>
        <vt:i4>0</vt:i4>
      </vt:variant>
      <vt:variant>
        <vt:i4>5</vt:i4>
      </vt:variant>
      <vt:variant>
        <vt:lpwstr>http://www.supremecourt.ohio.gov/rod/docs/pdf/0/1999/1999-Ohio-475.pdf</vt:lpwstr>
      </vt:variant>
      <vt:variant>
        <vt:lpwstr/>
      </vt:variant>
      <vt:variant>
        <vt:i4>6291512</vt:i4>
      </vt:variant>
      <vt:variant>
        <vt:i4>822</vt:i4>
      </vt:variant>
      <vt:variant>
        <vt:i4>0</vt:i4>
      </vt:variant>
      <vt:variant>
        <vt:i4>5</vt:i4>
      </vt:variant>
      <vt:variant>
        <vt:lpwstr>http://www.supremecourt.ohio.gov/rod/docs/pdf/0/1999/1999-Ohio-447.pdf</vt:lpwstr>
      </vt:variant>
      <vt:variant>
        <vt:lpwstr/>
      </vt:variant>
      <vt:variant>
        <vt:i4>6160385</vt:i4>
      </vt:variant>
      <vt:variant>
        <vt:i4>819</vt:i4>
      </vt:variant>
      <vt:variant>
        <vt:i4>0</vt:i4>
      </vt:variant>
      <vt:variant>
        <vt:i4>5</vt:i4>
      </vt:variant>
      <vt:variant>
        <vt:lpwstr>http://www.supremecourt.ohio.gov/rod/docs/pdf/13/2017/2017-Ohio-4251.pdf</vt:lpwstr>
      </vt:variant>
      <vt:variant>
        <vt:lpwstr/>
      </vt:variant>
      <vt:variant>
        <vt:i4>6291508</vt:i4>
      </vt:variant>
      <vt:variant>
        <vt:i4>816</vt:i4>
      </vt:variant>
      <vt:variant>
        <vt:i4>0</vt:i4>
      </vt:variant>
      <vt:variant>
        <vt:i4>5</vt:i4>
      </vt:variant>
      <vt:variant>
        <vt:lpwstr>http://www.supremecourt.ohio.gov/rod/docs/pdf/0/1998/1998-Ohio-597.pdf</vt:lpwstr>
      </vt:variant>
      <vt:variant>
        <vt:lpwstr/>
      </vt:variant>
      <vt:variant>
        <vt:i4>6488117</vt:i4>
      </vt:variant>
      <vt:variant>
        <vt:i4>813</vt:i4>
      </vt:variant>
      <vt:variant>
        <vt:i4>0</vt:i4>
      </vt:variant>
      <vt:variant>
        <vt:i4>5</vt:i4>
      </vt:variant>
      <vt:variant>
        <vt:lpwstr>http://www.supremecourt.ohio.gov/rod/docs/pdf/0/1998/1998-Ohio-180.pdf</vt:lpwstr>
      </vt:variant>
      <vt:variant>
        <vt:lpwstr/>
      </vt:variant>
      <vt:variant>
        <vt:i4>3735611</vt:i4>
      </vt:variant>
      <vt:variant>
        <vt:i4>810</vt:i4>
      </vt:variant>
      <vt:variant>
        <vt:i4>0</vt:i4>
      </vt:variant>
      <vt:variant>
        <vt:i4>5</vt:i4>
      </vt:variant>
      <vt:variant>
        <vt:lpwstr>http://www.supremecourt.ohio.gov/rod/docs/pdf/0/2004/2004-Ohio-1497.pdf</vt:lpwstr>
      </vt:variant>
      <vt:variant>
        <vt:lpwstr/>
      </vt:variant>
      <vt:variant>
        <vt:i4>6488117</vt:i4>
      </vt:variant>
      <vt:variant>
        <vt:i4>807</vt:i4>
      </vt:variant>
      <vt:variant>
        <vt:i4>0</vt:i4>
      </vt:variant>
      <vt:variant>
        <vt:i4>5</vt:i4>
      </vt:variant>
      <vt:variant>
        <vt:lpwstr>http://www.supremecourt.ohio.gov/rod/docs/pdf/0/1998/1998-Ohio-180.pdf</vt:lpwstr>
      </vt:variant>
      <vt:variant>
        <vt:lpwstr/>
      </vt:variant>
      <vt:variant>
        <vt:i4>6291508</vt:i4>
      </vt:variant>
      <vt:variant>
        <vt:i4>804</vt:i4>
      </vt:variant>
      <vt:variant>
        <vt:i4>0</vt:i4>
      </vt:variant>
      <vt:variant>
        <vt:i4>5</vt:i4>
      </vt:variant>
      <vt:variant>
        <vt:lpwstr>http://www.supremecourt.ohio.gov/rod/docs/pdf/0/1998/1998-Ohio-597.pdf</vt:lpwstr>
      </vt:variant>
      <vt:variant>
        <vt:lpwstr/>
      </vt:variant>
      <vt:variant>
        <vt:i4>6291518</vt:i4>
      </vt:variant>
      <vt:variant>
        <vt:i4>801</vt:i4>
      </vt:variant>
      <vt:variant>
        <vt:i4>0</vt:i4>
      </vt:variant>
      <vt:variant>
        <vt:i4>5</vt:i4>
      </vt:variant>
      <vt:variant>
        <vt:lpwstr>http://www.supremecourt.ohio.gov/rod/docs/pdf/0/1993/1993-Ohio-188.pdf</vt:lpwstr>
      </vt:variant>
      <vt:variant>
        <vt:lpwstr/>
      </vt:variant>
      <vt:variant>
        <vt:i4>3932222</vt:i4>
      </vt:variant>
      <vt:variant>
        <vt:i4>798</vt:i4>
      </vt:variant>
      <vt:variant>
        <vt:i4>0</vt:i4>
      </vt:variant>
      <vt:variant>
        <vt:i4>5</vt:i4>
      </vt:variant>
      <vt:variant>
        <vt:lpwstr>http://www.supremecourt.ohio.gov/rod/docs/pdf/0/2005/2005-Ohio-4384.pdf</vt:lpwstr>
      </vt:variant>
      <vt:variant>
        <vt:lpwstr/>
      </vt:variant>
      <vt:variant>
        <vt:i4>5767168</vt:i4>
      </vt:variant>
      <vt:variant>
        <vt:i4>795</vt:i4>
      </vt:variant>
      <vt:variant>
        <vt:i4>0</vt:i4>
      </vt:variant>
      <vt:variant>
        <vt:i4>5</vt:i4>
      </vt:variant>
      <vt:variant>
        <vt:lpwstr>http://www.supremecourt.ohio.gov/rod/docs/pdf/11/2005/2005-Ohio-5763.pdf</vt:lpwstr>
      </vt:variant>
      <vt:variant>
        <vt:lpwstr/>
      </vt:variant>
      <vt:variant>
        <vt:i4>4128820</vt:i4>
      </vt:variant>
      <vt:variant>
        <vt:i4>792</vt:i4>
      </vt:variant>
      <vt:variant>
        <vt:i4>0</vt:i4>
      </vt:variant>
      <vt:variant>
        <vt:i4>5</vt:i4>
      </vt:variant>
      <vt:variant>
        <vt:lpwstr>http://www.supremecourt.ohio.gov/rod/docs/pdf/0/2004/2004-Ohio-6589.pdf</vt:lpwstr>
      </vt:variant>
      <vt:variant>
        <vt:lpwstr/>
      </vt:variant>
      <vt:variant>
        <vt:i4>7209008</vt:i4>
      </vt:variant>
      <vt:variant>
        <vt:i4>789</vt:i4>
      </vt:variant>
      <vt:variant>
        <vt:i4>0</vt:i4>
      </vt:variant>
      <vt:variant>
        <vt:i4>5</vt:i4>
      </vt:variant>
      <vt:variant>
        <vt:lpwstr>http://www.supremecourt.ohio.gov/rod/docs/pdf/0/2012/2012-Ohio-753.pdf</vt:lpwstr>
      </vt:variant>
      <vt:variant>
        <vt:lpwstr/>
      </vt:variant>
      <vt:variant>
        <vt:i4>4128820</vt:i4>
      </vt:variant>
      <vt:variant>
        <vt:i4>786</vt:i4>
      </vt:variant>
      <vt:variant>
        <vt:i4>0</vt:i4>
      </vt:variant>
      <vt:variant>
        <vt:i4>5</vt:i4>
      </vt:variant>
      <vt:variant>
        <vt:lpwstr>http://www.supremecourt.ohio.gov/rod/docs/pdf/0/2004/2004-Ohio-6589.pdf</vt:lpwstr>
      </vt:variant>
      <vt:variant>
        <vt:lpwstr/>
      </vt:variant>
      <vt:variant>
        <vt:i4>6291506</vt:i4>
      </vt:variant>
      <vt:variant>
        <vt:i4>783</vt:i4>
      </vt:variant>
      <vt:variant>
        <vt:i4>0</vt:i4>
      </vt:variant>
      <vt:variant>
        <vt:i4>5</vt:i4>
      </vt:variant>
      <vt:variant>
        <vt:lpwstr>http://www.supremecourt.ohio.gov/rod/docs/pdf/8/2015/2015-Ohio-885.pdf</vt:lpwstr>
      </vt:variant>
      <vt:variant>
        <vt:lpwstr/>
      </vt:variant>
      <vt:variant>
        <vt:i4>3407923</vt:i4>
      </vt:variant>
      <vt:variant>
        <vt:i4>780</vt:i4>
      </vt:variant>
      <vt:variant>
        <vt:i4>0</vt:i4>
      </vt:variant>
      <vt:variant>
        <vt:i4>5</vt:i4>
      </vt:variant>
      <vt:variant>
        <vt:lpwstr>http://www.supremecourt.ohio.gov/rod/docs/pdf/7/2015/2015-Ohio-3965.pdf</vt:lpwstr>
      </vt:variant>
      <vt:variant>
        <vt:lpwstr/>
      </vt:variant>
      <vt:variant>
        <vt:i4>3407922</vt:i4>
      </vt:variant>
      <vt:variant>
        <vt:i4>777</vt:i4>
      </vt:variant>
      <vt:variant>
        <vt:i4>0</vt:i4>
      </vt:variant>
      <vt:variant>
        <vt:i4>5</vt:i4>
      </vt:variant>
      <vt:variant>
        <vt:lpwstr>http://www.supremecourt.ohio.gov/rod/docs/pdf/7/2015/2015-Ohio-3964.pdf</vt:lpwstr>
      </vt:variant>
      <vt:variant>
        <vt:lpwstr/>
      </vt:variant>
      <vt:variant>
        <vt:i4>3145791</vt:i4>
      </vt:variant>
      <vt:variant>
        <vt:i4>774</vt:i4>
      </vt:variant>
      <vt:variant>
        <vt:i4>0</vt:i4>
      </vt:variant>
      <vt:variant>
        <vt:i4>5</vt:i4>
      </vt:variant>
      <vt:variant>
        <vt:lpwstr>http://www.supremecourt.ohio.gov/rod/docs/pdf/0/2004/2004-Ohio-4354.pdf</vt:lpwstr>
      </vt:variant>
      <vt:variant>
        <vt:lpwstr/>
      </vt:variant>
      <vt:variant>
        <vt:i4>3145791</vt:i4>
      </vt:variant>
      <vt:variant>
        <vt:i4>771</vt:i4>
      </vt:variant>
      <vt:variant>
        <vt:i4>0</vt:i4>
      </vt:variant>
      <vt:variant>
        <vt:i4>5</vt:i4>
      </vt:variant>
      <vt:variant>
        <vt:lpwstr>http://www.supremecourt.ohio.gov/rod/docs/pdf/0/2004/2004-Ohio-4354.pdf</vt:lpwstr>
      </vt:variant>
      <vt:variant>
        <vt:lpwstr/>
      </vt:variant>
      <vt:variant>
        <vt:i4>3539006</vt:i4>
      </vt:variant>
      <vt:variant>
        <vt:i4>768</vt:i4>
      </vt:variant>
      <vt:variant>
        <vt:i4>0</vt:i4>
      </vt:variant>
      <vt:variant>
        <vt:i4>5</vt:i4>
      </vt:variant>
      <vt:variant>
        <vt:lpwstr>http://www.supremecourt.ohio.gov/rod/docs/pdf/0/2013/2013-Ohio-1505.pdf</vt:lpwstr>
      </vt:variant>
      <vt:variant>
        <vt:lpwstr/>
      </vt:variant>
      <vt:variant>
        <vt:i4>7143474</vt:i4>
      </vt:variant>
      <vt:variant>
        <vt:i4>765</vt:i4>
      </vt:variant>
      <vt:variant>
        <vt:i4>0</vt:i4>
      </vt:variant>
      <vt:variant>
        <vt:i4>5</vt:i4>
      </vt:variant>
      <vt:variant>
        <vt:lpwstr>http://www.supremecourt.ohio.gov/rod/docs/pdf/0/2013/2013-Ohio-761.pdf</vt:lpwstr>
      </vt:variant>
      <vt:variant>
        <vt:lpwstr/>
      </vt:variant>
      <vt:variant>
        <vt:i4>5832716</vt:i4>
      </vt:variant>
      <vt:variant>
        <vt:i4>762</vt:i4>
      </vt:variant>
      <vt:variant>
        <vt:i4>0</vt:i4>
      </vt:variant>
      <vt:variant>
        <vt:i4>5</vt:i4>
      </vt:variant>
      <vt:variant>
        <vt:lpwstr>http://www.supremecourt.ohio.gov/rod/docs/pdf/11/2003/2003-Ohio-1586.pdf</vt:lpwstr>
      </vt:variant>
      <vt:variant>
        <vt:lpwstr/>
      </vt:variant>
      <vt:variant>
        <vt:i4>5963777</vt:i4>
      </vt:variant>
      <vt:variant>
        <vt:i4>759</vt:i4>
      </vt:variant>
      <vt:variant>
        <vt:i4>0</vt:i4>
      </vt:variant>
      <vt:variant>
        <vt:i4>5</vt:i4>
      </vt:variant>
      <vt:variant>
        <vt:lpwstr>http://www.supremecourt.ohio.gov/rod/docs/pdf/0/1994/1994-Ohio-5.pdf</vt:lpwstr>
      </vt:variant>
      <vt:variant>
        <vt:lpwstr/>
      </vt:variant>
      <vt:variant>
        <vt:i4>4128820</vt:i4>
      </vt:variant>
      <vt:variant>
        <vt:i4>756</vt:i4>
      </vt:variant>
      <vt:variant>
        <vt:i4>0</vt:i4>
      </vt:variant>
      <vt:variant>
        <vt:i4>5</vt:i4>
      </vt:variant>
      <vt:variant>
        <vt:lpwstr>http://www.supremecourt.ohio.gov/rod/docs/pdf/0/2004/2004-Ohio-6589.pdf</vt:lpwstr>
      </vt:variant>
      <vt:variant>
        <vt:lpwstr/>
      </vt:variant>
      <vt:variant>
        <vt:i4>5963777</vt:i4>
      </vt:variant>
      <vt:variant>
        <vt:i4>753</vt:i4>
      </vt:variant>
      <vt:variant>
        <vt:i4>0</vt:i4>
      </vt:variant>
      <vt:variant>
        <vt:i4>5</vt:i4>
      </vt:variant>
      <vt:variant>
        <vt:lpwstr>http://www.supremecourt.ohio.gov/rod/docs/pdf/0/1994/1994-Ohio-5.pdf</vt:lpwstr>
      </vt:variant>
      <vt:variant>
        <vt:lpwstr/>
      </vt:variant>
      <vt:variant>
        <vt:i4>6881331</vt:i4>
      </vt:variant>
      <vt:variant>
        <vt:i4>750</vt:i4>
      </vt:variant>
      <vt:variant>
        <vt:i4>0</vt:i4>
      </vt:variant>
      <vt:variant>
        <vt:i4>5</vt:i4>
      </vt:variant>
      <vt:variant>
        <vt:lpwstr>http://www.supremecourt.ohio.gov/rod/docs/pdf/0/2011/2011-Ohio-959.pdf</vt:lpwstr>
      </vt:variant>
      <vt:variant>
        <vt:lpwstr/>
      </vt:variant>
      <vt:variant>
        <vt:i4>3604537</vt:i4>
      </vt:variant>
      <vt:variant>
        <vt:i4>747</vt:i4>
      </vt:variant>
      <vt:variant>
        <vt:i4>0</vt:i4>
      </vt:variant>
      <vt:variant>
        <vt:i4>5</vt:i4>
      </vt:variant>
      <vt:variant>
        <vt:lpwstr>http://www.supremecourt.ohio.gov/rod/docs/pdf/0/2012/2012-Ohio-1006.pdf</vt:lpwstr>
      </vt:variant>
      <vt:variant>
        <vt:lpwstr/>
      </vt:variant>
      <vt:variant>
        <vt:i4>6881342</vt:i4>
      </vt:variant>
      <vt:variant>
        <vt:i4>744</vt:i4>
      </vt:variant>
      <vt:variant>
        <vt:i4>0</vt:i4>
      </vt:variant>
      <vt:variant>
        <vt:i4>5</vt:i4>
      </vt:variant>
      <vt:variant>
        <vt:lpwstr>http://www.supremecourt.ohio.gov/rod/docs/pdf/0/2000/2000-Ohio-383.pdf</vt:lpwstr>
      </vt:variant>
      <vt:variant>
        <vt:lpwstr/>
      </vt:variant>
      <vt:variant>
        <vt:i4>5439499</vt:i4>
      </vt:variant>
      <vt:variant>
        <vt:i4>741</vt:i4>
      </vt:variant>
      <vt:variant>
        <vt:i4>0</vt:i4>
      </vt:variant>
      <vt:variant>
        <vt:i4>5</vt:i4>
      </vt:variant>
      <vt:variant>
        <vt:lpwstr>http://www.supremecourt.ohio.gov/rod/docs/pdf/13/2018/2018-Ohio-3475.pdf</vt:lpwstr>
      </vt:variant>
      <vt:variant>
        <vt:lpwstr/>
      </vt:variant>
      <vt:variant>
        <vt:i4>4063285</vt:i4>
      </vt:variant>
      <vt:variant>
        <vt:i4>738</vt:i4>
      </vt:variant>
      <vt:variant>
        <vt:i4>0</vt:i4>
      </vt:variant>
      <vt:variant>
        <vt:i4>5</vt:i4>
      </vt:variant>
      <vt:variant>
        <vt:lpwstr>http://www.supremecourt.ohio.gov/rod/docs/pdf/0/2008/2008-Ohio-6253.pdf</vt:lpwstr>
      </vt:variant>
      <vt:variant>
        <vt:lpwstr/>
      </vt:variant>
      <vt:variant>
        <vt:i4>5963777</vt:i4>
      </vt:variant>
      <vt:variant>
        <vt:i4>735</vt:i4>
      </vt:variant>
      <vt:variant>
        <vt:i4>0</vt:i4>
      </vt:variant>
      <vt:variant>
        <vt:i4>5</vt:i4>
      </vt:variant>
      <vt:variant>
        <vt:lpwstr>http://www.supremecourt.ohio.gov/rod/docs/pdf/0/1994/1994-Ohio-5.pdf</vt:lpwstr>
      </vt:variant>
      <vt:variant>
        <vt:lpwstr/>
      </vt:variant>
      <vt:variant>
        <vt:i4>5963777</vt:i4>
      </vt:variant>
      <vt:variant>
        <vt:i4>732</vt:i4>
      </vt:variant>
      <vt:variant>
        <vt:i4>0</vt:i4>
      </vt:variant>
      <vt:variant>
        <vt:i4>5</vt:i4>
      </vt:variant>
      <vt:variant>
        <vt:lpwstr>http://www.supremecourt.ohio.gov/rod/docs/pdf/0/1994/1994-Ohio-5.pdf</vt:lpwstr>
      </vt:variant>
      <vt:variant>
        <vt:lpwstr/>
      </vt:variant>
      <vt:variant>
        <vt:i4>6422585</vt:i4>
      </vt:variant>
      <vt:variant>
        <vt:i4>729</vt:i4>
      </vt:variant>
      <vt:variant>
        <vt:i4>0</vt:i4>
      </vt:variant>
      <vt:variant>
        <vt:i4>5</vt:i4>
      </vt:variant>
      <vt:variant>
        <vt:lpwstr>http://www.supremecourt.ohio.gov/rod/docs/pdf/0/1998/1998-Ohio-444.pdf</vt:lpwstr>
      </vt:variant>
      <vt:variant>
        <vt:lpwstr/>
      </vt:variant>
      <vt:variant>
        <vt:i4>7012406</vt:i4>
      </vt:variant>
      <vt:variant>
        <vt:i4>726</vt:i4>
      </vt:variant>
      <vt:variant>
        <vt:i4>0</vt:i4>
      </vt:variant>
      <vt:variant>
        <vt:i4>5</vt:i4>
      </vt:variant>
      <vt:variant>
        <vt:lpwstr>http://www.supremecourt.ohio.gov/rod/docs/pdf/0/2006/2006-Ohio-662.pdf</vt:lpwstr>
      </vt:variant>
      <vt:variant>
        <vt:lpwstr/>
      </vt:variant>
      <vt:variant>
        <vt:i4>3997757</vt:i4>
      </vt:variant>
      <vt:variant>
        <vt:i4>723</vt:i4>
      </vt:variant>
      <vt:variant>
        <vt:i4>0</vt:i4>
      </vt:variant>
      <vt:variant>
        <vt:i4>5</vt:i4>
      </vt:variant>
      <vt:variant>
        <vt:lpwstr>http://www.supremecourt.ohio.gov/rod/docs/pdf/0/2009/2009-Ohio-1901.pdf</vt:lpwstr>
      </vt:variant>
      <vt:variant>
        <vt:lpwstr/>
      </vt:variant>
      <vt:variant>
        <vt:i4>5963777</vt:i4>
      </vt:variant>
      <vt:variant>
        <vt:i4>720</vt:i4>
      </vt:variant>
      <vt:variant>
        <vt:i4>0</vt:i4>
      </vt:variant>
      <vt:variant>
        <vt:i4>5</vt:i4>
      </vt:variant>
      <vt:variant>
        <vt:lpwstr>http://www.supremecourt.ohio.gov/rod/docs/pdf/0/1994/1994-Ohio-5.pdf</vt:lpwstr>
      </vt:variant>
      <vt:variant>
        <vt:lpwstr/>
      </vt:variant>
      <vt:variant>
        <vt:i4>7012406</vt:i4>
      </vt:variant>
      <vt:variant>
        <vt:i4>717</vt:i4>
      </vt:variant>
      <vt:variant>
        <vt:i4>0</vt:i4>
      </vt:variant>
      <vt:variant>
        <vt:i4>5</vt:i4>
      </vt:variant>
      <vt:variant>
        <vt:lpwstr>http://www.supremecourt.ohio.gov/rod/docs/pdf/0/2006/2006-Ohio-662.pdf</vt:lpwstr>
      </vt:variant>
      <vt:variant>
        <vt:lpwstr/>
      </vt:variant>
      <vt:variant>
        <vt:i4>3997757</vt:i4>
      </vt:variant>
      <vt:variant>
        <vt:i4>714</vt:i4>
      </vt:variant>
      <vt:variant>
        <vt:i4>0</vt:i4>
      </vt:variant>
      <vt:variant>
        <vt:i4>5</vt:i4>
      </vt:variant>
      <vt:variant>
        <vt:lpwstr>http://www.supremecourt.ohio.gov/rod/docs/pdf/0/2009/2009-Ohio-1901.pdf</vt:lpwstr>
      </vt:variant>
      <vt:variant>
        <vt:lpwstr/>
      </vt:variant>
      <vt:variant>
        <vt:i4>7274559</vt:i4>
      </vt:variant>
      <vt:variant>
        <vt:i4>711</vt:i4>
      </vt:variant>
      <vt:variant>
        <vt:i4>0</vt:i4>
      </vt:variant>
      <vt:variant>
        <vt:i4>5</vt:i4>
      </vt:variant>
      <vt:variant>
        <vt:lpwstr>http://www.supremecourt.ohio.gov/rod/docs/pdf/8/2011/2011-Ohio-117.pdf</vt:lpwstr>
      </vt:variant>
      <vt:variant>
        <vt:lpwstr/>
      </vt:variant>
      <vt:variant>
        <vt:i4>5963777</vt:i4>
      </vt:variant>
      <vt:variant>
        <vt:i4>708</vt:i4>
      </vt:variant>
      <vt:variant>
        <vt:i4>0</vt:i4>
      </vt:variant>
      <vt:variant>
        <vt:i4>5</vt:i4>
      </vt:variant>
      <vt:variant>
        <vt:lpwstr>http://www.supremecourt.ohio.gov/rod/docs/pdf/0/1994/1994-Ohio-5.pdf</vt:lpwstr>
      </vt:variant>
      <vt:variant>
        <vt:lpwstr/>
      </vt:variant>
      <vt:variant>
        <vt:i4>6422585</vt:i4>
      </vt:variant>
      <vt:variant>
        <vt:i4>705</vt:i4>
      </vt:variant>
      <vt:variant>
        <vt:i4>0</vt:i4>
      </vt:variant>
      <vt:variant>
        <vt:i4>5</vt:i4>
      </vt:variant>
      <vt:variant>
        <vt:lpwstr>http://www.supremecourt.ohio.gov/rod/docs/pdf/0/1998/1998-Ohio-444.pdf</vt:lpwstr>
      </vt:variant>
      <vt:variant>
        <vt:lpwstr/>
      </vt:variant>
      <vt:variant>
        <vt:i4>3342396</vt:i4>
      </vt:variant>
      <vt:variant>
        <vt:i4>702</vt:i4>
      </vt:variant>
      <vt:variant>
        <vt:i4>0</vt:i4>
      </vt:variant>
      <vt:variant>
        <vt:i4>5</vt:i4>
      </vt:variant>
      <vt:variant>
        <vt:lpwstr>http://www.supremecourt.ohio.gov/rod/docs/pdf/0/2002/2002-Ohio-5311.pdf</vt:lpwstr>
      </vt:variant>
      <vt:variant>
        <vt:lpwstr/>
      </vt:variant>
      <vt:variant>
        <vt:i4>7012406</vt:i4>
      </vt:variant>
      <vt:variant>
        <vt:i4>699</vt:i4>
      </vt:variant>
      <vt:variant>
        <vt:i4>0</vt:i4>
      </vt:variant>
      <vt:variant>
        <vt:i4>5</vt:i4>
      </vt:variant>
      <vt:variant>
        <vt:lpwstr>http://www.supremecourt.ohio.gov/rod/docs/pdf/0/2006/2006-Ohio-662.pdf</vt:lpwstr>
      </vt:variant>
      <vt:variant>
        <vt:lpwstr/>
      </vt:variant>
      <vt:variant>
        <vt:i4>5767180</vt:i4>
      </vt:variant>
      <vt:variant>
        <vt:i4>696</vt:i4>
      </vt:variant>
      <vt:variant>
        <vt:i4>0</vt:i4>
      </vt:variant>
      <vt:variant>
        <vt:i4>5</vt:i4>
      </vt:variant>
      <vt:variant>
        <vt:lpwstr>http://www.supremecourt.ohio.gov/rod/docs/pdf/13/2018/2018-Ohio-2913.pdf</vt:lpwstr>
      </vt:variant>
      <vt:variant>
        <vt:lpwstr/>
      </vt:variant>
      <vt:variant>
        <vt:i4>6094855</vt:i4>
      </vt:variant>
      <vt:variant>
        <vt:i4>693</vt:i4>
      </vt:variant>
      <vt:variant>
        <vt:i4>0</vt:i4>
      </vt:variant>
      <vt:variant>
        <vt:i4>5</vt:i4>
      </vt:variant>
      <vt:variant>
        <vt:lpwstr>http://www.supremecourt.ohio.gov/rod/docs/pdf/10/2010/2010-Ohio-3034.pdf</vt:lpwstr>
      </vt:variant>
      <vt:variant>
        <vt:lpwstr/>
      </vt:variant>
      <vt:variant>
        <vt:i4>4063295</vt:i4>
      </vt:variant>
      <vt:variant>
        <vt:i4>690</vt:i4>
      </vt:variant>
      <vt:variant>
        <vt:i4>0</vt:i4>
      </vt:variant>
      <vt:variant>
        <vt:i4>5</vt:i4>
      </vt:variant>
      <vt:variant>
        <vt:lpwstr>http://www.supremecourt.ohio.gov/rod/docs/pdf/5/2010/2010-Ohio-3592.pdf</vt:lpwstr>
      </vt:variant>
      <vt:variant>
        <vt:lpwstr/>
      </vt:variant>
      <vt:variant>
        <vt:i4>4128820</vt:i4>
      </vt:variant>
      <vt:variant>
        <vt:i4>687</vt:i4>
      </vt:variant>
      <vt:variant>
        <vt:i4>0</vt:i4>
      </vt:variant>
      <vt:variant>
        <vt:i4>5</vt:i4>
      </vt:variant>
      <vt:variant>
        <vt:lpwstr>http://www.supremecourt.ohio.gov/rod/docs/pdf/5/2013/2013-Ohio-1699.pdf</vt:lpwstr>
      </vt:variant>
      <vt:variant>
        <vt:lpwstr/>
      </vt:variant>
      <vt:variant>
        <vt:i4>5308416</vt:i4>
      </vt:variant>
      <vt:variant>
        <vt:i4>684</vt:i4>
      </vt:variant>
      <vt:variant>
        <vt:i4>0</vt:i4>
      </vt:variant>
      <vt:variant>
        <vt:i4>5</vt:i4>
      </vt:variant>
      <vt:variant>
        <vt:lpwstr>http://www.supremecourt.ohio.gov/rod/docs/pdf/10/2013/2013-Ohio-5219.pdf</vt:lpwstr>
      </vt:variant>
      <vt:variant>
        <vt:lpwstr/>
      </vt:variant>
      <vt:variant>
        <vt:i4>3342396</vt:i4>
      </vt:variant>
      <vt:variant>
        <vt:i4>681</vt:i4>
      </vt:variant>
      <vt:variant>
        <vt:i4>0</vt:i4>
      </vt:variant>
      <vt:variant>
        <vt:i4>5</vt:i4>
      </vt:variant>
      <vt:variant>
        <vt:lpwstr>http://www.supremecourt.ohio.gov/rod/docs/pdf/0/2002/2002-Ohio-5311.pdf</vt:lpwstr>
      </vt:variant>
      <vt:variant>
        <vt:lpwstr/>
      </vt:variant>
      <vt:variant>
        <vt:i4>3932222</vt:i4>
      </vt:variant>
      <vt:variant>
        <vt:i4>678</vt:i4>
      </vt:variant>
      <vt:variant>
        <vt:i4>0</vt:i4>
      </vt:variant>
      <vt:variant>
        <vt:i4>5</vt:i4>
      </vt:variant>
      <vt:variant>
        <vt:lpwstr>http://www.supremecourt.ohio.gov/rod/docs/pdf/0/2005/2005-Ohio-4384.pdf</vt:lpwstr>
      </vt:variant>
      <vt:variant>
        <vt:lpwstr/>
      </vt:variant>
      <vt:variant>
        <vt:i4>3997757</vt:i4>
      </vt:variant>
      <vt:variant>
        <vt:i4>675</vt:i4>
      </vt:variant>
      <vt:variant>
        <vt:i4>0</vt:i4>
      </vt:variant>
      <vt:variant>
        <vt:i4>5</vt:i4>
      </vt:variant>
      <vt:variant>
        <vt:lpwstr>http://www.supremecourt.ohio.gov/rod/docs/pdf/0/2009/2009-Ohio-1901.pdf</vt:lpwstr>
      </vt:variant>
      <vt:variant>
        <vt:lpwstr/>
      </vt:variant>
      <vt:variant>
        <vt:i4>4128831</vt:i4>
      </vt:variant>
      <vt:variant>
        <vt:i4>672</vt:i4>
      </vt:variant>
      <vt:variant>
        <vt:i4>0</vt:i4>
      </vt:variant>
      <vt:variant>
        <vt:i4>5</vt:i4>
      </vt:variant>
      <vt:variant>
        <vt:lpwstr>http://www.supremecourt.ohio.gov/rod/docs/pdf/0/2011/2011-Ohio-3093.pdf</vt:lpwstr>
      </vt:variant>
      <vt:variant>
        <vt:lpwstr/>
      </vt:variant>
      <vt:variant>
        <vt:i4>6357040</vt:i4>
      </vt:variant>
      <vt:variant>
        <vt:i4>669</vt:i4>
      </vt:variant>
      <vt:variant>
        <vt:i4>0</vt:i4>
      </vt:variant>
      <vt:variant>
        <vt:i4>5</vt:i4>
      </vt:variant>
      <vt:variant>
        <vt:lpwstr>http://www.supremecourt.ohio.gov/rod/docs/pdf/0/2014/2014-Ohio-538.pdf</vt:lpwstr>
      </vt:variant>
      <vt:variant>
        <vt:lpwstr/>
      </vt:variant>
      <vt:variant>
        <vt:i4>3145779</vt:i4>
      </vt:variant>
      <vt:variant>
        <vt:i4>666</vt:i4>
      </vt:variant>
      <vt:variant>
        <vt:i4>0</vt:i4>
      </vt:variant>
      <vt:variant>
        <vt:i4>5</vt:i4>
      </vt:variant>
      <vt:variant>
        <vt:lpwstr>http://www.supremecourt.ohio.gov/rod/docs/pdf/0/2014/2014-Ohio-2329.pdf</vt:lpwstr>
      </vt:variant>
      <vt:variant>
        <vt:lpwstr/>
      </vt:variant>
      <vt:variant>
        <vt:i4>3604542</vt:i4>
      </vt:variant>
      <vt:variant>
        <vt:i4>663</vt:i4>
      </vt:variant>
      <vt:variant>
        <vt:i4>0</vt:i4>
      </vt:variant>
      <vt:variant>
        <vt:i4>5</vt:i4>
      </vt:variant>
      <vt:variant>
        <vt:lpwstr>http://www.supremecourt.ohio.gov/rod/docs/pdf/5/2014/2014-Ohio-4331.pdf</vt:lpwstr>
      </vt:variant>
      <vt:variant>
        <vt:lpwstr/>
      </vt:variant>
      <vt:variant>
        <vt:i4>7667772</vt:i4>
      </vt:variant>
      <vt:variant>
        <vt:i4>660</vt:i4>
      </vt:variant>
      <vt:variant>
        <vt:i4>0</vt:i4>
      </vt:variant>
      <vt:variant>
        <vt:i4>5</vt:i4>
      </vt:variant>
      <vt:variant>
        <vt:lpwstr>http://www.supremecourt.ohio.gov/rod/docs/pdf/12/2015/2015-Ohio-2009.pdfhttp:/www.supremecourt.ohio.gov/rod/docs/pdf/12/2015/2015-Ohio-2009.pdf</vt:lpwstr>
      </vt:variant>
      <vt:variant>
        <vt:lpwstr/>
      </vt:variant>
      <vt:variant>
        <vt:i4>6160394</vt:i4>
      </vt:variant>
      <vt:variant>
        <vt:i4>657</vt:i4>
      </vt:variant>
      <vt:variant>
        <vt:i4>0</vt:i4>
      </vt:variant>
      <vt:variant>
        <vt:i4>5</vt:i4>
      </vt:variant>
      <vt:variant>
        <vt:lpwstr>http://www.supremecourt.ohio.gov/rod/docs/pdf/10/2016/2016-Ohio-8534.pdf</vt:lpwstr>
      </vt:variant>
      <vt:variant>
        <vt:lpwstr/>
      </vt:variant>
      <vt:variant>
        <vt:i4>3604536</vt:i4>
      </vt:variant>
      <vt:variant>
        <vt:i4>654</vt:i4>
      </vt:variant>
      <vt:variant>
        <vt:i4>0</vt:i4>
      </vt:variant>
      <vt:variant>
        <vt:i4>5</vt:i4>
      </vt:variant>
      <vt:variant>
        <vt:lpwstr>http://www.supremecourt.ohio.gov/rod/docs/pdf/0/2012/2012-Ohio-1007.pdf</vt:lpwstr>
      </vt:variant>
      <vt:variant>
        <vt:lpwstr/>
      </vt:variant>
      <vt:variant>
        <vt:i4>3407925</vt:i4>
      </vt:variant>
      <vt:variant>
        <vt:i4>651</vt:i4>
      </vt:variant>
      <vt:variant>
        <vt:i4>0</vt:i4>
      </vt:variant>
      <vt:variant>
        <vt:i4>5</vt:i4>
      </vt:variant>
      <vt:variant>
        <vt:lpwstr>http://www.supremecourt.ohio.gov/rod/docs/pdf/0/2015/2015-Ohio-4914.pdf</vt:lpwstr>
      </vt:variant>
      <vt:variant>
        <vt:lpwstr/>
      </vt:variant>
      <vt:variant>
        <vt:i4>7077944</vt:i4>
      </vt:variant>
      <vt:variant>
        <vt:i4>648</vt:i4>
      </vt:variant>
      <vt:variant>
        <vt:i4>0</vt:i4>
      </vt:variant>
      <vt:variant>
        <vt:i4>5</vt:i4>
      </vt:variant>
      <vt:variant>
        <vt:lpwstr>http://www.supremecourt.ohio.gov/rod/docs/pdf/8/2017/2017-Ohio-300.pdf</vt:lpwstr>
      </vt:variant>
      <vt:variant>
        <vt:lpwstr/>
      </vt:variant>
      <vt:variant>
        <vt:i4>3342395</vt:i4>
      </vt:variant>
      <vt:variant>
        <vt:i4>645</vt:i4>
      </vt:variant>
      <vt:variant>
        <vt:i4>0</vt:i4>
      </vt:variant>
      <vt:variant>
        <vt:i4>5</vt:i4>
      </vt:variant>
      <vt:variant>
        <vt:lpwstr>http://www.supremecourt.ohio.gov/rod/docs/pdf/0/2017/2017-Ohio-8988.pdf</vt:lpwstr>
      </vt:variant>
      <vt:variant>
        <vt:lpwstr/>
      </vt:variant>
      <vt:variant>
        <vt:i4>3801143</vt:i4>
      </vt:variant>
      <vt:variant>
        <vt:i4>642</vt:i4>
      </vt:variant>
      <vt:variant>
        <vt:i4>0</vt:i4>
      </vt:variant>
      <vt:variant>
        <vt:i4>5</vt:i4>
      </vt:variant>
      <vt:variant>
        <vt:lpwstr>http://www.supremecourt.ohio.gov/rod/docs/pdf/0/2018/2018-Ohio-5133.pdf</vt:lpwstr>
      </vt:variant>
      <vt:variant>
        <vt:lpwstr/>
      </vt:variant>
      <vt:variant>
        <vt:i4>3735612</vt:i4>
      </vt:variant>
      <vt:variant>
        <vt:i4>639</vt:i4>
      </vt:variant>
      <vt:variant>
        <vt:i4>0</vt:i4>
      </vt:variant>
      <vt:variant>
        <vt:i4>5</vt:i4>
      </vt:variant>
      <vt:variant>
        <vt:lpwstr>http://www.supremecourt.ohio.gov/rod/docs/pdf/0/2018/2018-Ohio-5108.pdf</vt:lpwstr>
      </vt:variant>
      <vt:variant>
        <vt:lpwstr/>
      </vt:variant>
      <vt:variant>
        <vt:i4>6422585</vt:i4>
      </vt:variant>
      <vt:variant>
        <vt:i4>636</vt:i4>
      </vt:variant>
      <vt:variant>
        <vt:i4>0</vt:i4>
      </vt:variant>
      <vt:variant>
        <vt:i4>5</vt:i4>
      </vt:variant>
      <vt:variant>
        <vt:lpwstr>http://www.supremecourt.ohio.gov/rod/docs/pdf/0/1998/1998-Ohio-444.pdf</vt:lpwstr>
      </vt:variant>
      <vt:variant>
        <vt:lpwstr/>
      </vt:variant>
      <vt:variant>
        <vt:i4>3342396</vt:i4>
      </vt:variant>
      <vt:variant>
        <vt:i4>633</vt:i4>
      </vt:variant>
      <vt:variant>
        <vt:i4>0</vt:i4>
      </vt:variant>
      <vt:variant>
        <vt:i4>5</vt:i4>
      </vt:variant>
      <vt:variant>
        <vt:lpwstr>http://www.supremecourt.ohio.gov/rod/docs/pdf/0/2002/2002-Ohio-5311.pdf</vt:lpwstr>
      </vt:variant>
      <vt:variant>
        <vt:lpwstr/>
      </vt:variant>
      <vt:variant>
        <vt:i4>3342396</vt:i4>
      </vt:variant>
      <vt:variant>
        <vt:i4>630</vt:i4>
      </vt:variant>
      <vt:variant>
        <vt:i4>0</vt:i4>
      </vt:variant>
      <vt:variant>
        <vt:i4>5</vt:i4>
      </vt:variant>
      <vt:variant>
        <vt:lpwstr>http://www.supremecourt.ohio.gov/rod/docs/pdf/0/2002/2002-Ohio-5311.pdf</vt:lpwstr>
      </vt:variant>
      <vt:variant>
        <vt:lpwstr/>
      </vt:variant>
      <vt:variant>
        <vt:i4>4128831</vt:i4>
      </vt:variant>
      <vt:variant>
        <vt:i4>627</vt:i4>
      </vt:variant>
      <vt:variant>
        <vt:i4>0</vt:i4>
      </vt:variant>
      <vt:variant>
        <vt:i4>5</vt:i4>
      </vt:variant>
      <vt:variant>
        <vt:lpwstr>http://www.supremecourt.ohio.gov/rod/docs/pdf/0/2011/2011-Ohio-3093.pdf</vt:lpwstr>
      </vt:variant>
      <vt:variant>
        <vt:lpwstr/>
      </vt:variant>
      <vt:variant>
        <vt:i4>6881342</vt:i4>
      </vt:variant>
      <vt:variant>
        <vt:i4>624</vt:i4>
      </vt:variant>
      <vt:variant>
        <vt:i4>0</vt:i4>
      </vt:variant>
      <vt:variant>
        <vt:i4>5</vt:i4>
      </vt:variant>
      <vt:variant>
        <vt:lpwstr>http://www.supremecourt.ohio.gov/rod/docs/pdf/0/2000/2000-Ohio-383.pdf</vt:lpwstr>
      </vt:variant>
      <vt:variant>
        <vt:lpwstr/>
      </vt:variant>
      <vt:variant>
        <vt:i4>3604539</vt:i4>
      </vt:variant>
      <vt:variant>
        <vt:i4>621</vt:i4>
      </vt:variant>
      <vt:variant>
        <vt:i4>0</vt:i4>
      </vt:variant>
      <vt:variant>
        <vt:i4>5</vt:i4>
      </vt:variant>
      <vt:variant>
        <vt:lpwstr>http://www.supremecourt.ohio.gov/rod/docs/pdf/7/2007/2007-Ohio-6433.pdf</vt:lpwstr>
      </vt:variant>
      <vt:variant>
        <vt:lpwstr/>
      </vt:variant>
      <vt:variant>
        <vt:i4>7274555</vt:i4>
      </vt:variant>
      <vt:variant>
        <vt:i4>618</vt:i4>
      </vt:variant>
      <vt:variant>
        <vt:i4>0</vt:i4>
      </vt:variant>
      <vt:variant>
        <vt:i4>5</vt:i4>
      </vt:variant>
      <vt:variant>
        <vt:lpwstr>http://www.supremecourt.ohio.gov/rod/docs/pdf/0/2005/2005-Ohio-685.pdf</vt:lpwstr>
      </vt:variant>
      <vt:variant>
        <vt:lpwstr/>
      </vt:variant>
      <vt:variant>
        <vt:i4>3342396</vt:i4>
      </vt:variant>
      <vt:variant>
        <vt:i4>615</vt:i4>
      </vt:variant>
      <vt:variant>
        <vt:i4>0</vt:i4>
      </vt:variant>
      <vt:variant>
        <vt:i4>5</vt:i4>
      </vt:variant>
      <vt:variant>
        <vt:lpwstr>http://www.supremecourt.ohio.gov/rod/docs/pdf/0/2002/2002-Ohio-5311.pdf</vt:lpwstr>
      </vt:variant>
      <vt:variant>
        <vt:lpwstr/>
      </vt:variant>
      <vt:variant>
        <vt:i4>6619194</vt:i4>
      </vt:variant>
      <vt:variant>
        <vt:i4>612</vt:i4>
      </vt:variant>
      <vt:variant>
        <vt:i4>0</vt:i4>
      </vt:variant>
      <vt:variant>
        <vt:i4>5</vt:i4>
      </vt:variant>
      <vt:variant>
        <vt:lpwstr>http://www.supremecourt.ohio.gov/rod/docs/pdf/0/1999/1999-Ohio-264.pdf</vt:lpwstr>
      </vt:variant>
      <vt:variant>
        <vt:lpwstr/>
      </vt:variant>
      <vt:variant>
        <vt:i4>3342396</vt:i4>
      </vt:variant>
      <vt:variant>
        <vt:i4>609</vt:i4>
      </vt:variant>
      <vt:variant>
        <vt:i4>0</vt:i4>
      </vt:variant>
      <vt:variant>
        <vt:i4>5</vt:i4>
      </vt:variant>
      <vt:variant>
        <vt:lpwstr>http://www.supremecourt.ohio.gov/rod/docs/pdf/0/2002/2002-Ohio-5311.pdf</vt:lpwstr>
      </vt:variant>
      <vt:variant>
        <vt:lpwstr/>
      </vt:variant>
      <vt:variant>
        <vt:i4>6291518</vt:i4>
      </vt:variant>
      <vt:variant>
        <vt:i4>606</vt:i4>
      </vt:variant>
      <vt:variant>
        <vt:i4>0</vt:i4>
      </vt:variant>
      <vt:variant>
        <vt:i4>5</vt:i4>
      </vt:variant>
      <vt:variant>
        <vt:lpwstr>http://www.supremecourt.ohio.gov/rod/docs/pdf/0/1993/1993-Ohio-188.pdf</vt:lpwstr>
      </vt:variant>
      <vt:variant>
        <vt:lpwstr/>
      </vt:variant>
      <vt:variant>
        <vt:i4>3538993</vt:i4>
      </vt:variant>
      <vt:variant>
        <vt:i4>603</vt:i4>
      </vt:variant>
      <vt:variant>
        <vt:i4>0</vt:i4>
      </vt:variant>
      <vt:variant>
        <vt:i4>5</vt:i4>
      </vt:variant>
      <vt:variant>
        <vt:lpwstr>http://www.supremecourt.ohio.gov/rod/docs/pdf/0/2004/2004-Ohio-7108.pdf</vt:lpwstr>
      </vt:variant>
      <vt:variant>
        <vt:lpwstr/>
      </vt:variant>
      <vt:variant>
        <vt:i4>5963776</vt:i4>
      </vt:variant>
      <vt:variant>
        <vt:i4>600</vt:i4>
      </vt:variant>
      <vt:variant>
        <vt:i4>0</vt:i4>
      </vt:variant>
      <vt:variant>
        <vt:i4>5</vt:i4>
      </vt:variant>
      <vt:variant>
        <vt:lpwstr>http://www.supremecourt.ohio.gov/rod/docs/pdf/10/2014/2014-Ohio-5660.pdf</vt:lpwstr>
      </vt:variant>
      <vt:variant>
        <vt:lpwstr/>
      </vt:variant>
      <vt:variant>
        <vt:i4>3276848</vt:i4>
      </vt:variant>
      <vt:variant>
        <vt:i4>597</vt:i4>
      </vt:variant>
      <vt:variant>
        <vt:i4>0</vt:i4>
      </vt:variant>
      <vt:variant>
        <vt:i4>5</vt:i4>
      </vt:variant>
      <vt:variant>
        <vt:lpwstr>http://www.supremecourt.ohio.gov/rod/docs/pdf/11/2015/2015-Ohio-139.pdf</vt:lpwstr>
      </vt:variant>
      <vt:variant>
        <vt:lpwstr/>
      </vt:variant>
      <vt:variant>
        <vt:i4>3145781</vt:i4>
      </vt:variant>
      <vt:variant>
        <vt:i4>594</vt:i4>
      </vt:variant>
      <vt:variant>
        <vt:i4>0</vt:i4>
      </vt:variant>
      <vt:variant>
        <vt:i4>5</vt:i4>
      </vt:variant>
      <vt:variant>
        <vt:lpwstr>http://www.supremecourt.ohio.gov/rod/docs/pdf/0/2012/2012-Ohio-4228.pdf</vt:lpwstr>
      </vt:variant>
      <vt:variant>
        <vt:lpwstr/>
      </vt:variant>
      <vt:variant>
        <vt:i4>3145781</vt:i4>
      </vt:variant>
      <vt:variant>
        <vt:i4>591</vt:i4>
      </vt:variant>
      <vt:variant>
        <vt:i4>0</vt:i4>
      </vt:variant>
      <vt:variant>
        <vt:i4>5</vt:i4>
      </vt:variant>
      <vt:variant>
        <vt:lpwstr>http://www.supremecourt.ohio.gov/rod/docs/pdf/0/2012/2012-Ohio-4228.pdf</vt:lpwstr>
      </vt:variant>
      <vt:variant>
        <vt:lpwstr/>
      </vt:variant>
      <vt:variant>
        <vt:i4>3145781</vt:i4>
      </vt:variant>
      <vt:variant>
        <vt:i4>588</vt:i4>
      </vt:variant>
      <vt:variant>
        <vt:i4>0</vt:i4>
      </vt:variant>
      <vt:variant>
        <vt:i4>5</vt:i4>
      </vt:variant>
      <vt:variant>
        <vt:lpwstr>http://www.supremecourt.ohio.gov/rod/docs/pdf/0/2012/2012-Ohio-4228.pdf</vt:lpwstr>
      </vt:variant>
      <vt:variant>
        <vt:lpwstr/>
      </vt:variant>
      <vt:variant>
        <vt:i4>3997753</vt:i4>
      </vt:variant>
      <vt:variant>
        <vt:i4>585</vt:i4>
      </vt:variant>
      <vt:variant>
        <vt:i4>0</vt:i4>
      </vt:variant>
      <vt:variant>
        <vt:i4>5</vt:i4>
      </vt:variant>
      <vt:variant>
        <vt:lpwstr>http://www.supremecourt.ohio.gov/rod/docs/pdf/0/2012/2012-Ohio-2690.pdf</vt:lpwstr>
      </vt:variant>
      <vt:variant>
        <vt:lpwstr/>
      </vt:variant>
      <vt:variant>
        <vt:i4>5439499</vt:i4>
      </vt:variant>
      <vt:variant>
        <vt:i4>582</vt:i4>
      </vt:variant>
      <vt:variant>
        <vt:i4>0</vt:i4>
      </vt:variant>
      <vt:variant>
        <vt:i4>5</vt:i4>
      </vt:variant>
      <vt:variant>
        <vt:lpwstr>http://www.supremecourt.ohio.gov/rod/docs/pdf/13/2018/2018-Ohio-5011.pdf</vt:lpwstr>
      </vt:variant>
      <vt:variant>
        <vt:lpwstr/>
      </vt:variant>
      <vt:variant>
        <vt:i4>3276860</vt:i4>
      </vt:variant>
      <vt:variant>
        <vt:i4>579</vt:i4>
      </vt:variant>
      <vt:variant>
        <vt:i4>0</vt:i4>
      </vt:variant>
      <vt:variant>
        <vt:i4>5</vt:i4>
      </vt:variant>
      <vt:variant>
        <vt:lpwstr>http://www.supremecourt.ohio.gov/rod/docs/pdf/8/2014/2014-Ohio-3914.pdf</vt:lpwstr>
      </vt:variant>
      <vt:variant>
        <vt:lpwstr/>
      </vt:variant>
      <vt:variant>
        <vt:i4>5308416</vt:i4>
      </vt:variant>
      <vt:variant>
        <vt:i4>576</vt:i4>
      </vt:variant>
      <vt:variant>
        <vt:i4>0</vt:i4>
      </vt:variant>
      <vt:variant>
        <vt:i4>5</vt:i4>
      </vt:variant>
      <vt:variant>
        <vt:lpwstr>http://www.supremecourt.ohio.gov/rod/docs/pdf/10/2013/2013-Ohio-5219.pdf</vt:lpwstr>
      </vt:variant>
      <vt:variant>
        <vt:lpwstr/>
      </vt:variant>
      <vt:variant>
        <vt:i4>7209012</vt:i4>
      </vt:variant>
      <vt:variant>
        <vt:i4>573</vt:i4>
      </vt:variant>
      <vt:variant>
        <vt:i4>0</vt:i4>
      </vt:variant>
      <vt:variant>
        <vt:i4>5</vt:i4>
      </vt:variant>
      <vt:variant>
        <vt:lpwstr>http://www.supremecourt.ohio.gov/rod/docs/pdf/0/2012/2012-Ohio-115.pdf</vt:lpwstr>
      </vt:variant>
      <vt:variant>
        <vt:lpwstr/>
      </vt:variant>
      <vt:variant>
        <vt:i4>7209012</vt:i4>
      </vt:variant>
      <vt:variant>
        <vt:i4>570</vt:i4>
      </vt:variant>
      <vt:variant>
        <vt:i4>0</vt:i4>
      </vt:variant>
      <vt:variant>
        <vt:i4>5</vt:i4>
      </vt:variant>
      <vt:variant>
        <vt:lpwstr>http://www.supremecourt.ohio.gov/rod/docs/pdf/0/2012/2012-Ohio-115.pdf</vt:lpwstr>
      </vt:variant>
      <vt:variant>
        <vt:lpwstr/>
      </vt:variant>
      <vt:variant>
        <vt:i4>3145781</vt:i4>
      </vt:variant>
      <vt:variant>
        <vt:i4>567</vt:i4>
      </vt:variant>
      <vt:variant>
        <vt:i4>0</vt:i4>
      </vt:variant>
      <vt:variant>
        <vt:i4>5</vt:i4>
      </vt:variant>
      <vt:variant>
        <vt:lpwstr>http://www.supremecourt.ohio.gov/rod/docs/pdf/0/2012/2012-Ohio-4228.pdf</vt:lpwstr>
      </vt:variant>
      <vt:variant>
        <vt:lpwstr/>
      </vt:variant>
      <vt:variant>
        <vt:i4>6160395</vt:i4>
      </vt:variant>
      <vt:variant>
        <vt:i4>564</vt:i4>
      </vt:variant>
      <vt:variant>
        <vt:i4>0</vt:i4>
      </vt:variant>
      <vt:variant>
        <vt:i4>5</vt:i4>
      </vt:variant>
      <vt:variant>
        <vt:lpwstr>http://www.supremecourt.ohio.gov/rod/docs/pdf/13/2018/2018-Ohio-3478.pdf</vt:lpwstr>
      </vt:variant>
      <vt:variant>
        <vt:lpwstr/>
      </vt:variant>
      <vt:variant>
        <vt:i4>5439499</vt:i4>
      </vt:variant>
      <vt:variant>
        <vt:i4>561</vt:i4>
      </vt:variant>
      <vt:variant>
        <vt:i4>0</vt:i4>
      </vt:variant>
      <vt:variant>
        <vt:i4>5</vt:i4>
      </vt:variant>
      <vt:variant>
        <vt:lpwstr>http://www.supremecourt.ohio.gov/rod/docs/pdf/13/2018/2018-Ohio-3475.pdf</vt:lpwstr>
      </vt:variant>
      <vt:variant>
        <vt:lpwstr/>
      </vt:variant>
      <vt:variant>
        <vt:i4>5373963</vt:i4>
      </vt:variant>
      <vt:variant>
        <vt:i4>558</vt:i4>
      </vt:variant>
      <vt:variant>
        <vt:i4>0</vt:i4>
      </vt:variant>
      <vt:variant>
        <vt:i4>5</vt:i4>
      </vt:variant>
      <vt:variant>
        <vt:lpwstr>http://www.supremecourt.ohio.gov/rod/docs/pdf/13/2018/2018-Ohio-1555.pdf</vt:lpwstr>
      </vt:variant>
      <vt:variant>
        <vt:lpwstr/>
      </vt:variant>
      <vt:variant>
        <vt:i4>3801145</vt:i4>
      </vt:variant>
      <vt:variant>
        <vt:i4>555</vt:i4>
      </vt:variant>
      <vt:variant>
        <vt:i4>0</vt:i4>
      </vt:variant>
      <vt:variant>
        <vt:i4>5</vt:i4>
      </vt:variant>
      <vt:variant>
        <vt:lpwstr>http://www.supremecourt.ohio.gov/rod/docs/pdf/6/2018/2018-Ohio-1973.pdf</vt:lpwstr>
      </vt:variant>
      <vt:variant>
        <vt:lpwstr/>
      </vt:variant>
      <vt:variant>
        <vt:i4>3670068</vt:i4>
      </vt:variant>
      <vt:variant>
        <vt:i4>552</vt:i4>
      </vt:variant>
      <vt:variant>
        <vt:i4>0</vt:i4>
      </vt:variant>
      <vt:variant>
        <vt:i4>5</vt:i4>
      </vt:variant>
      <vt:variant>
        <vt:lpwstr>http://www.supremecourt.ohio.gov/rod/docs/pdf/0/2018/2018-Ohio-5110.pdf</vt:lpwstr>
      </vt:variant>
      <vt:variant>
        <vt:lpwstr/>
      </vt:variant>
      <vt:variant>
        <vt:i4>5242891</vt:i4>
      </vt:variant>
      <vt:variant>
        <vt:i4>549</vt:i4>
      </vt:variant>
      <vt:variant>
        <vt:i4>0</vt:i4>
      </vt:variant>
      <vt:variant>
        <vt:i4>5</vt:i4>
      </vt:variant>
      <vt:variant>
        <vt:lpwstr>http://www.supremecourt.ohio.gov/rod/docs/pdf/13/2018/2018-Ohio-3476.pdf</vt:lpwstr>
      </vt:variant>
      <vt:variant>
        <vt:lpwstr/>
      </vt:variant>
      <vt:variant>
        <vt:i4>5439499</vt:i4>
      </vt:variant>
      <vt:variant>
        <vt:i4>546</vt:i4>
      </vt:variant>
      <vt:variant>
        <vt:i4>0</vt:i4>
      </vt:variant>
      <vt:variant>
        <vt:i4>5</vt:i4>
      </vt:variant>
      <vt:variant>
        <vt:lpwstr>http://www.supremecourt.ohio.gov/rod/docs/pdf/13/2018/2018-Ohio-3475.pdf</vt:lpwstr>
      </vt:variant>
      <vt:variant>
        <vt:lpwstr/>
      </vt:variant>
      <vt:variant>
        <vt:i4>3866682</vt:i4>
      </vt:variant>
      <vt:variant>
        <vt:i4>543</vt:i4>
      </vt:variant>
      <vt:variant>
        <vt:i4>0</vt:i4>
      </vt:variant>
      <vt:variant>
        <vt:i4>5</vt:i4>
      </vt:variant>
      <vt:variant>
        <vt:lpwstr>http://www.supremecourt.ohio.gov/rod/docs/pdf/8/2018/2018-Ohio-5027.pdf</vt:lpwstr>
      </vt:variant>
      <vt:variant>
        <vt:lpwstr/>
      </vt:variant>
      <vt:variant>
        <vt:i4>3145791</vt:i4>
      </vt:variant>
      <vt:variant>
        <vt:i4>540</vt:i4>
      </vt:variant>
      <vt:variant>
        <vt:i4>0</vt:i4>
      </vt:variant>
      <vt:variant>
        <vt:i4>5</vt:i4>
      </vt:variant>
      <vt:variant>
        <vt:lpwstr>http://www.supremecourt.ohio.gov/rod/docs/pdf/7/2011/2011-Ohio-1347.pdf</vt:lpwstr>
      </vt:variant>
      <vt:variant>
        <vt:lpwstr/>
      </vt:variant>
      <vt:variant>
        <vt:i4>3670071</vt:i4>
      </vt:variant>
      <vt:variant>
        <vt:i4>537</vt:i4>
      </vt:variant>
      <vt:variant>
        <vt:i4>0</vt:i4>
      </vt:variant>
      <vt:variant>
        <vt:i4>5</vt:i4>
      </vt:variant>
      <vt:variant>
        <vt:lpwstr>http://www.supremecourt.ohio.gov/rod/docs/pdf/3/2011/2011-Ohio-4890.pdf</vt:lpwstr>
      </vt:variant>
      <vt:variant>
        <vt:lpwstr/>
      </vt:variant>
      <vt:variant>
        <vt:i4>6225925</vt:i4>
      </vt:variant>
      <vt:variant>
        <vt:i4>534</vt:i4>
      </vt:variant>
      <vt:variant>
        <vt:i4>0</vt:i4>
      </vt:variant>
      <vt:variant>
        <vt:i4>5</vt:i4>
      </vt:variant>
      <vt:variant>
        <vt:lpwstr>http://www.supremecourt.ohio.gov/rod/docs/pdf/10/2011/2011-Ohio-6453.pdf</vt:lpwstr>
      </vt:variant>
      <vt:variant>
        <vt:lpwstr/>
      </vt:variant>
      <vt:variant>
        <vt:i4>3211323</vt:i4>
      </vt:variant>
      <vt:variant>
        <vt:i4>531</vt:i4>
      </vt:variant>
      <vt:variant>
        <vt:i4>0</vt:i4>
      </vt:variant>
      <vt:variant>
        <vt:i4>5</vt:i4>
      </vt:variant>
      <vt:variant>
        <vt:lpwstr>http://www.supremecourt.ohio.gov/rod/docs/pdf/0/2008/2008-Ohio-4788.pdf</vt:lpwstr>
      </vt:variant>
      <vt:variant>
        <vt:lpwstr/>
      </vt:variant>
      <vt:variant>
        <vt:i4>3145787</vt:i4>
      </vt:variant>
      <vt:variant>
        <vt:i4>528</vt:i4>
      </vt:variant>
      <vt:variant>
        <vt:i4>0</vt:i4>
      </vt:variant>
      <vt:variant>
        <vt:i4>5</vt:i4>
      </vt:variant>
      <vt:variant>
        <vt:lpwstr>http://www.supremecourt.ohio.gov/rod/docs/pdf/0/2010/2010-Ohio-5711.pdf</vt:lpwstr>
      </vt:variant>
      <vt:variant>
        <vt:lpwstr/>
      </vt:variant>
      <vt:variant>
        <vt:i4>3145781</vt:i4>
      </vt:variant>
      <vt:variant>
        <vt:i4>525</vt:i4>
      </vt:variant>
      <vt:variant>
        <vt:i4>0</vt:i4>
      </vt:variant>
      <vt:variant>
        <vt:i4>5</vt:i4>
      </vt:variant>
      <vt:variant>
        <vt:lpwstr>http://www.supremecourt.ohio.gov/rod/docs/pdf/0/2012/2012-Ohio-4228.pdf</vt:lpwstr>
      </vt:variant>
      <vt:variant>
        <vt:lpwstr/>
      </vt:variant>
      <vt:variant>
        <vt:i4>5570562</vt:i4>
      </vt:variant>
      <vt:variant>
        <vt:i4>522</vt:i4>
      </vt:variant>
      <vt:variant>
        <vt:i4>0</vt:i4>
      </vt:variant>
      <vt:variant>
        <vt:i4>5</vt:i4>
      </vt:variant>
      <vt:variant>
        <vt:lpwstr>http://www.supremecourt.ohio.gov/rod/docs/pdf/13/2018/2018-Ohio-4592.pdf</vt:lpwstr>
      </vt:variant>
      <vt:variant>
        <vt:lpwstr/>
      </vt:variant>
      <vt:variant>
        <vt:i4>6946878</vt:i4>
      </vt:variant>
      <vt:variant>
        <vt:i4>519</vt:i4>
      </vt:variant>
      <vt:variant>
        <vt:i4>0</vt:i4>
      </vt:variant>
      <vt:variant>
        <vt:i4>5</vt:i4>
      </vt:variant>
      <vt:variant>
        <vt:lpwstr>http://www.supremecourt.ohio.gov/rod/docs/pdf/0/2001/2001-Ohio-193.pdf</vt:lpwstr>
      </vt:variant>
      <vt:variant>
        <vt:lpwstr/>
      </vt:variant>
      <vt:variant>
        <vt:i4>5242893</vt:i4>
      </vt:variant>
      <vt:variant>
        <vt:i4>516</vt:i4>
      </vt:variant>
      <vt:variant>
        <vt:i4>0</vt:i4>
      </vt:variant>
      <vt:variant>
        <vt:i4>5</vt:i4>
      </vt:variant>
      <vt:variant>
        <vt:lpwstr>http://www.supremecourt.ohio.gov/rod/docs/pdf/13/2018/2018-Ohio-1537.pdf</vt:lpwstr>
      </vt:variant>
      <vt:variant>
        <vt:lpwstr/>
      </vt:variant>
      <vt:variant>
        <vt:i4>8323114</vt:i4>
      </vt:variant>
      <vt:variant>
        <vt:i4>513</vt:i4>
      </vt:variant>
      <vt:variant>
        <vt:i4>0</vt:i4>
      </vt:variant>
      <vt:variant>
        <vt:i4>5</vt:i4>
      </vt:variant>
      <vt:variant>
        <vt:lpwstr>http://cpdocket.cp.cuyahogacounty.us/DisplayImageList.aspx?q=ujZ7iWkGugh4hBaYiVzJad1u81lujI6H0</vt:lpwstr>
      </vt:variant>
      <vt:variant>
        <vt:lpwstr/>
      </vt:variant>
      <vt:variant>
        <vt:i4>3276860</vt:i4>
      </vt:variant>
      <vt:variant>
        <vt:i4>510</vt:i4>
      </vt:variant>
      <vt:variant>
        <vt:i4>0</vt:i4>
      </vt:variant>
      <vt:variant>
        <vt:i4>5</vt:i4>
      </vt:variant>
      <vt:variant>
        <vt:lpwstr>http://www.supremecourt.ohio.gov/rod/docs/pdf/8/2014/2014-Ohio-3914.pdf</vt:lpwstr>
      </vt:variant>
      <vt:variant>
        <vt:lpwstr/>
      </vt:variant>
      <vt:variant>
        <vt:i4>3145781</vt:i4>
      </vt:variant>
      <vt:variant>
        <vt:i4>507</vt:i4>
      </vt:variant>
      <vt:variant>
        <vt:i4>0</vt:i4>
      </vt:variant>
      <vt:variant>
        <vt:i4>5</vt:i4>
      </vt:variant>
      <vt:variant>
        <vt:lpwstr>http://www.supremecourt.ohio.gov/rod/docs/pdf/0/2012/2012-Ohio-4228.pdf</vt:lpwstr>
      </vt:variant>
      <vt:variant>
        <vt:lpwstr/>
      </vt:variant>
      <vt:variant>
        <vt:i4>3211323</vt:i4>
      </vt:variant>
      <vt:variant>
        <vt:i4>504</vt:i4>
      </vt:variant>
      <vt:variant>
        <vt:i4>0</vt:i4>
      </vt:variant>
      <vt:variant>
        <vt:i4>5</vt:i4>
      </vt:variant>
      <vt:variant>
        <vt:lpwstr>http://www.supremecourt.ohio.gov/rod/docs/pdf/0/2008/2008-Ohio-4788.pdf</vt:lpwstr>
      </vt:variant>
      <vt:variant>
        <vt:lpwstr/>
      </vt:variant>
      <vt:variant>
        <vt:i4>3473463</vt:i4>
      </vt:variant>
      <vt:variant>
        <vt:i4>501</vt:i4>
      </vt:variant>
      <vt:variant>
        <vt:i4>0</vt:i4>
      </vt:variant>
      <vt:variant>
        <vt:i4>5</vt:i4>
      </vt:variant>
      <vt:variant>
        <vt:lpwstr>http://www.supremecourt.ohio.gov/rod/docs/pdf/5/2011/2011-Ohio-4749.pdf</vt:lpwstr>
      </vt:variant>
      <vt:variant>
        <vt:lpwstr/>
      </vt:variant>
      <vt:variant>
        <vt:i4>3145787</vt:i4>
      </vt:variant>
      <vt:variant>
        <vt:i4>498</vt:i4>
      </vt:variant>
      <vt:variant>
        <vt:i4>0</vt:i4>
      </vt:variant>
      <vt:variant>
        <vt:i4>5</vt:i4>
      </vt:variant>
      <vt:variant>
        <vt:lpwstr>http://www.supremecourt.ohio.gov/rod/docs/pdf/0/2010/2010-Ohio-5711.pdf</vt:lpwstr>
      </vt:variant>
      <vt:variant>
        <vt:lpwstr/>
      </vt:variant>
      <vt:variant>
        <vt:i4>5898241</vt:i4>
      </vt:variant>
      <vt:variant>
        <vt:i4>495</vt:i4>
      </vt:variant>
      <vt:variant>
        <vt:i4>0</vt:i4>
      </vt:variant>
      <vt:variant>
        <vt:i4>5</vt:i4>
      </vt:variant>
      <vt:variant>
        <vt:lpwstr>http://www.supremecourt.ohio.gov/rod/docs/pdf/11/2010/2010-Ohio-3052.pdf</vt:lpwstr>
      </vt:variant>
      <vt:variant>
        <vt:lpwstr/>
      </vt:variant>
      <vt:variant>
        <vt:i4>6946878</vt:i4>
      </vt:variant>
      <vt:variant>
        <vt:i4>492</vt:i4>
      </vt:variant>
      <vt:variant>
        <vt:i4>0</vt:i4>
      </vt:variant>
      <vt:variant>
        <vt:i4>5</vt:i4>
      </vt:variant>
      <vt:variant>
        <vt:lpwstr>http://www.supremecourt.ohio.gov/rod/docs/pdf/0/2001/2001-Ohio-193.pdf</vt:lpwstr>
      </vt:variant>
      <vt:variant>
        <vt:lpwstr/>
      </vt:variant>
      <vt:variant>
        <vt:i4>3211323</vt:i4>
      </vt:variant>
      <vt:variant>
        <vt:i4>489</vt:i4>
      </vt:variant>
      <vt:variant>
        <vt:i4>0</vt:i4>
      </vt:variant>
      <vt:variant>
        <vt:i4>5</vt:i4>
      </vt:variant>
      <vt:variant>
        <vt:lpwstr>http://www.supremecourt.ohio.gov/rod/docs/pdf/0/2008/2008-Ohio-4788.pdf</vt:lpwstr>
      </vt:variant>
      <vt:variant>
        <vt:lpwstr/>
      </vt:variant>
      <vt:variant>
        <vt:i4>3145781</vt:i4>
      </vt:variant>
      <vt:variant>
        <vt:i4>486</vt:i4>
      </vt:variant>
      <vt:variant>
        <vt:i4>0</vt:i4>
      </vt:variant>
      <vt:variant>
        <vt:i4>5</vt:i4>
      </vt:variant>
      <vt:variant>
        <vt:lpwstr>http://www.supremecourt.ohio.gov/rod/docs/pdf/0/2012/2012-Ohio-4228.pdf</vt:lpwstr>
      </vt:variant>
      <vt:variant>
        <vt:lpwstr/>
      </vt:variant>
      <vt:variant>
        <vt:i4>3473464</vt:i4>
      </vt:variant>
      <vt:variant>
        <vt:i4>483</vt:i4>
      </vt:variant>
      <vt:variant>
        <vt:i4>0</vt:i4>
      </vt:variant>
      <vt:variant>
        <vt:i4>5</vt:i4>
      </vt:variant>
      <vt:variant>
        <vt:lpwstr>http://www.supremecourt.ohio.gov/rod/docs/pdf/0/2015/2015-Ohio-2363.pdf</vt:lpwstr>
      </vt:variant>
      <vt:variant>
        <vt:lpwstr/>
      </vt:variant>
      <vt:variant>
        <vt:i4>3670068</vt:i4>
      </vt:variant>
      <vt:variant>
        <vt:i4>480</vt:i4>
      </vt:variant>
      <vt:variant>
        <vt:i4>0</vt:i4>
      </vt:variant>
      <vt:variant>
        <vt:i4>5</vt:i4>
      </vt:variant>
      <vt:variant>
        <vt:lpwstr>http://www.supremecourt.ohio.gov/rod/docs/pdf/0/2018/2018-Ohio-5110.pdf</vt:lpwstr>
      </vt:variant>
      <vt:variant>
        <vt:lpwstr/>
      </vt:variant>
      <vt:variant>
        <vt:i4>3997757</vt:i4>
      </vt:variant>
      <vt:variant>
        <vt:i4>477</vt:i4>
      </vt:variant>
      <vt:variant>
        <vt:i4>0</vt:i4>
      </vt:variant>
      <vt:variant>
        <vt:i4>5</vt:i4>
      </vt:variant>
      <vt:variant>
        <vt:lpwstr>http://www.supremecourt.ohio.gov/rod/docs/pdf/0/2009/2009-Ohio-1901.pdf</vt:lpwstr>
      </vt:variant>
      <vt:variant>
        <vt:lpwstr/>
      </vt:variant>
      <vt:variant>
        <vt:i4>3342396</vt:i4>
      </vt:variant>
      <vt:variant>
        <vt:i4>474</vt:i4>
      </vt:variant>
      <vt:variant>
        <vt:i4>0</vt:i4>
      </vt:variant>
      <vt:variant>
        <vt:i4>5</vt:i4>
      </vt:variant>
      <vt:variant>
        <vt:lpwstr>http://www.supremecourt.ohio.gov/rod/docs/pdf/0/2002/2002-Ohio-5311.pdf</vt:lpwstr>
      </vt:variant>
      <vt:variant>
        <vt:lpwstr/>
      </vt:variant>
      <vt:variant>
        <vt:i4>3342396</vt:i4>
      </vt:variant>
      <vt:variant>
        <vt:i4>471</vt:i4>
      </vt:variant>
      <vt:variant>
        <vt:i4>0</vt:i4>
      </vt:variant>
      <vt:variant>
        <vt:i4>5</vt:i4>
      </vt:variant>
      <vt:variant>
        <vt:lpwstr>http://www.supremecourt.ohio.gov/rod/docs/pdf/0/2006/2006-Ohio-6365.pdf</vt:lpwstr>
      </vt:variant>
      <vt:variant>
        <vt:lpwstr/>
      </vt:variant>
      <vt:variant>
        <vt:i4>3211323</vt:i4>
      </vt:variant>
      <vt:variant>
        <vt:i4>468</vt:i4>
      </vt:variant>
      <vt:variant>
        <vt:i4>0</vt:i4>
      </vt:variant>
      <vt:variant>
        <vt:i4>5</vt:i4>
      </vt:variant>
      <vt:variant>
        <vt:lpwstr>http://www.supremecourt.ohio.gov/rod/docs/pdf/0/2008/2008-Ohio-4788.pdf</vt:lpwstr>
      </vt:variant>
      <vt:variant>
        <vt:lpwstr/>
      </vt:variant>
      <vt:variant>
        <vt:i4>3801151</vt:i4>
      </vt:variant>
      <vt:variant>
        <vt:i4>465</vt:i4>
      </vt:variant>
      <vt:variant>
        <vt:i4>0</vt:i4>
      </vt:variant>
      <vt:variant>
        <vt:i4>5</vt:i4>
      </vt:variant>
      <vt:variant>
        <vt:lpwstr>http://www.supremecourt.ohio.gov/rod/docs/pdf/5/2009/2009-Ohio-4827.pdf</vt:lpwstr>
      </vt:variant>
      <vt:variant>
        <vt:lpwstr/>
      </vt:variant>
      <vt:variant>
        <vt:i4>6684733</vt:i4>
      </vt:variant>
      <vt:variant>
        <vt:i4>462</vt:i4>
      </vt:variant>
      <vt:variant>
        <vt:i4>0</vt:i4>
      </vt:variant>
      <vt:variant>
        <vt:i4>5</vt:i4>
      </vt:variant>
      <vt:variant>
        <vt:lpwstr>http://www.supremecourt.ohio.gov/rod/docs/pdf/0/1999/1999-Ohio-114.pdf</vt:lpwstr>
      </vt:variant>
      <vt:variant>
        <vt:lpwstr/>
      </vt:variant>
      <vt:variant>
        <vt:i4>3801143</vt:i4>
      </vt:variant>
      <vt:variant>
        <vt:i4>459</vt:i4>
      </vt:variant>
      <vt:variant>
        <vt:i4>0</vt:i4>
      </vt:variant>
      <vt:variant>
        <vt:i4>5</vt:i4>
      </vt:variant>
      <vt:variant>
        <vt:lpwstr>http://www.supremecourt.ohio.gov/rod/docs/pdf/0/2018/2018-Ohio-5133.pdf</vt:lpwstr>
      </vt:variant>
      <vt:variant>
        <vt:lpwstr/>
      </vt:variant>
      <vt:variant>
        <vt:i4>7143477</vt:i4>
      </vt:variant>
      <vt:variant>
        <vt:i4>456</vt:i4>
      </vt:variant>
      <vt:variant>
        <vt:i4>0</vt:i4>
      </vt:variant>
      <vt:variant>
        <vt:i4>5</vt:i4>
      </vt:variant>
      <vt:variant>
        <vt:lpwstr>http://www.supremecourt.ohio.gov/rod/docs/pdf/0/2014/2014-Ohio-869.pdf</vt:lpwstr>
      </vt:variant>
      <vt:variant>
        <vt:lpwstr/>
      </vt:variant>
      <vt:variant>
        <vt:i4>3211317</vt:i4>
      </vt:variant>
      <vt:variant>
        <vt:i4>453</vt:i4>
      </vt:variant>
      <vt:variant>
        <vt:i4>0</vt:i4>
      </vt:variant>
      <vt:variant>
        <vt:i4>5</vt:i4>
      </vt:variant>
      <vt:variant>
        <vt:lpwstr>http://www.supremecourt.ohio.gov/rod/docs/pdf/0/2012/2012-Ohio-1862.pdf</vt:lpwstr>
      </vt:variant>
      <vt:variant>
        <vt:lpwstr/>
      </vt:variant>
      <vt:variant>
        <vt:i4>7143474</vt:i4>
      </vt:variant>
      <vt:variant>
        <vt:i4>450</vt:i4>
      </vt:variant>
      <vt:variant>
        <vt:i4>0</vt:i4>
      </vt:variant>
      <vt:variant>
        <vt:i4>5</vt:i4>
      </vt:variant>
      <vt:variant>
        <vt:lpwstr>http://www.supremecourt.ohio.gov/rod/docs/pdf/0/2013/2013-Ohio-761.pdf</vt:lpwstr>
      </vt:variant>
      <vt:variant>
        <vt:lpwstr/>
      </vt:variant>
      <vt:variant>
        <vt:i4>7274551</vt:i4>
      </vt:variant>
      <vt:variant>
        <vt:i4>447</vt:i4>
      </vt:variant>
      <vt:variant>
        <vt:i4>0</vt:i4>
      </vt:variant>
      <vt:variant>
        <vt:i4>5</vt:i4>
      </vt:variant>
      <vt:variant>
        <vt:lpwstr>http://www.supremecourt.ohio.gov/rod/docs/pdf/0/2000/2000-Ohio-214.pdf</vt:lpwstr>
      </vt:variant>
      <vt:variant>
        <vt:lpwstr/>
      </vt:variant>
      <vt:variant>
        <vt:i4>6357041</vt:i4>
      </vt:variant>
      <vt:variant>
        <vt:i4>444</vt:i4>
      </vt:variant>
      <vt:variant>
        <vt:i4>0</vt:i4>
      </vt:variant>
      <vt:variant>
        <vt:i4>5</vt:i4>
      </vt:variant>
      <vt:variant>
        <vt:lpwstr>http://www.supremecourt.ohio.gov/rod/docs/pdf/0/2007/2007-Ohio-609.pdf</vt:lpwstr>
      </vt:variant>
      <vt:variant>
        <vt:lpwstr/>
      </vt:variant>
      <vt:variant>
        <vt:i4>3145788</vt:i4>
      </vt:variant>
      <vt:variant>
        <vt:i4>441</vt:i4>
      </vt:variant>
      <vt:variant>
        <vt:i4>0</vt:i4>
      </vt:variant>
      <vt:variant>
        <vt:i4>5</vt:i4>
      </vt:variant>
      <vt:variant>
        <vt:lpwstr>http://www.supremecourt.ohio.gov/rod/docs/pdf/0/2011/2011-Ohio-2878.pdf</vt:lpwstr>
      </vt:variant>
      <vt:variant>
        <vt:lpwstr/>
      </vt:variant>
      <vt:variant>
        <vt:i4>3539003</vt:i4>
      </vt:variant>
      <vt:variant>
        <vt:i4>438</vt:i4>
      </vt:variant>
      <vt:variant>
        <vt:i4>0</vt:i4>
      </vt:variant>
      <vt:variant>
        <vt:i4>5</vt:i4>
      </vt:variant>
      <vt:variant>
        <vt:lpwstr>http://www.supremecourt.ohio.gov/rod/docs/pdf/0/2012/2012-Ohio-4246.pdf</vt:lpwstr>
      </vt:variant>
      <vt:variant>
        <vt:lpwstr/>
      </vt:variant>
      <vt:variant>
        <vt:i4>3866682</vt:i4>
      </vt:variant>
      <vt:variant>
        <vt:i4>435</vt:i4>
      </vt:variant>
      <vt:variant>
        <vt:i4>0</vt:i4>
      </vt:variant>
      <vt:variant>
        <vt:i4>5</vt:i4>
      </vt:variant>
      <vt:variant>
        <vt:lpwstr>http://www.supremecourt.ohio.gov/rod/docs/pdf/8/2018/2018-Ohio-5027.pdf</vt:lpwstr>
      </vt:variant>
      <vt:variant>
        <vt:lpwstr/>
      </vt:variant>
      <vt:variant>
        <vt:i4>6094854</vt:i4>
      </vt:variant>
      <vt:variant>
        <vt:i4>432</vt:i4>
      </vt:variant>
      <vt:variant>
        <vt:i4>0</vt:i4>
      </vt:variant>
      <vt:variant>
        <vt:i4>5</vt:i4>
      </vt:variant>
      <vt:variant>
        <vt:lpwstr>http://www.supremecourt.ohio.gov/rod/docs/pdf/10/2011/2011-Ohio-6560.pdf</vt:lpwstr>
      </vt:variant>
      <vt:variant>
        <vt:lpwstr/>
      </vt:variant>
      <vt:variant>
        <vt:i4>6291512</vt:i4>
      </vt:variant>
      <vt:variant>
        <vt:i4>429</vt:i4>
      </vt:variant>
      <vt:variant>
        <vt:i4>0</vt:i4>
      </vt:variant>
      <vt:variant>
        <vt:i4>5</vt:i4>
      </vt:variant>
      <vt:variant>
        <vt:lpwstr>http://www.supremecourt.ohio.gov/rod/docs/pdf/0/1999/1999-Ohio-447.pdf</vt:lpwstr>
      </vt:variant>
      <vt:variant>
        <vt:lpwstr/>
      </vt:variant>
      <vt:variant>
        <vt:i4>3473464</vt:i4>
      </vt:variant>
      <vt:variant>
        <vt:i4>426</vt:i4>
      </vt:variant>
      <vt:variant>
        <vt:i4>0</vt:i4>
      </vt:variant>
      <vt:variant>
        <vt:i4>5</vt:i4>
      </vt:variant>
      <vt:variant>
        <vt:lpwstr>http://www.supremecourt.ohio.gov/rod/docs/pdf/0/2015/2015-Ohio-2363.pdf</vt:lpwstr>
      </vt:variant>
      <vt:variant>
        <vt:lpwstr/>
      </vt:variant>
      <vt:variant>
        <vt:i4>6225932</vt:i4>
      </vt:variant>
      <vt:variant>
        <vt:i4>423</vt:i4>
      </vt:variant>
      <vt:variant>
        <vt:i4>0</vt:i4>
      </vt:variant>
      <vt:variant>
        <vt:i4>5</vt:i4>
      </vt:variant>
      <vt:variant>
        <vt:lpwstr>http://www.supremecourt.ohio.gov/rod/docs/pdf/13/2018/2018-Ohio-2914.pdf</vt:lpwstr>
      </vt:variant>
      <vt:variant>
        <vt:lpwstr/>
      </vt:variant>
      <vt:variant>
        <vt:i4>6160396</vt:i4>
      </vt:variant>
      <vt:variant>
        <vt:i4>420</vt:i4>
      </vt:variant>
      <vt:variant>
        <vt:i4>0</vt:i4>
      </vt:variant>
      <vt:variant>
        <vt:i4>5</vt:i4>
      </vt:variant>
      <vt:variant>
        <vt:lpwstr>http://www.supremecourt.ohio.gov/rod/docs/pdf/10/2010/2010-Ohio-3384.pdf</vt:lpwstr>
      </vt:variant>
      <vt:variant>
        <vt:lpwstr/>
      </vt:variant>
      <vt:variant>
        <vt:i4>7209012</vt:i4>
      </vt:variant>
      <vt:variant>
        <vt:i4>417</vt:i4>
      </vt:variant>
      <vt:variant>
        <vt:i4>0</vt:i4>
      </vt:variant>
      <vt:variant>
        <vt:i4>5</vt:i4>
      </vt:variant>
      <vt:variant>
        <vt:lpwstr>http://www.supremecourt.ohio.gov/rod/docs/pdf/0/2012/2012-Ohio-115.pdf</vt:lpwstr>
      </vt:variant>
      <vt:variant>
        <vt:lpwstr/>
      </vt:variant>
      <vt:variant>
        <vt:i4>3538999</vt:i4>
      </vt:variant>
      <vt:variant>
        <vt:i4>414</vt:i4>
      </vt:variant>
      <vt:variant>
        <vt:i4>0</vt:i4>
      </vt:variant>
      <vt:variant>
        <vt:i4>5</vt:i4>
      </vt:variant>
      <vt:variant>
        <vt:lpwstr>http://www.supremecourt.ohio.gov/rod/docs/pdf/8/2010/2010-Ohio-3416.pdf</vt:lpwstr>
      </vt:variant>
      <vt:variant>
        <vt:lpwstr/>
      </vt:variant>
      <vt:variant>
        <vt:i4>3473470</vt:i4>
      </vt:variant>
      <vt:variant>
        <vt:i4>411</vt:i4>
      </vt:variant>
      <vt:variant>
        <vt:i4>0</vt:i4>
      </vt:variant>
      <vt:variant>
        <vt:i4>5</vt:i4>
      </vt:variant>
      <vt:variant>
        <vt:lpwstr>http://www.supremecourt.ohio.gov/rod/docs/pdf/6/2010/2010-Ohio-4055.pdf</vt:lpwstr>
      </vt:variant>
      <vt:variant>
        <vt:lpwstr/>
      </vt:variant>
      <vt:variant>
        <vt:i4>3670073</vt:i4>
      </vt:variant>
      <vt:variant>
        <vt:i4>408</vt:i4>
      </vt:variant>
      <vt:variant>
        <vt:i4>0</vt:i4>
      </vt:variant>
      <vt:variant>
        <vt:i4>5</vt:i4>
      </vt:variant>
      <vt:variant>
        <vt:lpwstr>http://www.supremecourt.ohio.gov/rod/docs/pdf/8/2018/2018-Ohio-1753.pdf</vt:lpwstr>
      </vt:variant>
      <vt:variant>
        <vt:lpwstr/>
      </vt:variant>
      <vt:variant>
        <vt:i4>458767</vt:i4>
      </vt:variant>
      <vt:variant>
        <vt:i4>405</vt:i4>
      </vt:variant>
      <vt:variant>
        <vt:i4>0</vt:i4>
      </vt:variant>
      <vt:variant>
        <vt:i4>5</vt:i4>
      </vt:variant>
      <vt:variant>
        <vt:lpwstr>http://www.supremecourt.ohio.gov/rod/docs/pdf/0/1993/1993-Ohio-23.pdf</vt:lpwstr>
      </vt:variant>
      <vt:variant>
        <vt:lpwstr/>
      </vt:variant>
      <vt:variant>
        <vt:i4>3276863</vt:i4>
      </vt:variant>
      <vt:variant>
        <vt:i4>402</vt:i4>
      </vt:variant>
      <vt:variant>
        <vt:i4>0</vt:i4>
      </vt:variant>
      <vt:variant>
        <vt:i4>5</vt:i4>
      </vt:variant>
      <vt:variant>
        <vt:lpwstr>http://www.supremecourt.ohio.gov/rod/docs/pdf/8/2003/2003-Ohio-1159.pdf</vt:lpwstr>
      </vt:variant>
      <vt:variant>
        <vt:lpwstr/>
      </vt:variant>
      <vt:variant>
        <vt:i4>3670068</vt:i4>
      </vt:variant>
      <vt:variant>
        <vt:i4>399</vt:i4>
      </vt:variant>
      <vt:variant>
        <vt:i4>0</vt:i4>
      </vt:variant>
      <vt:variant>
        <vt:i4>5</vt:i4>
      </vt:variant>
      <vt:variant>
        <vt:lpwstr>http://www.supremecourt.ohio.gov/rod/docs/pdf/0/2018/2018-Ohio-5110.pdf</vt:lpwstr>
      </vt:variant>
      <vt:variant>
        <vt:lpwstr/>
      </vt:variant>
      <vt:variant>
        <vt:i4>3539004</vt:i4>
      </vt:variant>
      <vt:variant>
        <vt:i4>396</vt:i4>
      </vt:variant>
      <vt:variant>
        <vt:i4>0</vt:i4>
      </vt:variant>
      <vt:variant>
        <vt:i4>5</vt:i4>
      </vt:variant>
      <vt:variant>
        <vt:lpwstr>http://www.supremecourt.ohio.gov/rod/docs/pdf/11/2010/2010-Ohio-829.pdf</vt:lpwstr>
      </vt:variant>
      <vt:variant>
        <vt:lpwstr/>
      </vt:variant>
      <vt:variant>
        <vt:i4>6291512</vt:i4>
      </vt:variant>
      <vt:variant>
        <vt:i4>393</vt:i4>
      </vt:variant>
      <vt:variant>
        <vt:i4>0</vt:i4>
      </vt:variant>
      <vt:variant>
        <vt:i4>5</vt:i4>
      </vt:variant>
      <vt:variant>
        <vt:lpwstr>http://www.supremecourt.ohio.gov/rod/docs/pdf/0/1999/1999-Ohio-447.pdf</vt:lpwstr>
      </vt:variant>
      <vt:variant>
        <vt:lpwstr/>
      </vt:variant>
      <vt:variant>
        <vt:i4>6684733</vt:i4>
      </vt:variant>
      <vt:variant>
        <vt:i4>390</vt:i4>
      </vt:variant>
      <vt:variant>
        <vt:i4>0</vt:i4>
      </vt:variant>
      <vt:variant>
        <vt:i4>5</vt:i4>
      </vt:variant>
      <vt:variant>
        <vt:lpwstr>http://www.supremecourt.ohio.gov/rod/docs/pdf/0/1999/1999-Ohio-114.pdf</vt:lpwstr>
      </vt:variant>
      <vt:variant>
        <vt:lpwstr/>
      </vt:variant>
      <vt:variant>
        <vt:i4>4063285</vt:i4>
      </vt:variant>
      <vt:variant>
        <vt:i4>387</vt:i4>
      </vt:variant>
      <vt:variant>
        <vt:i4>0</vt:i4>
      </vt:variant>
      <vt:variant>
        <vt:i4>5</vt:i4>
      </vt:variant>
      <vt:variant>
        <vt:lpwstr>http://www.supremecourt.ohio.gov/rod/docs/pdf/0/2008/2008-Ohio-6253.pdf</vt:lpwstr>
      </vt:variant>
      <vt:variant>
        <vt:lpwstr/>
      </vt:variant>
      <vt:variant>
        <vt:i4>7143474</vt:i4>
      </vt:variant>
      <vt:variant>
        <vt:i4>384</vt:i4>
      </vt:variant>
      <vt:variant>
        <vt:i4>0</vt:i4>
      </vt:variant>
      <vt:variant>
        <vt:i4>5</vt:i4>
      </vt:variant>
      <vt:variant>
        <vt:lpwstr>http://www.supremecourt.ohio.gov/rod/docs/pdf/0/2013/2013-Ohio-761.pdf</vt:lpwstr>
      </vt:variant>
      <vt:variant>
        <vt:lpwstr/>
      </vt:variant>
      <vt:variant>
        <vt:i4>6422585</vt:i4>
      </vt:variant>
      <vt:variant>
        <vt:i4>381</vt:i4>
      </vt:variant>
      <vt:variant>
        <vt:i4>0</vt:i4>
      </vt:variant>
      <vt:variant>
        <vt:i4>5</vt:i4>
      </vt:variant>
      <vt:variant>
        <vt:lpwstr>http://www.supremecourt.ohio.gov/rod/docs/pdf/0/1998/1998-Ohio-242.pdf</vt:lpwstr>
      </vt:variant>
      <vt:variant>
        <vt:lpwstr/>
      </vt:variant>
      <vt:variant>
        <vt:i4>6422587</vt:i4>
      </vt:variant>
      <vt:variant>
        <vt:i4>378</vt:i4>
      </vt:variant>
      <vt:variant>
        <vt:i4>0</vt:i4>
      </vt:variant>
      <vt:variant>
        <vt:i4>5</vt:i4>
      </vt:variant>
      <vt:variant>
        <vt:lpwstr>http://www.supremecourt.ohio.gov/rod/docs/pdf/0/1999/1999-Ohio-475.pdf</vt:lpwstr>
      </vt:variant>
      <vt:variant>
        <vt:lpwstr/>
      </vt:variant>
      <vt:variant>
        <vt:i4>6291512</vt:i4>
      </vt:variant>
      <vt:variant>
        <vt:i4>375</vt:i4>
      </vt:variant>
      <vt:variant>
        <vt:i4>0</vt:i4>
      </vt:variant>
      <vt:variant>
        <vt:i4>5</vt:i4>
      </vt:variant>
      <vt:variant>
        <vt:lpwstr>http://www.supremecourt.ohio.gov/rod/docs/pdf/0/1999/1999-Ohio-447.pdf</vt:lpwstr>
      </vt:variant>
      <vt:variant>
        <vt:lpwstr/>
      </vt:variant>
      <vt:variant>
        <vt:i4>4128831</vt:i4>
      </vt:variant>
      <vt:variant>
        <vt:i4>372</vt:i4>
      </vt:variant>
      <vt:variant>
        <vt:i4>0</vt:i4>
      </vt:variant>
      <vt:variant>
        <vt:i4>5</vt:i4>
      </vt:variant>
      <vt:variant>
        <vt:lpwstr>http://www.supremecourt.ohio.gov/rod/docs/pdf/0/2011/2011-Ohio-3093.pdf</vt:lpwstr>
      </vt:variant>
      <vt:variant>
        <vt:lpwstr/>
      </vt:variant>
      <vt:variant>
        <vt:i4>3473464</vt:i4>
      </vt:variant>
      <vt:variant>
        <vt:i4>369</vt:i4>
      </vt:variant>
      <vt:variant>
        <vt:i4>0</vt:i4>
      </vt:variant>
      <vt:variant>
        <vt:i4>5</vt:i4>
      </vt:variant>
      <vt:variant>
        <vt:lpwstr>http://www.supremecourt.ohio.gov/rod/docs/pdf/0/2015/2015-Ohio-2363.pdf</vt:lpwstr>
      </vt:variant>
      <vt:variant>
        <vt:lpwstr/>
      </vt:variant>
      <vt:variant>
        <vt:i4>3276863</vt:i4>
      </vt:variant>
      <vt:variant>
        <vt:i4>366</vt:i4>
      </vt:variant>
      <vt:variant>
        <vt:i4>0</vt:i4>
      </vt:variant>
      <vt:variant>
        <vt:i4>5</vt:i4>
      </vt:variant>
      <vt:variant>
        <vt:lpwstr>http://www.supremecourt.ohio.gov/rod/docs/pdf/8/2003/2003-Ohio-1159.pdf</vt:lpwstr>
      </vt:variant>
      <vt:variant>
        <vt:lpwstr/>
      </vt:variant>
      <vt:variant>
        <vt:i4>3276854</vt:i4>
      </vt:variant>
      <vt:variant>
        <vt:i4>363</vt:i4>
      </vt:variant>
      <vt:variant>
        <vt:i4>0</vt:i4>
      </vt:variant>
      <vt:variant>
        <vt:i4>5</vt:i4>
      </vt:variant>
      <vt:variant>
        <vt:lpwstr>http://www.supremecourt.ohio.gov/rod/docs/pdf/0/2006/2006-Ohio-4854.pdf</vt:lpwstr>
      </vt:variant>
      <vt:variant>
        <vt:lpwstr/>
      </vt:variant>
      <vt:variant>
        <vt:i4>5832711</vt:i4>
      </vt:variant>
      <vt:variant>
        <vt:i4>360</vt:i4>
      </vt:variant>
      <vt:variant>
        <vt:i4>0</vt:i4>
      </vt:variant>
      <vt:variant>
        <vt:i4>5</vt:i4>
      </vt:variant>
      <vt:variant>
        <vt:lpwstr>http://www.supremecourt.ohio.gov/rod/docs/pdf/10/2005/2005-Ohio-3377.pdf</vt:lpwstr>
      </vt:variant>
      <vt:variant>
        <vt:lpwstr/>
      </vt:variant>
      <vt:variant>
        <vt:i4>3211320</vt:i4>
      </vt:variant>
      <vt:variant>
        <vt:i4>357</vt:i4>
      </vt:variant>
      <vt:variant>
        <vt:i4>0</vt:i4>
      </vt:variant>
      <vt:variant>
        <vt:i4>5</vt:i4>
      </vt:variant>
      <vt:variant>
        <vt:lpwstr>http://www.supremecourt.ohio.gov/rod/docs/pdf/0/2010/2010-Ohio-3267.pdf</vt:lpwstr>
      </vt:variant>
      <vt:variant>
        <vt:lpwstr/>
      </vt:variant>
      <vt:variant>
        <vt:i4>3145781</vt:i4>
      </vt:variant>
      <vt:variant>
        <vt:i4>354</vt:i4>
      </vt:variant>
      <vt:variant>
        <vt:i4>0</vt:i4>
      </vt:variant>
      <vt:variant>
        <vt:i4>5</vt:i4>
      </vt:variant>
      <vt:variant>
        <vt:lpwstr>http://www.supremecourt.ohio.gov/rod/docs/pdf/0/2012/2012-Ohio-4228.pdf</vt:lpwstr>
      </vt:variant>
      <vt:variant>
        <vt:lpwstr/>
      </vt:variant>
      <vt:variant>
        <vt:i4>5308422</vt:i4>
      </vt:variant>
      <vt:variant>
        <vt:i4>351</vt:i4>
      </vt:variant>
      <vt:variant>
        <vt:i4>0</vt:i4>
      </vt:variant>
      <vt:variant>
        <vt:i4>5</vt:i4>
      </vt:variant>
      <vt:variant>
        <vt:lpwstr>http://www.supremecourt.ohio.gov/rod/docs/pdf/0/2000/2000-Ohio-8.pdf</vt:lpwstr>
      </vt:variant>
      <vt:variant>
        <vt:lpwstr/>
      </vt:variant>
      <vt:variant>
        <vt:i4>4063285</vt:i4>
      </vt:variant>
      <vt:variant>
        <vt:i4>348</vt:i4>
      </vt:variant>
      <vt:variant>
        <vt:i4>0</vt:i4>
      </vt:variant>
      <vt:variant>
        <vt:i4>5</vt:i4>
      </vt:variant>
      <vt:variant>
        <vt:lpwstr>http://www.supremecourt.ohio.gov/rod/docs/pdf/0/2008/2008-Ohio-6253.pdf</vt:lpwstr>
      </vt:variant>
      <vt:variant>
        <vt:lpwstr/>
      </vt:variant>
      <vt:variant>
        <vt:i4>3145791</vt:i4>
      </vt:variant>
      <vt:variant>
        <vt:i4>345</vt:i4>
      </vt:variant>
      <vt:variant>
        <vt:i4>0</vt:i4>
      </vt:variant>
      <vt:variant>
        <vt:i4>5</vt:i4>
      </vt:variant>
      <vt:variant>
        <vt:lpwstr>http://www.supremecourt.ohio.gov/rod/docs/pdf/0/2011/2011-Ohio-5605.pdf</vt:lpwstr>
      </vt:variant>
      <vt:variant>
        <vt:lpwstr/>
      </vt:variant>
      <vt:variant>
        <vt:i4>5767172</vt:i4>
      </vt:variant>
      <vt:variant>
        <vt:i4>342</vt:i4>
      </vt:variant>
      <vt:variant>
        <vt:i4>0</vt:i4>
      </vt:variant>
      <vt:variant>
        <vt:i4>5</vt:i4>
      </vt:variant>
      <vt:variant>
        <vt:lpwstr>http://www.supremecourt.ohio.gov/rod/docs/pdf/10/2011/2011-Ohio-2808.pdf</vt:lpwstr>
      </vt:variant>
      <vt:variant>
        <vt:lpwstr/>
      </vt:variant>
      <vt:variant>
        <vt:i4>3997759</vt:i4>
      </vt:variant>
      <vt:variant>
        <vt:i4>339</vt:i4>
      </vt:variant>
      <vt:variant>
        <vt:i4>0</vt:i4>
      </vt:variant>
      <vt:variant>
        <vt:i4>5</vt:i4>
      </vt:variant>
      <vt:variant>
        <vt:lpwstr>http://www.supremecourt.ohio.gov/rod/docs/pdf/9/2009/2009-Ohio-3526.pdf</vt:lpwstr>
      </vt:variant>
      <vt:variant>
        <vt:lpwstr/>
      </vt:variant>
      <vt:variant>
        <vt:i4>3276861</vt:i4>
      </vt:variant>
      <vt:variant>
        <vt:i4>336</vt:i4>
      </vt:variant>
      <vt:variant>
        <vt:i4>0</vt:i4>
      </vt:variant>
      <vt:variant>
        <vt:i4>5</vt:i4>
      </vt:variant>
      <vt:variant>
        <vt:lpwstr>http://www.supremecourt.ohio.gov/rod/docs/pdf/0/2003/2003-Ohio-2260.pdf</vt:lpwstr>
      </vt:variant>
      <vt:variant>
        <vt:lpwstr/>
      </vt:variant>
      <vt:variant>
        <vt:i4>4063285</vt:i4>
      </vt:variant>
      <vt:variant>
        <vt:i4>333</vt:i4>
      </vt:variant>
      <vt:variant>
        <vt:i4>0</vt:i4>
      </vt:variant>
      <vt:variant>
        <vt:i4>5</vt:i4>
      </vt:variant>
      <vt:variant>
        <vt:lpwstr>http://www.supremecourt.ohio.gov/rod/docs/pdf/0/2008/2008-Ohio-6253.pdf</vt:lpwstr>
      </vt:variant>
      <vt:variant>
        <vt:lpwstr/>
      </vt:variant>
      <vt:variant>
        <vt:i4>3145777</vt:i4>
      </vt:variant>
      <vt:variant>
        <vt:i4>330</vt:i4>
      </vt:variant>
      <vt:variant>
        <vt:i4>0</vt:i4>
      </vt:variant>
      <vt:variant>
        <vt:i4>5</vt:i4>
      </vt:variant>
      <vt:variant>
        <vt:lpwstr>http://www.supremecourt.ohio.gov/rod/docs/pdf/8/2014/2014-Ohio-5555.pdf</vt:lpwstr>
      </vt:variant>
      <vt:variant>
        <vt:lpwstr/>
      </vt:variant>
      <vt:variant>
        <vt:i4>3145788</vt:i4>
      </vt:variant>
      <vt:variant>
        <vt:i4>327</vt:i4>
      </vt:variant>
      <vt:variant>
        <vt:i4>0</vt:i4>
      </vt:variant>
      <vt:variant>
        <vt:i4>5</vt:i4>
      </vt:variant>
      <vt:variant>
        <vt:lpwstr>http://www.supremecourt.ohio.gov/rod/docs/pdf/0/2011/2011-Ohio-2878.pdf</vt:lpwstr>
      </vt:variant>
      <vt:variant>
        <vt:lpwstr/>
      </vt:variant>
      <vt:variant>
        <vt:i4>7143474</vt:i4>
      </vt:variant>
      <vt:variant>
        <vt:i4>324</vt:i4>
      </vt:variant>
      <vt:variant>
        <vt:i4>0</vt:i4>
      </vt:variant>
      <vt:variant>
        <vt:i4>5</vt:i4>
      </vt:variant>
      <vt:variant>
        <vt:lpwstr>http://www.supremecourt.ohio.gov/rod/docs/pdf/0/2013/2013-Ohio-761.pdf</vt:lpwstr>
      </vt:variant>
      <vt:variant>
        <vt:lpwstr/>
      </vt:variant>
      <vt:variant>
        <vt:i4>4063288</vt:i4>
      </vt:variant>
      <vt:variant>
        <vt:i4>321</vt:i4>
      </vt:variant>
      <vt:variant>
        <vt:i4>0</vt:i4>
      </vt:variant>
      <vt:variant>
        <vt:i4>5</vt:i4>
      </vt:variant>
      <vt:variant>
        <vt:lpwstr>http://www.supremecourt.ohio.gov/rod/docs/pdf/8/2010/2010-Ohio-2489.pdf</vt:lpwstr>
      </vt:variant>
      <vt:variant>
        <vt:lpwstr/>
      </vt:variant>
      <vt:variant>
        <vt:i4>6422585</vt:i4>
      </vt:variant>
      <vt:variant>
        <vt:i4>318</vt:i4>
      </vt:variant>
      <vt:variant>
        <vt:i4>0</vt:i4>
      </vt:variant>
      <vt:variant>
        <vt:i4>5</vt:i4>
      </vt:variant>
      <vt:variant>
        <vt:lpwstr>http://www.supremecourt.ohio.gov/rod/docs/pdf/0/1998/1998-Ohio-242.pdf</vt:lpwstr>
      </vt:variant>
      <vt:variant>
        <vt:lpwstr/>
      </vt:variant>
      <vt:variant>
        <vt:i4>6422585</vt:i4>
      </vt:variant>
      <vt:variant>
        <vt:i4>315</vt:i4>
      </vt:variant>
      <vt:variant>
        <vt:i4>0</vt:i4>
      </vt:variant>
      <vt:variant>
        <vt:i4>5</vt:i4>
      </vt:variant>
      <vt:variant>
        <vt:lpwstr>http://www.supremecourt.ohio.gov/rod/docs/pdf/0/1998/1998-Ohio-242.pdf</vt:lpwstr>
      </vt:variant>
      <vt:variant>
        <vt:lpwstr/>
      </vt:variant>
      <vt:variant>
        <vt:i4>6291512</vt:i4>
      </vt:variant>
      <vt:variant>
        <vt:i4>312</vt:i4>
      </vt:variant>
      <vt:variant>
        <vt:i4>0</vt:i4>
      </vt:variant>
      <vt:variant>
        <vt:i4>5</vt:i4>
      </vt:variant>
      <vt:variant>
        <vt:lpwstr>http://www.supremecourt.ohio.gov/rod/docs/pdf/0/1999/1999-Ohio-447.pdf</vt:lpwstr>
      </vt:variant>
      <vt:variant>
        <vt:lpwstr/>
      </vt:variant>
      <vt:variant>
        <vt:i4>6946866</vt:i4>
      </vt:variant>
      <vt:variant>
        <vt:i4>309</vt:i4>
      </vt:variant>
      <vt:variant>
        <vt:i4>0</vt:i4>
      </vt:variant>
      <vt:variant>
        <vt:i4>5</vt:i4>
      </vt:variant>
      <vt:variant>
        <vt:lpwstr>http://www.supremecourt.ohio.gov/rod/docs/pdf/0/2000/2000-Ohio-142.pdf</vt:lpwstr>
      </vt:variant>
      <vt:variant>
        <vt:lpwstr/>
      </vt:variant>
      <vt:variant>
        <vt:i4>6422585</vt:i4>
      </vt:variant>
      <vt:variant>
        <vt:i4>306</vt:i4>
      </vt:variant>
      <vt:variant>
        <vt:i4>0</vt:i4>
      </vt:variant>
      <vt:variant>
        <vt:i4>5</vt:i4>
      </vt:variant>
      <vt:variant>
        <vt:lpwstr>http://www.supremecourt.ohio.gov/rod/docs/pdf/0/1998/1998-Ohio-444.pdf</vt:lpwstr>
      </vt:variant>
      <vt:variant>
        <vt:lpwstr/>
      </vt:variant>
      <vt:variant>
        <vt:i4>3407935</vt:i4>
      </vt:variant>
      <vt:variant>
        <vt:i4>303</vt:i4>
      </vt:variant>
      <vt:variant>
        <vt:i4>0</vt:i4>
      </vt:variant>
      <vt:variant>
        <vt:i4>5</vt:i4>
      </vt:variant>
      <vt:variant>
        <vt:lpwstr>http://www.supremecourt.ohio.gov/rod/docs/pdf/0/2002/2002-Ohio-7041.pdf</vt:lpwstr>
      </vt:variant>
      <vt:variant>
        <vt:lpwstr/>
      </vt:variant>
      <vt:variant>
        <vt:i4>3539004</vt:i4>
      </vt:variant>
      <vt:variant>
        <vt:i4>300</vt:i4>
      </vt:variant>
      <vt:variant>
        <vt:i4>0</vt:i4>
      </vt:variant>
      <vt:variant>
        <vt:i4>5</vt:i4>
      </vt:variant>
      <vt:variant>
        <vt:lpwstr>http://www.supremecourt.ohio.gov/rod/docs/pdf/0/2006/2006-Ohio-1244.pdf</vt:lpwstr>
      </vt:variant>
      <vt:variant>
        <vt:lpwstr/>
      </vt:variant>
      <vt:variant>
        <vt:i4>3342395</vt:i4>
      </vt:variant>
      <vt:variant>
        <vt:i4>297</vt:i4>
      </vt:variant>
      <vt:variant>
        <vt:i4>0</vt:i4>
      </vt:variant>
      <vt:variant>
        <vt:i4>5</vt:i4>
      </vt:variant>
      <vt:variant>
        <vt:lpwstr>http://www.supremecourt.ohio.gov/rod/docs/pdf/4/2013/2013-Ohio-5415.pdf</vt:lpwstr>
      </vt:variant>
      <vt:variant>
        <vt:lpwstr/>
      </vt:variant>
      <vt:variant>
        <vt:i4>786441</vt:i4>
      </vt:variant>
      <vt:variant>
        <vt:i4>294</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3997748</vt:i4>
      </vt:variant>
      <vt:variant>
        <vt:i4>291</vt:i4>
      </vt:variant>
      <vt:variant>
        <vt:i4>0</vt:i4>
      </vt:variant>
      <vt:variant>
        <vt:i4>5</vt:i4>
      </vt:variant>
      <vt:variant>
        <vt:lpwstr>http://www.supremecourt.ohio.gov/rod/docs/pdf/0/2004/2004-Ohio-4884.pdf</vt:lpwstr>
      </vt:variant>
      <vt:variant>
        <vt:lpwstr/>
      </vt:variant>
      <vt:variant>
        <vt:i4>3145791</vt:i4>
      </vt:variant>
      <vt:variant>
        <vt:i4>288</vt:i4>
      </vt:variant>
      <vt:variant>
        <vt:i4>0</vt:i4>
      </vt:variant>
      <vt:variant>
        <vt:i4>5</vt:i4>
      </vt:variant>
      <vt:variant>
        <vt:lpwstr>http://www.supremecourt.ohio.gov/rod/docs/pdf/0/2011/2011-Ohio-5605.pdf</vt:lpwstr>
      </vt:variant>
      <vt:variant>
        <vt:lpwstr/>
      </vt:variant>
      <vt:variant>
        <vt:i4>5767172</vt:i4>
      </vt:variant>
      <vt:variant>
        <vt:i4>285</vt:i4>
      </vt:variant>
      <vt:variant>
        <vt:i4>0</vt:i4>
      </vt:variant>
      <vt:variant>
        <vt:i4>5</vt:i4>
      </vt:variant>
      <vt:variant>
        <vt:lpwstr>http://www.supremecourt.ohio.gov/rod/docs/pdf/10/2011/2011-Ohio-2808.pdf</vt:lpwstr>
      </vt:variant>
      <vt:variant>
        <vt:lpwstr/>
      </vt:variant>
      <vt:variant>
        <vt:i4>786441</vt:i4>
      </vt:variant>
      <vt:variant>
        <vt:i4>282</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3997748</vt:i4>
      </vt:variant>
      <vt:variant>
        <vt:i4>279</vt:i4>
      </vt:variant>
      <vt:variant>
        <vt:i4>0</vt:i4>
      </vt:variant>
      <vt:variant>
        <vt:i4>5</vt:i4>
      </vt:variant>
      <vt:variant>
        <vt:lpwstr>http://www.supremecourt.ohio.gov/rod/docs/pdf/0/2004/2004-Ohio-4884.pdf</vt:lpwstr>
      </vt:variant>
      <vt:variant>
        <vt:lpwstr/>
      </vt:variant>
      <vt:variant>
        <vt:i4>5701632</vt:i4>
      </vt:variant>
      <vt:variant>
        <vt:i4>276</vt:i4>
      </vt:variant>
      <vt:variant>
        <vt:i4>0</vt:i4>
      </vt:variant>
      <vt:variant>
        <vt:i4>5</vt:i4>
      </vt:variant>
      <vt:variant>
        <vt:lpwstr>http://www.supremecourt.ohio.gov/rod/docs/pdf/12/2015/2015-Ohio-2009.pdf</vt:lpwstr>
      </vt:variant>
      <vt:variant>
        <vt:lpwstr/>
      </vt:variant>
      <vt:variant>
        <vt:i4>3997748</vt:i4>
      </vt:variant>
      <vt:variant>
        <vt:i4>273</vt:i4>
      </vt:variant>
      <vt:variant>
        <vt:i4>0</vt:i4>
      </vt:variant>
      <vt:variant>
        <vt:i4>5</vt:i4>
      </vt:variant>
      <vt:variant>
        <vt:lpwstr>http://www.supremecourt.ohio.gov/rod/docs/pdf/0/2004/2004-Ohio-4884.pdf</vt:lpwstr>
      </vt:variant>
      <vt:variant>
        <vt:lpwstr/>
      </vt:variant>
      <vt:variant>
        <vt:i4>5767169</vt:i4>
      </vt:variant>
      <vt:variant>
        <vt:i4>270</vt:i4>
      </vt:variant>
      <vt:variant>
        <vt:i4>0</vt:i4>
      </vt:variant>
      <vt:variant>
        <vt:i4>5</vt:i4>
      </vt:variant>
      <vt:variant>
        <vt:lpwstr>http://www.supremecourt.ohio.gov/rod/docs/pdf/12/2012/2012-Ohio-3879.pdf</vt:lpwstr>
      </vt:variant>
      <vt:variant>
        <vt:lpwstr/>
      </vt:variant>
      <vt:variant>
        <vt:i4>5963776</vt:i4>
      </vt:variant>
      <vt:variant>
        <vt:i4>267</vt:i4>
      </vt:variant>
      <vt:variant>
        <vt:i4>0</vt:i4>
      </vt:variant>
      <vt:variant>
        <vt:i4>5</vt:i4>
      </vt:variant>
      <vt:variant>
        <vt:lpwstr>http://www.supremecourt.ohio.gov/rod/docs/pdf/10/2014/2014-Ohio-5660.pdf</vt:lpwstr>
      </vt:variant>
      <vt:variant>
        <vt:lpwstr/>
      </vt:variant>
      <vt:variant>
        <vt:i4>3997748</vt:i4>
      </vt:variant>
      <vt:variant>
        <vt:i4>264</vt:i4>
      </vt:variant>
      <vt:variant>
        <vt:i4>0</vt:i4>
      </vt:variant>
      <vt:variant>
        <vt:i4>5</vt:i4>
      </vt:variant>
      <vt:variant>
        <vt:lpwstr>http://www.supremecourt.ohio.gov/rod/docs/pdf/0/2004/2004-Ohio-4884.pdf</vt:lpwstr>
      </vt:variant>
      <vt:variant>
        <vt:lpwstr/>
      </vt:variant>
      <vt:variant>
        <vt:i4>3866682</vt:i4>
      </vt:variant>
      <vt:variant>
        <vt:i4>261</vt:i4>
      </vt:variant>
      <vt:variant>
        <vt:i4>0</vt:i4>
      </vt:variant>
      <vt:variant>
        <vt:i4>5</vt:i4>
      </vt:variant>
      <vt:variant>
        <vt:lpwstr>http://www.supremecourt.ohio.gov/rod/docs/pdf/8/2018/2018-Ohio-5027.pdf</vt:lpwstr>
      </vt:variant>
      <vt:variant>
        <vt:lpwstr/>
      </vt:variant>
      <vt:variant>
        <vt:i4>5767169</vt:i4>
      </vt:variant>
      <vt:variant>
        <vt:i4>258</vt:i4>
      </vt:variant>
      <vt:variant>
        <vt:i4>0</vt:i4>
      </vt:variant>
      <vt:variant>
        <vt:i4>5</vt:i4>
      </vt:variant>
      <vt:variant>
        <vt:lpwstr>http://www.supremecourt.ohio.gov/rod/docs/pdf/12/2012/2012-Ohio-3879.pdf</vt:lpwstr>
      </vt:variant>
      <vt:variant>
        <vt:lpwstr/>
      </vt:variant>
      <vt:variant>
        <vt:i4>3211323</vt:i4>
      </vt:variant>
      <vt:variant>
        <vt:i4>255</vt:i4>
      </vt:variant>
      <vt:variant>
        <vt:i4>0</vt:i4>
      </vt:variant>
      <vt:variant>
        <vt:i4>5</vt:i4>
      </vt:variant>
      <vt:variant>
        <vt:lpwstr>http://www.supremecourt.ohio.gov/rod/docs/pdf/0/2008/2008-Ohio-4788.pdf</vt:lpwstr>
      </vt:variant>
      <vt:variant>
        <vt:lpwstr/>
      </vt:variant>
      <vt:variant>
        <vt:i4>3211323</vt:i4>
      </vt:variant>
      <vt:variant>
        <vt:i4>252</vt:i4>
      </vt:variant>
      <vt:variant>
        <vt:i4>0</vt:i4>
      </vt:variant>
      <vt:variant>
        <vt:i4>5</vt:i4>
      </vt:variant>
      <vt:variant>
        <vt:lpwstr>http://www.supremecourt.ohio.gov/rod/docs/pdf/0/2008/2008-Ohio-4788.pdf</vt:lpwstr>
      </vt:variant>
      <vt:variant>
        <vt:lpwstr/>
      </vt:variant>
      <vt:variant>
        <vt:i4>6291508</vt:i4>
      </vt:variant>
      <vt:variant>
        <vt:i4>249</vt:i4>
      </vt:variant>
      <vt:variant>
        <vt:i4>0</vt:i4>
      </vt:variant>
      <vt:variant>
        <vt:i4>5</vt:i4>
      </vt:variant>
      <vt:variant>
        <vt:lpwstr>http://www.supremecourt.ohio.gov/rod/docs/pdf/0/1998/1998-Ohio-597.pdf</vt:lpwstr>
      </vt:variant>
      <vt:variant>
        <vt:lpwstr/>
      </vt:variant>
      <vt:variant>
        <vt:i4>3473458</vt:i4>
      </vt:variant>
      <vt:variant>
        <vt:i4>246</vt:i4>
      </vt:variant>
      <vt:variant>
        <vt:i4>0</vt:i4>
      </vt:variant>
      <vt:variant>
        <vt:i4>5</vt:i4>
      </vt:variant>
      <vt:variant>
        <vt:lpwstr>http://www.supremecourt.ohio.gov/rod/docs/pdf/4/2011/2011-Ohio-2228.pdf</vt:lpwstr>
      </vt:variant>
      <vt:variant>
        <vt:lpwstr/>
      </vt:variant>
      <vt:variant>
        <vt:i4>3145781</vt:i4>
      </vt:variant>
      <vt:variant>
        <vt:i4>243</vt:i4>
      </vt:variant>
      <vt:variant>
        <vt:i4>0</vt:i4>
      </vt:variant>
      <vt:variant>
        <vt:i4>5</vt:i4>
      </vt:variant>
      <vt:variant>
        <vt:lpwstr>http://www.supremecourt.ohio.gov/rod/docs/pdf/0/2012/2012-Ohio-4228.pdf</vt:lpwstr>
      </vt:variant>
      <vt:variant>
        <vt:lpwstr/>
      </vt:variant>
      <vt:variant>
        <vt:i4>4063285</vt:i4>
      </vt:variant>
      <vt:variant>
        <vt:i4>240</vt:i4>
      </vt:variant>
      <vt:variant>
        <vt:i4>0</vt:i4>
      </vt:variant>
      <vt:variant>
        <vt:i4>5</vt:i4>
      </vt:variant>
      <vt:variant>
        <vt:lpwstr>http://www.supremecourt.ohio.gov/rod/docs/pdf/0/2008/2008-Ohio-6253.pdf</vt:lpwstr>
      </vt:variant>
      <vt:variant>
        <vt:lpwstr/>
      </vt:variant>
      <vt:variant>
        <vt:i4>3473458</vt:i4>
      </vt:variant>
      <vt:variant>
        <vt:i4>237</vt:i4>
      </vt:variant>
      <vt:variant>
        <vt:i4>0</vt:i4>
      </vt:variant>
      <vt:variant>
        <vt:i4>5</vt:i4>
      </vt:variant>
      <vt:variant>
        <vt:lpwstr>http://www.supremecourt.ohio.gov/rod/docs/pdf/4/2011/2011-Ohio-2228.pdf</vt:lpwstr>
      </vt:variant>
      <vt:variant>
        <vt:lpwstr/>
      </vt:variant>
      <vt:variant>
        <vt:i4>3735611</vt:i4>
      </vt:variant>
      <vt:variant>
        <vt:i4>234</vt:i4>
      </vt:variant>
      <vt:variant>
        <vt:i4>0</vt:i4>
      </vt:variant>
      <vt:variant>
        <vt:i4>5</vt:i4>
      </vt:variant>
      <vt:variant>
        <vt:lpwstr>http://www.supremecourt.ohio.gov/rod/docs/pdf/0/2010/2010-Ohio-5680.pdf</vt:lpwstr>
      </vt:variant>
      <vt:variant>
        <vt:lpwstr/>
      </vt:variant>
      <vt:variant>
        <vt:i4>5373967</vt:i4>
      </vt:variant>
      <vt:variant>
        <vt:i4>231</vt:i4>
      </vt:variant>
      <vt:variant>
        <vt:i4>0</vt:i4>
      </vt:variant>
      <vt:variant>
        <vt:i4>5</vt:i4>
      </vt:variant>
      <vt:variant>
        <vt:lpwstr>http://www.supremecourt.ohio.gov/rod/docs/pdf/13/2018/2018-Ohio-1717.pdf</vt:lpwstr>
      </vt:variant>
      <vt:variant>
        <vt:lpwstr/>
      </vt:variant>
      <vt:variant>
        <vt:i4>6160393</vt:i4>
      </vt:variant>
      <vt:variant>
        <vt:i4>228</vt:i4>
      </vt:variant>
      <vt:variant>
        <vt:i4>0</vt:i4>
      </vt:variant>
      <vt:variant>
        <vt:i4>5</vt:i4>
      </vt:variant>
      <vt:variant>
        <vt:lpwstr>http://www.supremecourt.ohio.gov/rod/docs/pdf/13/2018/2018-Ohio-1579.pdf</vt:lpwstr>
      </vt:variant>
      <vt:variant>
        <vt:lpwstr/>
      </vt:variant>
      <vt:variant>
        <vt:i4>3342394</vt:i4>
      </vt:variant>
      <vt:variant>
        <vt:i4>225</vt:i4>
      </vt:variant>
      <vt:variant>
        <vt:i4>0</vt:i4>
      </vt:variant>
      <vt:variant>
        <vt:i4>5</vt:i4>
      </vt:variant>
      <vt:variant>
        <vt:lpwstr>http://www.supremecourt.ohio.gov/rod/docs/pdf/4/2013/2013-Ohio-1858.pdf</vt:lpwstr>
      </vt:variant>
      <vt:variant>
        <vt:lpwstr/>
      </vt:variant>
      <vt:variant>
        <vt:i4>6357048</vt:i4>
      </vt:variant>
      <vt:variant>
        <vt:i4>222</vt:i4>
      </vt:variant>
      <vt:variant>
        <vt:i4>0</vt:i4>
      </vt:variant>
      <vt:variant>
        <vt:i4>5</vt:i4>
      </vt:variant>
      <vt:variant>
        <vt:lpwstr>http://www.supremecourt.ohio.gov/rod/docs/pdf/0/1999/1999-Ohio-446.pdf</vt:lpwstr>
      </vt:variant>
      <vt:variant>
        <vt:lpwstr/>
      </vt:variant>
      <vt:variant>
        <vt:i4>6488117</vt:i4>
      </vt:variant>
      <vt:variant>
        <vt:i4>219</vt:i4>
      </vt:variant>
      <vt:variant>
        <vt:i4>0</vt:i4>
      </vt:variant>
      <vt:variant>
        <vt:i4>5</vt:i4>
      </vt:variant>
      <vt:variant>
        <vt:lpwstr>http://www.supremecourt.ohio.gov/rod/docs/pdf/0/1998/1998-Ohio-180.pdf</vt:lpwstr>
      </vt:variant>
      <vt:variant>
        <vt:lpwstr/>
      </vt:variant>
      <vt:variant>
        <vt:i4>3735611</vt:i4>
      </vt:variant>
      <vt:variant>
        <vt:i4>216</vt:i4>
      </vt:variant>
      <vt:variant>
        <vt:i4>0</vt:i4>
      </vt:variant>
      <vt:variant>
        <vt:i4>5</vt:i4>
      </vt:variant>
      <vt:variant>
        <vt:lpwstr>http://www.supremecourt.ohio.gov/rod/docs/pdf/0/2004/2004-Ohio-1497.pdf</vt:lpwstr>
      </vt:variant>
      <vt:variant>
        <vt:lpwstr/>
      </vt:variant>
      <vt:variant>
        <vt:i4>4063287</vt:i4>
      </vt:variant>
      <vt:variant>
        <vt:i4>213</vt:i4>
      </vt:variant>
      <vt:variant>
        <vt:i4>0</vt:i4>
      </vt:variant>
      <vt:variant>
        <vt:i4>5</vt:i4>
      </vt:variant>
      <vt:variant>
        <vt:lpwstr>http://www.supremecourt.ohio.gov/rod/docs/pdf/1/2018/2018-Ohio-2506.pdf</vt:lpwstr>
      </vt:variant>
      <vt:variant>
        <vt:lpwstr/>
      </vt:variant>
      <vt:variant>
        <vt:i4>6488117</vt:i4>
      </vt:variant>
      <vt:variant>
        <vt:i4>210</vt:i4>
      </vt:variant>
      <vt:variant>
        <vt:i4>0</vt:i4>
      </vt:variant>
      <vt:variant>
        <vt:i4>5</vt:i4>
      </vt:variant>
      <vt:variant>
        <vt:lpwstr>http://www.supremecourt.ohio.gov/rod/docs/pdf/0/1998/1998-Ohio-180.pdf</vt:lpwstr>
      </vt:variant>
      <vt:variant>
        <vt:lpwstr/>
      </vt:variant>
      <vt:variant>
        <vt:i4>6291508</vt:i4>
      </vt:variant>
      <vt:variant>
        <vt:i4>207</vt:i4>
      </vt:variant>
      <vt:variant>
        <vt:i4>0</vt:i4>
      </vt:variant>
      <vt:variant>
        <vt:i4>5</vt:i4>
      </vt:variant>
      <vt:variant>
        <vt:lpwstr>http://www.supremecourt.ohio.gov/rod/docs/pdf/0/1998/1998-Ohio-597.pdf</vt:lpwstr>
      </vt:variant>
      <vt:variant>
        <vt:lpwstr/>
      </vt:variant>
      <vt:variant>
        <vt:i4>7143474</vt:i4>
      </vt:variant>
      <vt:variant>
        <vt:i4>204</vt:i4>
      </vt:variant>
      <vt:variant>
        <vt:i4>0</vt:i4>
      </vt:variant>
      <vt:variant>
        <vt:i4>5</vt:i4>
      </vt:variant>
      <vt:variant>
        <vt:lpwstr>http://www.supremecourt.ohio.gov/rod/docs/pdf/0/2013/2013-Ohio-761.pdf</vt:lpwstr>
      </vt:variant>
      <vt:variant>
        <vt:lpwstr/>
      </vt:variant>
      <vt:variant>
        <vt:i4>3342397</vt:i4>
      </vt:variant>
      <vt:variant>
        <vt:i4>201</vt:i4>
      </vt:variant>
      <vt:variant>
        <vt:i4>0</vt:i4>
      </vt:variant>
      <vt:variant>
        <vt:i4>5</vt:i4>
      </vt:variant>
      <vt:variant>
        <vt:lpwstr>http://www.supremecourt.ohio.gov/rod/docs/pdf/0/2006/2006-Ohio-1215.pdf</vt:lpwstr>
      </vt:variant>
      <vt:variant>
        <vt:lpwstr/>
      </vt:variant>
      <vt:variant>
        <vt:i4>3342396</vt:i4>
      </vt:variant>
      <vt:variant>
        <vt:i4>198</vt:i4>
      </vt:variant>
      <vt:variant>
        <vt:i4>0</vt:i4>
      </vt:variant>
      <vt:variant>
        <vt:i4>5</vt:i4>
      </vt:variant>
      <vt:variant>
        <vt:lpwstr>http://www.supremecourt.ohio.gov/rod/docs/pdf/5/2014/2014-Ohio-1222.pdf</vt:lpwstr>
      </vt:variant>
      <vt:variant>
        <vt:lpwstr/>
      </vt:variant>
      <vt:variant>
        <vt:i4>3407929</vt:i4>
      </vt:variant>
      <vt:variant>
        <vt:i4>195</vt:i4>
      </vt:variant>
      <vt:variant>
        <vt:i4>0</vt:i4>
      </vt:variant>
      <vt:variant>
        <vt:i4>5</vt:i4>
      </vt:variant>
      <vt:variant>
        <vt:lpwstr>http://www.supremecourt.ohio.gov/rod/docs/pdf/0/2006/2006-Ohio-6714.pdf</vt:lpwstr>
      </vt:variant>
      <vt:variant>
        <vt:lpwstr/>
      </vt:variant>
      <vt:variant>
        <vt:i4>3866675</vt:i4>
      </vt:variant>
      <vt:variant>
        <vt:i4>192</vt:i4>
      </vt:variant>
      <vt:variant>
        <vt:i4>0</vt:i4>
      </vt:variant>
      <vt:variant>
        <vt:i4>5</vt:i4>
      </vt:variant>
      <vt:variant>
        <vt:lpwstr>http://www.supremecourt.ohio.gov/rod/docs/pdf/0/2008/2008-Ohio-1770.pdf</vt:lpwstr>
      </vt:variant>
      <vt:variant>
        <vt:lpwstr/>
      </vt:variant>
      <vt:variant>
        <vt:i4>5701643</vt:i4>
      </vt:variant>
      <vt:variant>
        <vt:i4>189</vt:i4>
      </vt:variant>
      <vt:variant>
        <vt:i4>0</vt:i4>
      </vt:variant>
      <vt:variant>
        <vt:i4>5</vt:i4>
      </vt:variant>
      <vt:variant>
        <vt:lpwstr>http://www.supremecourt.ohio.gov/rod/docs/pdf/13/2018/2018-Ohio-5015.pdf</vt:lpwstr>
      </vt:variant>
      <vt:variant>
        <vt:lpwstr/>
      </vt:variant>
      <vt:variant>
        <vt:i4>4063287</vt:i4>
      </vt:variant>
      <vt:variant>
        <vt:i4>186</vt:i4>
      </vt:variant>
      <vt:variant>
        <vt:i4>0</vt:i4>
      </vt:variant>
      <vt:variant>
        <vt:i4>5</vt:i4>
      </vt:variant>
      <vt:variant>
        <vt:lpwstr>http://www.supremecourt.ohio.gov/rod/docs/pdf/1/2018/2018-Ohio-2506.pdf</vt:lpwstr>
      </vt:variant>
      <vt:variant>
        <vt:lpwstr/>
      </vt:variant>
      <vt:variant>
        <vt:i4>4194395</vt:i4>
      </vt:variant>
      <vt:variant>
        <vt:i4>183</vt:i4>
      </vt:variant>
      <vt:variant>
        <vt:i4>0</vt:i4>
      </vt:variant>
      <vt:variant>
        <vt:i4>5</vt:i4>
      </vt:variant>
      <vt:variant>
        <vt:lpwstr>https://www.supremecourt.ohio.gov/rod/docs/pdf/5/2017/2017-Ohio-5564.pdf</vt:lpwstr>
      </vt:variant>
      <vt:variant>
        <vt:lpwstr/>
      </vt:variant>
      <vt:variant>
        <vt:i4>6291518</vt:i4>
      </vt:variant>
      <vt:variant>
        <vt:i4>180</vt:i4>
      </vt:variant>
      <vt:variant>
        <vt:i4>0</vt:i4>
      </vt:variant>
      <vt:variant>
        <vt:i4>5</vt:i4>
      </vt:variant>
      <vt:variant>
        <vt:lpwstr>http://www.supremecourt.ohio.gov/rod/docs/pdf/0/1993/1993-Ohio-188.pdf</vt:lpwstr>
      </vt:variant>
      <vt:variant>
        <vt:lpwstr/>
      </vt:variant>
      <vt:variant>
        <vt:i4>7209012</vt:i4>
      </vt:variant>
      <vt:variant>
        <vt:i4>177</vt:i4>
      </vt:variant>
      <vt:variant>
        <vt:i4>0</vt:i4>
      </vt:variant>
      <vt:variant>
        <vt:i4>5</vt:i4>
      </vt:variant>
      <vt:variant>
        <vt:lpwstr>http://www.supremecourt.ohio.gov/rod/docs/pdf/0/2012/2012-Ohio-115.pdf</vt:lpwstr>
      </vt:variant>
      <vt:variant>
        <vt:lpwstr/>
      </vt:variant>
      <vt:variant>
        <vt:i4>7274546</vt:i4>
      </vt:variant>
      <vt:variant>
        <vt:i4>174</vt:i4>
      </vt:variant>
      <vt:variant>
        <vt:i4>0</vt:i4>
      </vt:variant>
      <vt:variant>
        <vt:i4>5</vt:i4>
      </vt:variant>
      <vt:variant>
        <vt:lpwstr>http://www.supremecourt.ohio.gov/rod/docs/pdf/0/2000/2000-Ohio-345.pdf</vt:lpwstr>
      </vt:variant>
      <vt:variant>
        <vt:lpwstr/>
      </vt:variant>
      <vt:variant>
        <vt:i4>3211320</vt:i4>
      </vt:variant>
      <vt:variant>
        <vt:i4>171</vt:i4>
      </vt:variant>
      <vt:variant>
        <vt:i4>0</vt:i4>
      </vt:variant>
      <vt:variant>
        <vt:i4>5</vt:i4>
      </vt:variant>
      <vt:variant>
        <vt:lpwstr>http://www.supremecourt.ohio.gov/rod/docs/pdf/0/2002/2002-Ohio-7117.pdf</vt:lpwstr>
      </vt:variant>
      <vt:variant>
        <vt:lpwstr/>
      </vt:variant>
      <vt:variant>
        <vt:i4>3539003</vt:i4>
      </vt:variant>
      <vt:variant>
        <vt:i4>168</vt:i4>
      </vt:variant>
      <vt:variant>
        <vt:i4>0</vt:i4>
      </vt:variant>
      <vt:variant>
        <vt:i4>5</vt:i4>
      </vt:variant>
      <vt:variant>
        <vt:lpwstr>http://www.supremecourt.ohio.gov/rod/docs/pdf/0/2012/2012-Ohio-4246.pdf</vt:lpwstr>
      </vt:variant>
      <vt:variant>
        <vt:lpwstr/>
      </vt:variant>
      <vt:variant>
        <vt:i4>6684733</vt:i4>
      </vt:variant>
      <vt:variant>
        <vt:i4>165</vt:i4>
      </vt:variant>
      <vt:variant>
        <vt:i4>0</vt:i4>
      </vt:variant>
      <vt:variant>
        <vt:i4>5</vt:i4>
      </vt:variant>
      <vt:variant>
        <vt:lpwstr>http://www.supremecourt.ohio.gov/rod/docs/pdf/0/1999/1999-Ohio-114.pdf</vt:lpwstr>
      </vt:variant>
      <vt:variant>
        <vt:lpwstr/>
      </vt:variant>
      <vt:variant>
        <vt:i4>6946869</vt:i4>
      </vt:variant>
      <vt:variant>
        <vt:i4>162</vt:i4>
      </vt:variant>
      <vt:variant>
        <vt:i4>0</vt:i4>
      </vt:variant>
      <vt:variant>
        <vt:i4>5</vt:i4>
      </vt:variant>
      <vt:variant>
        <vt:lpwstr>http://www.supremecourt.ohio.gov/rod/docs/pdf/0/2011/2011-Ohio-231.pdf</vt:lpwstr>
      </vt:variant>
      <vt:variant>
        <vt:lpwstr/>
      </vt:variant>
      <vt:variant>
        <vt:i4>3932222</vt:i4>
      </vt:variant>
      <vt:variant>
        <vt:i4>159</vt:i4>
      </vt:variant>
      <vt:variant>
        <vt:i4>0</vt:i4>
      </vt:variant>
      <vt:variant>
        <vt:i4>5</vt:i4>
      </vt:variant>
      <vt:variant>
        <vt:lpwstr>http://www.supremecourt.ohio.gov/rod/docs/pdf/0/2005/2005-Ohio-4384.pdf</vt:lpwstr>
      </vt:variant>
      <vt:variant>
        <vt:lpwstr/>
      </vt:variant>
      <vt:variant>
        <vt:i4>7274546</vt:i4>
      </vt:variant>
      <vt:variant>
        <vt:i4>156</vt:i4>
      </vt:variant>
      <vt:variant>
        <vt:i4>0</vt:i4>
      </vt:variant>
      <vt:variant>
        <vt:i4>5</vt:i4>
      </vt:variant>
      <vt:variant>
        <vt:lpwstr>http://www.supremecourt.ohio.gov/rod/docs/pdf/0/2000/2000-Ohio-345.pdf</vt:lpwstr>
      </vt:variant>
      <vt:variant>
        <vt:lpwstr/>
      </vt:variant>
      <vt:variant>
        <vt:i4>3932222</vt:i4>
      </vt:variant>
      <vt:variant>
        <vt:i4>153</vt:i4>
      </vt:variant>
      <vt:variant>
        <vt:i4>0</vt:i4>
      </vt:variant>
      <vt:variant>
        <vt:i4>5</vt:i4>
      </vt:variant>
      <vt:variant>
        <vt:lpwstr>http://www.supremecourt.ohio.gov/rod/docs/pdf/0/2005/2005-Ohio-4384.pdf</vt:lpwstr>
      </vt:variant>
      <vt:variant>
        <vt:lpwstr/>
      </vt:variant>
      <vt:variant>
        <vt:i4>6291518</vt:i4>
      </vt:variant>
      <vt:variant>
        <vt:i4>150</vt:i4>
      </vt:variant>
      <vt:variant>
        <vt:i4>0</vt:i4>
      </vt:variant>
      <vt:variant>
        <vt:i4>5</vt:i4>
      </vt:variant>
      <vt:variant>
        <vt:lpwstr>http://www.supremecourt.ohio.gov/rod/docs/pdf/0/1993/1993-Ohio-188.pdf</vt:lpwstr>
      </vt:variant>
      <vt:variant>
        <vt:lpwstr/>
      </vt:variant>
      <vt:variant>
        <vt:i4>3932222</vt:i4>
      </vt:variant>
      <vt:variant>
        <vt:i4>147</vt:i4>
      </vt:variant>
      <vt:variant>
        <vt:i4>0</vt:i4>
      </vt:variant>
      <vt:variant>
        <vt:i4>5</vt:i4>
      </vt:variant>
      <vt:variant>
        <vt:lpwstr>http://www.supremecourt.ohio.gov/rod/docs/pdf/0/2005/2005-Ohio-4384.pdf</vt:lpwstr>
      </vt:variant>
      <vt:variant>
        <vt:lpwstr/>
      </vt:variant>
      <vt:variant>
        <vt:i4>3932208</vt:i4>
      </vt:variant>
      <vt:variant>
        <vt:i4>144</vt:i4>
      </vt:variant>
      <vt:variant>
        <vt:i4>0</vt:i4>
      </vt:variant>
      <vt:variant>
        <vt:i4>5</vt:i4>
      </vt:variant>
      <vt:variant>
        <vt:lpwstr>http://www.supremecourt.ohio.gov/rod/docs/pdf/0/2001/2001-Ohio-1895.pdf</vt:lpwstr>
      </vt:variant>
      <vt:variant>
        <vt:lpwstr/>
      </vt:variant>
      <vt:variant>
        <vt:i4>3932208</vt:i4>
      </vt:variant>
      <vt:variant>
        <vt:i4>141</vt:i4>
      </vt:variant>
      <vt:variant>
        <vt:i4>0</vt:i4>
      </vt:variant>
      <vt:variant>
        <vt:i4>5</vt:i4>
      </vt:variant>
      <vt:variant>
        <vt:lpwstr>http://www.supremecourt.ohio.gov/rod/docs/pdf/0/2001/2001-Ohio-1895.pdf</vt:lpwstr>
      </vt:variant>
      <vt:variant>
        <vt:lpwstr/>
      </vt:variant>
      <vt:variant>
        <vt:i4>6291512</vt:i4>
      </vt:variant>
      <vt:variant>
        <vt:i4>138</vt:i4>
      </vt:variant>
      <vt:variant>
        <vt:i4>0</vt:i4>
      </vt:variant>
      <vt:variant>
        <vt:i4>5</vt:i4>
      </vt:variant>
      <vt:variant>
        <vt:lpwstr>http://www.supremecourt.ohio.gov/rod/docs/pdf/0/1999/1999-Ohio-447.pdf</vt:lpwstr>
      </vt:variant>
      <vt:variant>
        <vt:lpwstr/>
      </vt:variant>
      <vt:variant>
        <vt:i4>6815794</vt:i4>
      </vt:variant>
      <vt:variant>
        <vt:i4>135</vt:i4>
      </vt:variant>
      <vt:variant>
        <vt:i4>0</vt:i4>
      </vt:variant>
      <vt:variant>
        <vt:i4>5</vt:i4>
      </vt:variant>
      <vt:variant>
        <vt:lpwstr>http://www.supremecourt.ohio.gov/rod/docs/pdf/0/1997/1997-Ohio-104.pdf</vt:lpwstr>
      </vt:variant>
      <vt:variant>
        <vt:lpwstr/>
      </vt:variant>
      <vt:variant>
        <vt:i4>6422585</vt:i4>
      </vt:variant>
      <vt:variant>
        <vt:i4>132</vt:i4>
      </vt:variant>
      <vt:variant>
        <vt:i4>0</vt:i4>
      </vt:variant>
      <vt:variant>
        <vt:i4>5</vt:i4>
      </vt:variant>
      <vt:variant>
        <vt:lpwstr>http://www.supremecourt.ohio.gov/rod/docs/pdf/0/1998/1998-Ohio-242.pdf</vt:lpwstr>
      </vt:variant>
      <vt:variant>
        <vt:lpwstr/>
      </vt:variant>
      <vt:variant>
        <vt:i4>3211323</vt:i4>
      </vt:variant>
      <vt:variant>
        <vt:i4>129</vt:i4>
      </vt:variant>
      <vt:variant>
        <vt:i4>0</vt:i4>
      </vt:variant>
      <vt:variant>
        <vt:i4>5</vt:i4>
      </vt:variant>
      <vt:variant>
        <vt:lpwstr>http://www.supremecourt.ohio.gov/rod/docs/pdf/0/2008/2008-Ohio-4788.pdf</vt:lpwstr>
      </vt:variant>
      <vt:variant>
        <vt:lpwstr/>
      </vt:variant>
      <vt:variant>
        <vt:i4>7209008</vt:i4>
      </vt:variant>
      <vt:variant>
        <vt:i4>126</vt:i4>
      </vt:variant>
      <vt:variant>
        <vt:i4>0</vt:i4>
      </vt:variant>
      <vt:variant>
        <vt:i4>5</vt:i4>
      </vt:variant>
      <vt:variant>
        <vt:lpwstr>http://www.supremecourt.ohio.gov/rod/docs/pdf/0/2012/2012-Ohio-753.pdf</vt:lpwstr>
      </vt:variant>
      <vt:variant>
        <vt:lpwstr/>
      </vt:variant>
      <vt:variant>
        <vt:i4>7143478</vt:i4>
      </vt:variant>
      <vt:variant>
        <vt:i4>123</vt:i4>
      </vt:variant>
      <vt:variant>
        <vt:i4>0</vt:i4>
      </vt:variant>
      <vt:variant>
        <vt:i4>5</vt:i4>
      </vt:variant>
      <vt:variant>
        <vt:lpwstr>http://www.supremecourt.ohio.gov/rod/docs/pdf/0/2012/2012-Ohio-136.pdf</vt:lpwstr>
      </vt:variant>
      <vt:variant>
        <vt:lpwstr/>
      </vt:variant>
      <vt:variant>
        <vt:i4>3473463</vt:i4>
      </vt:variant>
      <vt:variant>
        <vt:i4>120</vt:i4>
      </vt:variant>
      <vt:variant>
        <vt:i4>0</vt:i4>
      </vt:variant>
      <vt:variant>
        <vt:i4>5</vt:i4>
      </vt:variant>
      <vt:variant>
        <vt:lpwstr>http://www.supremecourt.ohio.gov/rod/docs/pdf/5/2011/2011-Ohio-4749.pdf</vt:lpwstr>
      </vt:variant>
      <vt:variant>
        <vt:lpwstr/>
      </vt:variant>
      <vt:variant>
        <vt:i4>6946868</vt:i4>
      </vt:variant>
      <vt:variant>
        <vt:i4>117</vt:i4>
      </vt:variant>
      <vt:variant>
        <vt:i4>0</vt:i4>
      </vt:variant>
      <vt:variant>
        <vt:i4>5</vt:i4>
      </vt:variant>
      <vt:variant>
        <vt:lpwstr>http://www.supremecourt.ohio.gov/rod/docs/pdf/0/2011/2011-Ohio-625.pdf</vt:lpwstr>
      </vt:variant>
      <vt:variant>
        <vt:lpwstr/>
      </vt:variant>
      <vt:variant>
        <vt:i4>3211319</vt:i4>
      </vt:variant>
      <vt:variant>
        <vt:i4>114</vt:i4>
      </vt:variant>
      <vt:variant>
        <vt:i4>0</vt:i4>
      </vt:variant>
      <vt:variant>
        <vt:i4>5</vt:i4>
      </vt:variant>
      <vt:variant>
        <vt:lpwstr>http://www.supremecourt.ohio.gov/rod/docs/pdf/8/2011/2011-Ohio-1754.pdf</vt:lpwstr>
      </vt:variant>
      <vt:variant>
        <vt:lpwstr/>
      </vt:variant>
      <vt:variant>
        <vt:i4>3866673</vt:i4>
      </vt:variant>
      <vt:variant>
        <vt:i4>111</vt:i4>
      </vt:variant>
      <vt:variant>
        <vt:i4>0</vt:i4>
      </vt:variant>
      <vt:variant>
        <vt:i4>5</vt:i4>
      </vt:variant>
      <vt:variant>
        <vt:lpwstr>http://www.supremecourt.ohio.gov/rod/docs/pdf/6/2009/2009-Ohio-2052.pdf</vt:lpwstr>
      </vt:variant>
      <vt:variant>
        <vt:lpwstr/>
      </vt:variant>
      <vt:variant>
        <vt:i4>4784221</vt:i4>
      </vt:variant>
      <vt:variant>
        <vt:i4>108</vt:i4>
      </vt:variant>
      <vt:variant>
        <vt:i4>0</vt:i4>
      </vt:variant>
      <vt:variant>
        <vt:i4>5</vt:i4>
      </vt:variant>
      <vt:variant>
        <vt:lpwstr>https://www.supremecourt.ohio.gov/rod/docs/pdf/5/2017/2017-Ohio-7820.pdf</vt:lpwstr>
      </vt:variant>
      <vt:variant>
        <vt:lpwstr/>
      </vt:variant>
      <vt:variant>
        <vt:i4>6619195</vt:i4>
      </vt:variant>
      <vt:variant>
        <vt:i4>105</vt:i4>
      </vt:variant>
      <vt:variant>
        <vt:i4>0</vt:i4>
      </vt:variant>
      <vt:variant>
        <vt:i4>5</vt:i4>
      </vt:variant>
      <vt:variant>
        <vt:lpwstr>http://www.supremecourt.ohio.gov/rod/docs/pdf/6/2009/2009-Ohio-520.pdf</vt:lpwstr>
      </vt:variant>
      <vt:variant>
        <vt:lpwstr/>
      </vt:variant>
      <vt:variant>
        <vt:i4>6881330</vt:i4>
      </vt:variant>
      <vt:variant>
        <vt:i4>102</vt:i4>
      </vt:variant>
      <vt:variant>
        <vt:i4>0</vt:i4>
      </vt:variant>
      <vt:variant>
        <vt:i4>5</vt:i4>
      </vt:variant>
      <vt:variant>
        <vt:lpwstr>http://www.supremecourt.ohio.gov/rod/docs/pdf/0/1997/1997-Ohio-206.pdf</vt:lpwstr>
      </vt:variant>
      <vt:variant>
        <vt:lpwstr/>
      </vt:variant>
      <vt:variant>
        <vt:i4>3932208</vt:i4>
      </vt:variant>
      <vt:variant>
        <vt:i4>99</vt:i4>
      </vt:variant>
      <vt:variant>
        <vt:i4>0</vt:i4>
      </vt:variant>
      <vt:variant>
        <vt:i4>5</vt:i4>
      </vt:variant>
      <vt:variant>
        <vt:lpwstr>http://www.supremecourt.ohio.gov/rod/docs/pdf/0/2001/2001-Ohio-1895.pdf</vt:lpwstr>
      </vt:variant>
      <vt:variant>
        <vt:lpwstr/>
      </vt:variant>
      <vt:variant>
        <vt:i4>6881330</vt:i4>
      </vt:variant>
      <vt:variant>
        <vt:i4>96</vt:i4>
      </vt:variant>
      <vt:variant>
        <vt:i4>0</vt:i4>
      </vt:variant>
      <vt:variant>
        <vt:i4>5</vt:i4>
      </vt:variant>
      <vt:variant>
        <vt:lpwstr>http://www.supremecourt.ohio.gov/rod/docs/pdf/0/1997/1997-Ohio-206.pdf</vt:lpwstr>
      </vt:variant>
      <vt:variant>
        <vt:lpwstr/>
      </vt:variant>
      <vt:variant>
        <vt:i4>3407929</vt:i4>
      </vt:variant>
      <vt:variant>
        <vt:i4>93</vt:i4>
      </vt:variant>
      <vt:variant>
        <vt:i4>0</vt:i4>
      </vt:variant>
      <vt:variant>
        <vt:i4>5</vt:i4>
      </vt:variant>
      <vt:variant>
        <vt:lpwstr>http://www.supremecourt.ohio.gov/rod/docs/pdf/0/2006/2006-Ohio-6714.pdf</vt:lpwstr>
      </vt:variant>
      <vt:variant>
        <vt:lpwstr/>
      </vt:variant>
      <vt:variant>
        <vt:i4>6881330</vt:i4>
      </vt:variant>
      <vt:variant>
        <vt:i4>90</vt:i4>
      </vt:variant>
      <vt:variant>
        <vt:i4>0</vt:i4>
      </vt:variant>
      <vt:variant>
        <vt:i4>5</vt:i4>
      </vt:variant>
      <vt:variant>
        <vt:lpwstr>http://www.supremecourt.ohio.gov/rod/docs/pdf/0/1997/1997-Ohio-206.pdf</vt:lpwstr>
      </vt:variant>
      <vt:variant>
        <vt:lpwstr/>
      </vt:variant>
      <vt:variant>
        <vt:i4>3997759</vt:i4>
      </vt:variant>
      <vt:variant>
        <vt:i4>87</vt:i4>
      </vt:variant>
      <vt:variant>
        <vt:i4>0</vt:i4>
      </vt:variant>
      <vt:variant>
        <vt:i4>5</vt:i4>
      </vt:variant>
      <vt:variant>
        <vt:lpwstr>http://www.supremecourt.ohio.gov/rod/docs/pdf/8/2018/2018-Ohio-5240.pdf</vt:lpwstr>
      </vt:variant>
      <vt:variant>
        <vt:lpwstr/>
      </vt:variant>
      <vt:variant>
        <vt:i4>3997752</vt:i4>
      </vt:variant>
      <vt:variant>
        <vt:i4>84</vt:i4>
      </vt:variant>
      <vt:variant>
        <vt:i4>0</vt:i4>
      </vt:variant>
      <vt:variant>
        <vt:i4>5</vt:i4>
      </vt:variant>
      <vt:variant>
        <vt:lpwstr>http://www.supremecourt.ohio.gov/rod/docs/pdf/8/2015/2015-Ohio-4981.pdf</vt:lpwstr>
      </vt:variant>
      <vt:variant>
        <vt:lpwstr/>
      </vt:variant>
      <vt:variant>
        <vt:i4>5767169</vt:i4>
      </vt:variant>
      <vt:variant>
        <vt:i4>81</vt:i4>
      </vt:variant>
      <vt:variant>
        <vt:i4>0</vt:i4>
      </vt:variant>
      <vt:variant>
        <vt:i4>5</vt:i4>
      </vt:variant>
      <vt:variant>
        <vt:lpwstr>http://www.supremecourt.ohio.gov/rod/docs/pdf/12/2012/2012-Ohio-3879.pdf</vt:lpwstr>
      </vt:variant>
      <vt:variant>
        <vt:lpwstr/>
      </vt:variant>
      <vt:variant>
        <vt:i4>6815798</vt:i4>
      </vt:variant>
      <vt:variant>
        <vt:i4>78</vt:i4>
      </vt:variant>
      <vt:variant>
        <vt:i4>0</vt:i4>
      </vt:variant>
      <vt:variant>
        <vt:i4>5</vt:i4>
      </vt:variant>
      <vt:variant>
        <vt:lpwstr>http://www.supremecourt.ohio.gov/rod/docs/pdf/1/2011/2011-Ohio-312.pdf</vt:lpwstr>
      </vt:variant>
      <vt:variant>
        <vt:lpwstr/>
      </vt:variant>
      <vt:variant>
        <vt:i4>3932208</vt:i4>
      </vt:variant>
      <vt:variant>
        <vt:i4>75</vt:i4>
      </vt:variant>
      <vt:variant>
        <vt:i4>0</vt:i4>
      </vt:variant>
      <vt:variant>
        <vt:i4>5</vt:i4>
      </vt:variant>
      <vt:variant>
        <vt:lpwstr>http://www.supremecourt.ohio.gov/rod/docs/pdf/0/2001/2001-Ohio-1895.pdf</vt:lpwstr>
      </vt:variant>
      <vt:variant>
        <vt:lpwstr/>
      </vt:variant>
      <vt:variant>
        <vt:i4>3604533</vt:i4>
      </vt:variant>
      <vt:variant>
        <vt:i4>72</vt:i4>
      </vt:variant>
      <vt:variant>
        <vt:i4>0</vt:i4>
      </vt:variant>
      <vt:variant>
        <vt:i4>5</vt:i4>
      </vt:variant>
      <vt:variant>
        <vt:lpwstr>http://www.supremecourt.ohio.gov/rod/docs/pdf/0/2005/2005-Ohio-3549.pdf</vt:lpwstr>
      </vt:variant>
      <vt:variant>
        <vt:lpwstr/>
      </vt:variant>
      <vt:variant>
        <vt:i4>6946868</vt:i4>
      </vt:variant>
      <vt:variant>
        <vt:i4>69</vt:i4>
      </vt:variant>
      <vt:variant>
        <vt:i4>0</vt:i4>
      </vt:variant>
      <vt:variant>
        <vt:i4>5</vt:i4>
      </vt:variant>
      <vt:variant>
        <vt:lpwstr>http://www.supremecourt.ohio.gov/rod/docs/pdf/0/2011/2011-Ohio-625.pdf</vt:lpwstr>
      </vt:variant>
      <vt:variant>
        <vt:lpwstr/>
      </vt:variant>
      <vt:variant>
        <vt:i4>3932208</vt:i4>
      </vt:variant>
      <vt:variant>
        <vt:i4>66</vt:i4>
      </vt:variant>
      <vt:variant>
        <vt:i4>0</vt:i4>
      </vt:variant>
      <vt:variant>
        <vt:i4>5</vt:i4>
      </vt:variant>
      <vt:variant>
        <vt:lpwstr>http://www.supremecourt.ohio.gov/rod/docs/pdf/0/2001/2001-Ohio-1895.pdf</vt:lpwstr>
      </vt:variant>
      <vt:variant>
        <vt:lpwstr/>
      </vt:variant>
      <vt:variant>
        <vt:i4>3407929</vt:i4>
      </vt:variant>
      <vt:variant>
        <vt:i4>63</vt:i4>
      </vt:variant>
      <vt:variant>
        <vt:i4>0</vt:i4>
      </vt:variant>
      <vt:variant>
        <vt:i4>5</vt:i4>
      </vt:variant>
      <vt:variant>
        <vt:lpwstr>http://www.supremecourt.ohio.gov/rod/docs/pdf/0/2006/2006-Ohio-6714.pdf</vt:lpwstr>
      </vt:variant>
      <vt:variant>
        <vt:lpwstr/>
      </vt:variant>
      <vt:variant>
        <vt:i4>3932208</vt:i4>
      </vt:variant>
      <vt:variant>
        <vt:i4>60</vt:i4>
      </vt:variant>
      <vt:variant>
        <vt:i4>0</vt:i4>
      </vt:variant>
      <vt:variant>
        <vt:i4>5</vt:i4>
      </vt:variant>
      <vt:variant>
        <vt:lpwstr>http://www.supremecourt.ohio.gov/rod/docs/pdf/0/2001/2001-Ohio-1895.pdf</vt:lpwstr>
      </vt:variant>
      <vt:variant>
        <vt:lpwstr/>
      </vt:variant>
      <vt:variant>
        <vt:i4>3342394</vt:i4>
      </vt:variant>
      <vt:variant>
        <vt:i4>57</vt:i4>
      </vt:variant>
      <vt:variant>
        <vt:i4>0</vt:i4>
      </vt:variant>
      <vt:variant>
        <vt:i4>5</vt:i4>
      </vt:variant>
      <vt:variant>
        <vt:lpwstr>http://www.supremecourt.ohio.gov/rod/docs/pdf/1/2012/2012-Ohio-2074.pdf</vt:lpwstr>
      </vt:variant>
      <vt:variant>
        <vt:lpwstr/>
      </vt:variant>
      <vt:variant>
        <vt:i4>6815798</vt:i4>
      </vt:variant>
      <vt:variant>
        <vt:i4>54</vt:i4>
      </vt:variant>
      <vt:variant>
        <vt:i4>0</vt:i4>
      </vt:variant>
      <vt:variant>
        <vt:i4>5</vt:i4>
      </vt:variant>
      <vt:variant>
        <vt:lpwstr>http://www.supremecourt.ohio.gov/rod/docs/pdf/1/2011/2011-Ohio-312.pdf</vt:lpwstr>
      </vt:variant>
      <vt:variant>
        <vt:lpwstr/>
      </vt:variant>
      <vt:variant>
        <vt:i4>3407930</vt:i4>
      </vt:variant>
      <vt:variant>
        <vt:i4>51</vt:i4>
      </vt:variant>
      <vt:variant>
        <vt:i4>0</vt:i4>
      </vt:variant>
      <vt:variant>
        <vt:i4>5</vt:i4>
      </vt:variant>
      <vt:variant>
        <vt:lpwstr>http://www.supremecourt.ohio.gov/rod/docs/pdf/0/2011/2011-Ohio-4751.pdf</vt:lpwstr>
      </vt:variant>
      <vt:variant>
        <vt:lpwstr/>
      </vt:variant>
      <vt:variant>
        <vt:i4>3670067</vt:i4>
      </vt:variant>
      <vt:variant>
        <vt:i4>48</vt:i4>
      </vt:variant>
      <vt:variant>
        <vt:i4>0</vt:i4>
      </vt:variant>
      <vt:variant>
        <vt:i4>5</vt:i4>
      </vt:variant>
      <vt:variant>
        <vt:lpwstr>http://www.supremecourt.ohio.gov/rod/docs/pdf/0/2011/2011-Ohio-4897.pdf</vt:lpwstr>
      </vt:variant>
      <vt:variant>
        <vt:lpwstr/>
      </vt:variant>
      <vt:variant>
        <vt:i4>3276854</vt:i4>
      </vt:variant>
      <vt:variant>
        <vt:i4>45</vt:i4>
      </vt:variant>
      <vt:variant>
        <vt:i4>0</vt:i4>
      </vt:variant>
      <vt:variant>
        <vt:i4>5</vt:i4>
      </vt:variant>
      <vt:variant>
        <vt:lpwstr>http://www.supremecourt.ohio.gov/rod/docs/pdf/0/2006/2006-Ohio-4854.pdf</vt:lpwstr>
      </vt:variant>
      <vt:variant>
        <vt:lpwstr/>
      </vt:variant>
      <vt:variant>
        <vt:i4>3407934</vt:i4>
      </vt:variant>
      <vt:variant>
        <vt:i4>42</vt:i4>
      </vt:variant>
      <vt:variant>
        <vt:i4>0</vt:i4>
      </vt:variant>
      <vt:variant>
        <vt:i4>5</vt:i4>
      </vt:variant>
      <vt:variant>
        <vt:lpwstr>http://www.supremecourt.ohio.gov/rod/docs/pdf/0/2006/2006-Ohio-6713.pdf</vt:lpwstr>
      </vt:variant>
      <vt:variant>
        <vt:lpwstr/>
      </vt:variant>
      <vt:variant>
        <vt:i4>3407934</vt:i4>
      </vt:variant>
      <vt:variant>
        <vt:i4>39</vt:i4>
      </vt:variant>
      <vt:variant>
        <vt:i4>0</vt:i4>
      </vt:variant>
      <vt:variant>
        <vt:i4>5</vt:i4>
      </vt:variant>
      <vt:variant>
        <vt:lpwstr>http://www.supremecourt.ohio.gov/rod/docs/pdf/0/2006/2006-Ohio-6713.pdf</vt:lpwstr>
      </vt:variant>
      <vt:variant>
        <vt:lpwstr/>
      </vt:variant>
      <vt:variant>
        <vt:i4>3276854</vt:i4>
      </vt:variant>
      <vt:variant>
        <vt:i4>36</vt:i4>
      </vt:variant>
      <vt:variant>
        <vt:i4>0</vt:i4>
      </vt:variant>
      <vt:variant>
        <vt:i4>5</vt:i4>
      </vt:variant>
      <vt:variant>
        <vt:lpwstr>http://www.supremecourt.ohio.gov/rod/docs/pdf/0/2006/2006-Ohio-4854.pdf</vt:lpwstr>
      </vt:variant>
      <vt:variant>
        <vt:lpwstr/>
      </vt:variant>
      <vt:variant>
        <vt:i4>3997759</vt:i4>
      </vt:variant>
      <vt:variant>
        <vt:i4>33</vt:i4>
      </vt:variant>
      <vt:variant>
        <vt:i4>0</vt:i4>
      </vt:variant>
      <vt:variant>
        <vt:i4>5</vt:i4>
      </vt:variant>
      <vt:variant>
        <vt:lpwstr>http://www.supremecourt.ohio.gov/rod/docs/pdf/8/2018/2018-Ohio-5240.pdf</vt:lpwstr>
      </vt:variant>
      <vt:variant>
        <vt:lpwstr/>
      </vt:variant>
      <vt:variant>
        <vt:i4>6946868</vt:i4>
      </vt:variant>
      <vt:variant>
        <vt:i4>30</vt:i4>
      </vt:variant>
      <vt:variant>
        <vt:i4>0</vt:i4>
      </vt:variant>
      <vt:variant>
        <vt:i4>5</vt:i4>
      </vt:variant>
      <vt:variant>
        <vt:lpwstr>http://www.supremecourt.ohio.gov/rod/docs/pdf/0/2011/2011-Ohio-625.pdf</vt:lpwstr>
      </vt:variant>
      <vt:variant>
        <vt:lpwstr/>
      </vt:variant>
      <vt:variant>
        <vt:i4>3276854</vt:i4>
      </vt:variant>
      <vt:variant>
        <vt:i4>27</vt:i4>
      </vt:variant>
      <vt:variant>
        <vt:i4>0</vt:i4>
      </vt:variant>
      <vt:variant>
        <vt:i4>5</vt:i4>
      </vt:variant>
      <vt:variant>
        <vt:lpwstr>http://www.supremecourt.ohio.gov/rod/docs/pdf/0/2006/2006-Ohio-4854.pdf</vt:lpwstr>
      </vt:variant>
      <vt:variant>
        <vt:lpwstr/>
      </vt:variant>
      <vt:variant>
        <vt:i4>6750262</vt:i4>
      </vt:variant>
      <vt:variant>
        <vt:i4>24</vt:i4>
      </vt:variant>
      <vt:variant>
        <vt:i4>0</vt:i4>
      </vt:variant>
      <vt:variant>
        <vt:i4>5</vt:i4>
      </vt:variant>
      <vt:variant>
        <vt:lpwstr>http://www.supremecourt.ohio.gov/rod/docs/pdf/0/1997/1997-Ohio-349.pdf</vt:lpwstr>
      </vt:variant>
      <vt:variant>
        <vt:lpwstr/>
      </vt:variant>
      <vt:variant>
        <vt:i4>3407934</vt:i4>
      </vt:variant>
      <vt:variant>
        <vt:i4>21</vt:i4>
      </vt:variant>
      <vt:variant>
        <vt:i4>0</vt:i4>
      </vt:variant>
      <vt:variant>
        <vt:i4>5</vt:i4>
      </vt:variant>
      <vt:variant>
        <vt:lpwstr>http://www.supremecourt.ohio.gov/rod/docs/pdf/0/2006/2006-Ohio-6713.pdf</vt:lpwstr>
      </vt:variant>
      <vt:variant>
        <vt:lpwstr/>
      </vt:variant>
      <vt:variant>
        <vt:i4>3604533</vt:i4>
      </vt:variant>
      <vt:variant>
        <vt:i4>18</vt:i4>
      </vt:variant>
      <vt:variant>
        <vt:i4>0</vt:i4>
      </vt:variant>
      <vt:variant>
        <vt:i4>5</vt:i4>
      </vt:variant>
      <vt:variant>
        <vt:lpwstr>http://www.supremecourt.ohio.gov/rod/docs/pdf/0/2005/2005-Ohio-3549.pdf</vt:lpwstr>
      </vt:variant>
      <vt:variant>
        <vt:lpwstr/>
      </vt:variant>
      <vt:variant>
        <vt:i4>3997754</vt:i4>
      </vt:variant>
      <vt:variant>
        <vt:i4>15</vt:i4>
      </vt:variant>
      <vt:variant>
        <vt:i4>0</vt:i4>
      </vt:variant>
      <vt:variant>
        <vt:i4>5</vt:i4>
      </vt:variant>
      <vt:variant>
        <vt:lpwstr>http://www.supremecourt.ohio.gov/rod/docs/pdf/0/2001/2001-Ohio-1582.pdf</vt:lpwstr>
      </vt:variant>
      <vt:variant>
        <vt:lpwstr/>
      </vt:variant>
      <vt:variant>
        <vt:i4>655374</vt:i4>
      </vt:variant>
      <vt:variant>
        <vt:i4>12</vt:i4>
      </vt:variant>
      <vt:variant>
        <vt:i4>0</vt:i4>
      </vt:variant>
      <vt:variant>
        <vt:i4>5</vt:i4>
      </vt:variant>
      <vt:variant>
        <vt:lpwstr>http://www.supremecourt.ohio.gov/rod/docs/pdf/0/1998/1998-Ohio-49.pdf</vt:lpwstr>
      </vt:variant>
      <vt:variant>
        <vt:lpwstr/>
      </vt:variant>
      <vt:variant>
        <vt:i4>3276854</vt:i4>
      </vt:variant>
      <vt:variant>
        <vt:i4>9</vt:i4>
      </vt:variant>
      <vt:variant>
        <vt:i4>0</vt:i4>
      </vt:variant>
      <vt:variant>
        <vt:i4>5</vt:i4>
      </vt:variant>
      <vt:variant>
        <vt:lpwstr>http://www.supremecourt.ohio.gov/rod/docs/pdf/0/2006/2006-Ohio-4854.pdf</vt:lpwstr>
      </vt:variant>
      <vt:variant>
        <vt:lpwstr/>
      </vt:variant>
      <vt:variant>
        <vt:i4>3473460</vt:i4>
      </vt:variant>
      <vt:variant>
        <vt:i4>6</vt:i4>
      </vt:variant>
      <vt:variant>
        <vt:i4>0</vt:i4>
      </vt:variant>
      <vt:variant>
        <vt:i4>5</vt:i4>
      </vt:variant>
      <vt:variant>
        <vt:lpwstr>http://www.supremecourt.ohio.gov/rod/docs/pdf/0/2015/2015-Ohio-1854.pdf</vt:lpwstr>
      </vt:variant>
      <vt:variant>
        <vt:lpwstr/>
      </vt:variant>
      <vt:variant>
        <vt:i4>6946868</vt:i4>
      </vt:variant>
      <vt:variant>
        <vt:i4>3</vt:i4>
      </vt:variant>
      <vt:variant>
        <vt:i4>0</vt:i4>
      </vt:variant>
      <vt:variant>
        <vt:i4>5</vt:i4>
      </vt:variant>
      <vt:variant>
        <vt:lpwstr>http://www.supremecourt.ohio.gov/rod/docs/pdf/0/2011/2011-Ohio-625.pdf</vt:lpwstr>
      </vt:variant>
      <vt:variant>
        <vt:lpwstr/>
      </vt:variant>
      <vt:variant>
        <vt:i4>7209012</vt:i4>
      </vt:variant>
      <vt:variant>
        <vt:i4>0</vt:i4>
      </vt:variant>
      <vt:variant>
        <vt:i4>0</vt:i4>
      </vt:variant>
      <vt:variant>
        <vt:i4>5</vt:i4>
      </vt:variant>
      <vt:variant>
        <vt:lpwstr>http://www.supremecourt.ohio.gov/rod/docs/pdf/0/2012/2012-Ohio-115.pdf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Ohio Sunshine Laws Manual</dc:title>
  <dc:subject/>
  <dc:creator>The Ohio Attorney General's Office's Public Records Unit</dc:creator>
  <cp:keywords/>
  <dc:description/>
  <cp:lastModifiedBy>Jennifer Bachelder</cp:lastModifiedBy>
  <cp:revision>3</cp:revision>
  <cp:lastPrinted>2023-02-24T21:33:00Z</cp:lastPrinted>
  <dcterms:created xsi:type="dcterms:W3CDTF">2024-03-18T21:33:00Z</dcterms:created>
  <dcterms:modified xsi:type="dcterms:W3CDTF">2024-04-04T18:15:00Z</dcterms:modified>
  <cp:category/>
</cp:coreProperties>
</file>